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宋体" w:hAnsi="宋体" w:eastAsia="宋体" w:cs="宋体"/>
          <w:b/>
          <w:spacing w:val="-8"/>
          <w:sz w:val="48"/>
          <w:szCs w:val="48"/>
          <w:lang w:val="en-US" w:eastAsia="zh-CN"/>
        </w:rPr>
      </w:pPr>
    </w:p>
    <w:p>
      <w:pPr>
        <w:ind w:firstLine="0" w:firstLineChars="0"/>
        <w:jc w:val="center"/>
        <w:rPr>
          <w:rFonts w:hint="eastAsia" w:ascii="微软雅黑" w:hAnsi="微软雅黑" w:eastAsia="微软雅黑"/>
          <w:b/>
          <w:color w:val="000000"/>
          <w:sz w:val="44"/>
          <w:szCs w:val="24"/>
          <w:lang w:val="en-US" w:eastAsia="zh-CN"/>
        </w:rPr>
      </w:pPr>
      <w:r>
        <w:rPr>
          <w:rFonts w:hint="eastAsia" w:ascii="微软雅黑" w:hAnsi="微软雅黑" w:eastAsia="微软雅黑"/>
          <w:b/>
          <w:color w:val="000000"/>
          <w:sz w:val="44"/>
          <w:szCs w:val="24"/>
          <w:lang w:val="en-US" w:eastAsia="zh-CN"/>
        </w:rPr>
        <w:t>师宗县国土空间生态修复规划</w:t>
      </w:r>
    </w:p>
    <w:p>
      <w:pPr>
        <w:ind w:firstLine="0" w:firstLineChars="0"/>
        <w:jc w:val="center"/>
        <w:rPr>
          <w:rFonts w:hint="eastAsia" w:ascii="微软雅黑" w:hAnsi="微软雅黑" w:eastAsia="微软雅黑"/>
          <w:b/>
          <w:color w:val="000000"/>
          <w:sz w:val="44"/>
          <w:szCs w:val="24"/>
          <w:lang w:val="en-US" w:eastAsia="zh-CN"/>
        </w:rPr>
      </w:pPr>
      <w:r>
        <w:rPr>
          <w:rFonts w:hint="eastAsia" w:ascii="微软雅黑" w:hAnsi="微软雅黑" w:eastAsia="微软雅黑"/>
          <w:b/>
          <w:color w:val="000000"/>
          <w:sz w:val="44"/>
          <w:szCs w:val="24"/>
          <w:lang w:val="en-US" w:eastAsia="zh-CN"/>
        </w:rPr>
        <w:t>（2021-2035年）</w:t>
      </w:r>
    </w:p>
    <w:p>
      <w:pPr>
        <w:ind w:firstLine="0" w:firstLineChars="0"/>
        <w:jc w:val="center"/>
        <w:rPr>
          <w:rFonts w:hint="eastAsia" w:ascii="微软雅黑" w:hAnsi="微软雅黑" w:eastAsia="微软雅黑"/>
          <w:b/>
          <w:color w:val="000000"/>
          <w:sz w:val="44"/>
          <w:szCs w:val="24"/>
          <w:lang w:val="en-US" w:eastAsia="zh-CN"/>
        </w:rPr>
      </w:pPr>
    </w:p>
    <w:p>
      <w:pPr>
        <w:ind w:firstLine="0" w:firstLineChars="0"/>
        <w:jc w:val="center"/>
        <w:rPr>
          <w:rFonts w:hint="eastAsia" w:ascii="微软雅黑" w:hAnsi="微软雅黑" w:eastAsia="微软雅黑"/>
          <w:b/>
          <w:color w:val="000000"/>
          <w:sz w:val="44"/>
          <w:szCs w:val="24"/>
          <w:lang w:val="en-US" w:eastAsia="zh-CN"/>
        </w:rPr>
      </w:pPr>
      <w:r>
        <w:rPr>
          <w:rFonts w:hint="eastAsia" w:ascii="微软雅黑" w:hAnsi="微软雅黑" w:eastAsia="微软雅黑"/>
          <w:b/>
          <w:color w:val="000000"/>
          <w:sz w:val="44"/>
          <w:szCs w:val="24"/>
          <w:lang w:val="en-US" w:eastAsia="zh-CN"/>
        </w:rPr>
        <w:t>规划说明</w:t>
      </w:r>
    </w:p>
    <w:p>
      <w:pPr>
        <w:ind w:firstLine="0" w:firstLineChars="0"/>
        <w:jc w:val="center"/>
        <w:rPr>
          <w:b/>
          <w:spacing w:val="-24"/>
          <w:sz w:val="36"/>
          <w:szCs w:val="36"/>
        </w:rPr>
      </w:pPr>
    </w:p>
    <w:p>
      <w:pPr>
        <w:ind w:firstLine="0" w:firstLineChars="0"/>
        <w:jc w:val="center"/>
        <w:rPr>
          <w:b/>
          <w:spacing w:val="-24"/>
          <w:sz w:val="36"/>
          <w:szCs w:val="36"/>
        </w:rPr>
      </w:pPr>
      <w:r>
        <w:rPr>
          <w:rFonts w:hint="eastAsia" w:ascii="微软雅黑" w:hAnsi="微软雅黑" w:eastAsia="微软雅黑"/>
          <w:b/>
          <w:color w:val="000000"/>
          <w:sz w:val="44"/>
          <w:szCs w:val="24"/>
        </w:rPr>
        <w:t>【</w:t>
      </w:r>
      <w:r>
        <w:rPr>
          <w:rFonts w:hint="eastAsia" w:ascii="微软雅黑" w:hAnsi="微软雅黑" w:eastAsia="微软雅黑"/>
          <w:b/>
          <w:color w:val="000000"/>
          <w:sz w:val="44"/>
          <w:szCs w:val="24"/>
          <w:lang w:eastAsia="zh-CN"/>
        </w:rPr>
        <w:t>公众征求意见版</w:t>
      </w:r>
      <w:r>
        <w:rPr>
          <w:rFonts w:hint="eastAsia" w:ascii="微软雅黑" w:hAnsi="微软雅黑" w:eastAsia="微软雅黑"/>
          <w:b/>
          <w:color w:val="000000"/>
          <w:sz w:val="44"/>
          <w:szCs w:val="24"/>
        </w:rPr>
        <w:t>】</w:t>
      </w:r>
    </w:p>
    <w:p>
      <w:pPr>
        <w:tabs>
          <w:tab w:val="left" w:pos="205"/>
        </w:tabs>
        <w:ind w:firstLine="640"/>
        <w:rPr>
          <w:rFonts w:hint="eastAsia"/>
          <w:sz w:val="32"/>
          <w:szCs w:val="32"/>
        </w:rPr>
      </w:pPr>
    </w:p>
    <w:p>
      <w:pPr>
        <w:tabs>
          <w:tab w:val="left" w:pos="205"/>
        </w:tabs>
        <w:ind w:firstLine="640"/>
        <w:rPr>
          <w:rFonts w:hint="eastAsia"/>
          <w:sz w:val="32"/>
          <w:szCs w:val="32"/>
        </w:rPr>
      </w:pPr>
    </w:p>
    <w:p>
      <w:pPr>
        <w:tabs>
          <w:tab w:val="left" w:pos="205"/>
        </w:tabs>
        <w:ind w:firstLine="640"/>
        <w:rPr>
          <w:sz w:val="32"/>
          <w:szCs w:val="32"/>
        </w:rPr>
      </w:pPr>
    </w:p>
    <w:p>
      <w:pPr>
        <w:ind w:firstLine="640"/>
        <w:jc w:val="center"/>
        <w:rPr>
          <w:sz w:val="32"/>
          <w:szCs w:val="32"/>
        </w:rPr>
      </w:pPr>
    </w:p>
    <w:p>
      <w:pPr>
        <w:ind w:firstLine="640"/>
        <w:jc w:val="center"/>
        <w:rPr>
          <w:sz w:val="32"/>
          <w:szCs w:val="32"/>
        </w:rPr>
      </w:pPr>
    </w:p>
    <w:p>
      <w:pPr>
        <w:ind w:firstLine="640"/>
        <w:jc w:val="center"/>
        <w:rPr>
          <w:sz w:val="32"/>
          <w:szCs w:val="32"/>
        </w:rPr>
      </w:pPr>
    </w:p>
    <w:p>
      <w:pPr>
        <w:ind w:firstLine="640"/>
        <w:jc w:val="center"/>
        <w:rPr>
          <w:sz w:val="32"/>
          <w:szCs w:val="32"/>
        </w:rPr>
      </w:pPr>
    </w:p>
    <w:p>
      <w:pPr>
        <w:ind w:firstLine="640"/>
        <w:jc w:val="center"/>
        <w:rPr>
          <w:sz w:val="44"/>
          <w:szCs w:val="44"/>
        </w:rPr>
      </w:pPr>
    </w:p>
    <w:p>
      <w:pPr>
        <w:ind w:firstLine="640"/>
        <w:jc w:val="center"/>
        <w:rPr>
          <w:rFonts w:hint="eastAsia"/>
          <w:sz w:val="44"/>
          <w:szCs w:val="44"/>
        </w:rPr>
      </w:pPr>
    </w:p>
    <w:p>
      <w:pPr>
        <w:ind w:firstLine="640"/>
        <w:rPr>
          <w:sz w:val="36"/>
          <w:szCs w:val="36"/>
        </w:rPr>
      </w:pPr>
    </w:p>
    <w:p>
      <w:pPr>
        <w:ind w:firstLine="691" w:firstLineChars="200"/>
        <w:jc w:val="both"/>
        <w:rPr>
          <w:rFonts w:hint="eastAsia" w:ascii="宋体" w:hAnsi="宋体" w:eastAsia="宋体" w:cs="宋体"/>
          <w:b/>
          <w:spacing w:val="-8"/>
          <w:sz w:val="36"/>
          <w:szCs w:val="36"/>
        </w:rPr>
      </w:pPr>
    </w:p>
    <w:p>
      <w:pPr>
        <w:ind w:firstLine="691" w:firstLineChars="200"/>
        <w:jc w:val="both"/>
        <w:rPr>
          <w:rFonts w:hint="eastAsia" w:ascii="宋体" w:hAnsi="宋体" w:eastAsia="宋体" w:cs="宋体"/>
          <w:b/>
          <w:spacing w:val="-8"/>
          <w:sz w:val="36"/>
          <w:szCs w:val="36"/>
        </w:rPr>
      </w:pPr>
    </w:p>
    <w:p>
      <w:pPr>
        <w:ind w:firstLine="691" w:firstLineChars="200"/>
        <w:jc w:val="both"/>
        <w:rPr>
          <w:rFonts w:hint="eastAsia" w:ascii="宋体" w:hAnsi="宋体" w:eastAsia="宋体" w:cs="宋体"/>
          <w:b/>
          <w:spacing w:val="-8"/>
          <w:sz w:val="36"/>
          <w:szCs w:val="36"/>
        </w:rPr>
      </w:pPr>
    </w:p>
    <w:p>
      <w:pPr>
        <w:ind w:firstLine="691" w:firstLineChars="200"/>
        <w:jc w:val="both"/>
        <w:rPr>
          <w:rFonts w:hint="eastAsia" w:ascii="宋体" w:hAnsi="宋体" w:eastAsia="宋体" w:cs="宋体"/>
          <w:b/>
          <w:spacing w:val="-8"/>
          <w:sz w:val="36"/>
          <w:szCs w:val="36"/>
        </w:rPr>
      </w:pPr>
    </w:p>
    <w:p>
      <w:pPr>
        <w:ind w:firstLine="691" w:firstLineChars="200"/>
        <w:jc w:val="both"/>
        <w:rPr>
          <w:rFonts w:hint="eastAsia" w:ascii="宋体" w:hAnsi="宋体" w:eastAsia="宋体" w:cs="宋体"/>
          <w:b/>
          <w:spacing w:val="-8"/>
          <w:sz w:val="36"/>
          <w:szCs w:val="36"/>
        </w:rPr>
      </w:pPr>
    </w:p>
    <w:p>
      <w:pPr>
        <w:spacing w:beforeLines="0" w:afterLines="0" w:line="738" w:lineRule="atLeast"/>
        <w:jc w:val="center"/>
        <w:rPr>
          <w:rFonts w:hint="eastAsia" w:ascii="微软雅黑" w:hAnsi="微软雅黑" w:eastAsia="微软雅黑"/>
          <w:b/>
          <w:color w:val="000000"/>
          <w:sz w:val="40"/>
          <w:szCs w:val="24"/>
        </w:rPr>
      </w:pPr>
      <w:bookmarkStart w:id="57" w:name="_GoBack"/>
      <w:bookmarkEnd w:id="57"/>
      <w:r>
        <w:rPr>
          <w:rFonts w:hint="eastAsia" w:ascii="微软雅黑" w:hAnsi="微软雅黑" w:eastAsia="微软雅黑"/>
          <w:b/>
          <w:color w:val="000000"/>
          <w:sz w:val="40"/>
          <w:szCs w:val="24"/>
        </w:rPr>
        <w:t>师宗县自然资源局</w:t>
      </w:r>
    </w:p>
    <w:p>
      <w:pPr>
        <w:spacing w:beforeLines="0" w:afterLines="0" w:line="738" w:lineRule="atLeast"/>
        <w:jc w:val="center"/>
        <w:rPr>
          <w:rFonts w:hint="eastAsia" w:ascii="微软雅黑" w:hAnsi="微软雅黑" w:eastAsia="微软雅黑"/>
          <w:b/>
          <w:color w:val="000000"/>
          <w:sz w:val="40"/>
          <w:szCs w:val="24"/>
          <w:lang w:val="en-US" w:eastAsia="zh-CN"/>
        </w:rPr>
      </w:pPr>
      <w:r>
        <w:rPr>
          <w:rFonts w:hint="eastAsia" w:ascii="微软雅黑" w:hAnsi="微软雅黑" w:eastAsia="微软雅黑"/>
          <w:b/>
          <w:color w:val="000000"/>
          <w:sz w:val="40"/>
          <w:szCs w:val="24"/>
          <w:lang w:val="en-US" w:eastAsia="zh-CN"/>
        </w:rPr>
        <w:t>2025年10月</w:t>
      </w:r>
    </w:p>
    <w:p>
      <w:pPr>
        <w:ind w:firstLine="691" w:firstLineChars="200"/>
        <w:jc w:val="both"/>
        <w:rPr>
          <w:rFonts w:hint="eastAsia" w:ascii="宋体" w:hAnsi="宋体" w:eastAsia="宋体" w:cs="宋体"/>
          <w:b/>
          <w:spacing w:val="-8"/>
          <w:sz w:val="36"/>
          <w:szCs w:val="36"/>
        </w:rPr>
      </w:pPr>
    </w:p>
    <w:p>
      <w:pPr>
        <w:spacing w:line="360" w:lineRule="auto"/>
        <w:ind w:firstLine="640"/>
        <w:rPr>
          <w:sz w:val="36"/>
          <w:szCs w:val="36"/>
        </w:rPr>
      </w:pPr>
    </w:p>
    <w:p>
      <w:pPr>
        <w:spacing w:before="0" w:beforeLines="0" w:after="0" w:afterLines="0" w:line="240" w:lineRule="auto"/>
        <w:ind w:left="0" w:leftChars="0" w:right="0" w:rightChars="0" w:firstLine="0" w:firstLineChars="0"/>
        <w:jc w:val="center"/>
        <w:rPr>
          <w:rFonts w:ascii="宋体" w:hAnsi="宋体" w:eastAsia="宋体" w:cs="Arial"/>
          <w:snapToGrid w:val="0"/>
          <w:color w:val="000000"/>
          <w:kern w:val="0"/>
          <w:sz w:val="21"/>
          <w:szCs w:val="21"/>
          <w:lang w:val="en-US" w:eastAsia="en-US" w:bidi="ar-SA"/>
        </w:rPr>
      </w:pPr>
    </w:p>
    <w:p>
      <w:pPr>
        <w:spacing w:before="0" w:beforeLines="0" w:after="0" w:afterLines="0" w:line="240" w:lineRule="auto"/>
        <w:ind w:left="0" w:leftChars="0" w:right="0" w:rightChars="0" w:firstLine="0" w:firstLineChars="0"/>
        <w:jc w:val="center"/>
        <w:rPr>
          <w:rFonts w:ascii="宋体" w:hAnsi="宋体" w:eastAsia="宋体" w:cs="Arial"/>
          <w:snapToGrid w:val="0"/>
          <w:color w:val="000000"/>
          <w:kern w:val="0"/>
          <w:sz w:val="21"/>
          <w:szCs w:val="21"/>
          <w:lang w:val="en-US" w:eastAsia="en-US" w:bidi="ar-SA"/>
        </w:rPr>
      </w:pPr>
    </w:p>
    <w:p>
      <w:pPr>
        <w:spacing w:before="0" w:beforeLines="0" w:after="0" w:afterLines="0" w:line="240" w:lineRule="auto"/>
        <w:ind w:left="0" w:leftChars="0" w:right="0" w:rightChars="0" w:firstLine="0" w:firstLineChars="0"/>
        <w:jc w:val="center"/>
        <w:rPr>
          <w:rFonts w:ascii="宋体" w:hAnsi="宋体" w:eastAsia="宋体" w:cs="Arial"/>
          <w:snapToGrid w:val="0"/>
          <w:color w:val="000000"/>
          <w:kern w:val="0"/>
          <w:sz w:val="21"/>
          <w:szCs w:val="21"/>
          <w:lang w:val="en-US" w:eastAsia="en-US" w:bidi="ar-SA"/>
        </w:rPr>
      </w:pPr>
    </w:p>
    <w:p>
      <w:pPr>
        <w:spacing w:before="0" w:beforeLines="0" w:after="0" w:afterLines="0" w:line="240" w:lineRule="auto"/>
        <w:ind w:left="0" w:leftChars="0" w:right="0" w:rightChars="0" w:firstLine="0" w:firstLineChars="0"/>
        <w:jc w:val="center"/>
        <w:rPr>
          <w:rFonts w:ascii="宋体" w:hAnsi="宋体" w:eastAsia="宋体" w:cs="Arial"/>
          <w:snapToGrid w:val="0"/>
          <w:color w:val="000000"/>
          <w:kern w:val="0"/>
          <w:sz w:val="21"/>
          <w:szCs w:val="21"/>
          <w:lang w:val="en-US" w:eastAsia="en-US" w:bidi="ar-SA"/>
        </w:rPr>
      </w:pPr>
    </w:p>
    <w:p>
      <w:pPr>
        <w:spacing w:before="0" w:beforeLines="0" w:after="0" w:afterLines="0" w:line="240" w:lineRule="auto"/>
        <w:ind w:left="0" w:leftChars="0" w:right="0" w:rightChars="0" w:firstLine="0" w:firstLineChars="0"/>
        <w:jc w:val="center"/>
        <w:rPr>
          <w:rFonts w:ascii="宋体" w:hAnsi="宋体" w:eastAsia="宋体" w:cs="Arial"/>
          <w:snapToGrid w:val="0"/>
          <w:color w:val="000000"/>
          <w:kern w:val="0"/>
          <w:sz w:val="21"/>
          <w:szCs w:val="21"/>
          <w:lang w:val="en-US" w:eastAsia="en-US" w:bidi="ar-SA"/>
        </w:rPr>
      </w:pPr>
    </w:p>
    <w:sdt>
      <w:sdtPr>
        <w:rPr>
          <w:rFonts w:ascii="宋体" w:hAnsi="宋体" w:eastAsia="宋体" w:cs="Arial"/>
          <w:snapToGrid w:val="0"/>
          <w:color w:val="000000"/>
          <w:kern w:val="0"/>
          <w:sz w:val="21"/>
          <w:szCs w:val="21"/>
          <w:lang w:val="en-US" w:eastAsia="en-US" w:bidi="ar-SA"/>
        </w:rPr>
        <w:id w:val="147458122"/>
        <w15:color w:val="DBDBDB"/>
        <w:docPartObj>
          <w:docPartGallery w:val="Table of Contents"/>
          <w:docPartUnique/>
        </w:docPartObj>
      </w:sdtPr>
      <w:sdtEndPr>
        <w:rPr>
          <w:rFonts w:hint="eastAsia" w:ascii="宋体" w:hAnsi="宋体" w:eastAsia="宋体" w:cs="宋体"/>
          <w:snapToGrid w:val="0"/>
          <w:color w:val="000000"/>
          <w:kern w:val="0"/>
          <w:sz w:val="28"/>
          <w:szCs w:val="28"/>
          <w:lang w:val="en-US" w:eastAsia="en-US" w:bidi="ar-SA"/>
        </w:rPr>
      </w:sdtEndPr>
      <w:sdtContent>
        <w:p>
          <w:pPr>
            <w:spacing w:before="0" w:beforeLines="0" w:after="0" w:afterLines="0" w:line="240" w:lineRule="auto"/>
            <w:ind w:left="0" w:leftChars="0" w:right="0" w:rightChars="0" w:firstLine="0" w:firstLineChars="0"/>
            <w:jc w:val="center"/>
            <w:rPr>
              <w:sz w:val="36"/>
              <w:szCs w:val="36"/>
            </w:rPr>
          </w:pPr>
          <w:r>
            <w:rPr>
              <w:rFonts w:ascii="宋体" w:hAnsi="宋体" w:eastAsia="宋体"/>
              <w:b/>
              <w:bCs/>
              <w:sz w:val="32"/>
              <w:szCs w:val="32"/>
            </w:rPr>
            <w:t>目录</w:t>
          </w:r>
        </w:p>
        <w:p>
          <w:pPr>
            <w:pStyle w:val="15"/>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"1-2" \h \u </w:instrText>
          </w:r>
          <w:r>
            <w:rPr>
              <w:rFonts w:hint="eastAsia" w:ascii="宋体" w:hAnsi="宋体" w:eastAsia="宋体" w:cs="宋体"/>
              <w:sz w:val="28"/>
              <w:szCs w:val="28"/>
            </w:rP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_Toc16021 </w:instrText>
          </w:r>
          <w:r>
            <w:rPr>
              <w:rFonts w:hint="eastAsia" w:ascii="宋体" w:hAnsi="宋体" w:eastAsia="宋体" w:cs="宋体"/>
              <w:sz w:val="28"/>
              <w:szCs w:val="28"/>
            </w:rPr>
            <w:fldChar w:fldCharType="separate"/>
          </w:r>
          <w:r>
            <w:rPr>
              <w:rFonts w:hint="eastAsia" w:ascii="宋体" w:hAnsi="宋体" w:eastAsia="宋体" w:cs="宋体"/>
              <w:bCs/>
              <w:spacing w:val="-1"/>
              <w:sz w:val="28"/>
              <w:szCs w:val="28"/>
            </w:rPr>
            <w:t>第一章</w:t>
          </w:r>
          <w:r>
            <w:rPr>
              <w:rFonts w:hint="eastAsia" w:ascii="宋体" w:hAnsi="宋体" w:eastAsia="宋体" w:cs="宋体"/>
              <w:bCs/>
              <w:spacing w:val="-1"/>
              <w:sz w:val="28"/>
              <w:szCs w:val="28"/>
              <w:lang w:val="en-US" w:eastAsia="zh-CN"/>
            </w:rPr>
            <w:t xml:space="preserve">  </w:t>
          </w:r>
          <w:r>
            <w:rPr>
              <w:rFonts w:hint="eastAsia" w:ascii="宋体" w:hAnsi="宋体" w:eastAsia="宋体" w:cs="宋体"/>
              <w:bCs/>
              <w:spacing w:val="-1"/>
              <w:sz w:val="28"/>
              <w:szCs w:val="28"/>
            </w:rPr>
            <w:t>规划背景</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_Toc16021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_Toc11183 </w:instrText>
          </w:r>
          <w:r>
            <w:rPr>
              <w:rFonts w:hint="eastAsia" w:ascii="宋体" w:hAnsi="宋体" w:eastAsia="宋体" w:cs="宋体"/>
              <w:sz w:val="28"/>
              <w:szCs w:val="28"/>
            </w:rPr>
            <w:fldChar w:fldCharType="separate"/>
          </w:r>
          <w:r>
            <w:rPr>
              <w:rFonts w:hint="eastAsia" w:ascii="宋体" w:hAnsi="宋体" w:eastAsia="宋体" w:cs="宋体"/>
              <w:bCs/>
              <w:spacing w:val="2"/>
              <w:position w:val="1"/>
              <w:sz w:val="28"/>
              <w:szCs w:val="28"/>
            </w:rPr>
            <w:t>第一节</w:t>
          </w:r>
          <w:r>
            <w:rPr>
              <w:rFonts w:hint="eastAsia" w:ascii="宋体" w:hAnsi="宋体" w:eastAsia="宋体" w:cs="宋体"/>
              <w:bCs/>
              <w:spacing w:val="2"/>
              <w:position w:val="1"/>
              <w:sz w:val="28"/>
              <w:szCs w:val="28"/>
              <w:lang w:val="en-US" w:eastAsia="zh-CN"/>
            </w:rPr>
            <w:t xml:space="preserve"> </w:t>
          </w:r>
          <w:r>
            <w:rPr>
              <w:rFonts w:hint="eastAsia" w:ascii="宋体" w:hAnsi="宋体" w:eastAsia="宋体" w:cs="宋体"/>
              <w:bCs/>
              <w:spacing w:val="2"/>
              <w:position w:val="1"/>
              <w:sz w:val="28"/>
              <w:szCs w:val="28"/>
            </w:rPr>
            <w:t>区域概况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_Toc11183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_Toc20195 </w:instrText>
          </w:r>
          <w:r>
            <w:rPr>
              <w:rFonts w:hint="eastAsia" w:ascii="宋体" w:hAnsi="宋体" w:eastAsia="宋体" w:cs="宋体"/>
              <w:sz w:val="28"/>
              <w:szCs w:val="28"/>
            </w:rPr>
            <w:fldChar w:fldCharType="separate"/>
          </w:r>
          <w:r>
            <w:rPr>
              <w:rFonts w:hint="eastAsia" w:ascii="宋体" w:hAnsi="宋体" w:eastAsia="宋体" w:cs="宋体"/>
              <w:bCs/>
              <w:spacing w:val="7"/>
              <w:position w:val="1"/>
              <w:sz w:val="28"/>
              <w:szCs w:val="28"/>
            </w:rPr>
            <w:t>第二节 规划编制的必要性</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_Toc20195 \h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_Toc11055 </w:instrText>
          </w:r>
          <w:r>
            <w:rPr>
              <w:rFonts w:hint="eastAsia" w:ascii="宋体" w:hAnsi="宋体" w:eastAsia="宋体" w:cs="宋体"/>
              <w:sz w:val="28"/>
              <w:szCs w:val="28"/>
            </w:rPr>
            <w:fldChar w:fldCharType="separate"/>
          </w:r>
          <w:r>
            <w:rPr>
              <w:rFonts w:hint="eastAsia" w:ascii="宋体" w:hAnsi="宋体" w:eastAsia="宋体" w:cs="宋体"/>
              <w:bCs/>
              <w:spacing w:val="7"/>
              <w:position w:val="1"/>
              <w:sz w:val="28"/>
              <w:szCs w:val="28"/>
            </w:rPr>
            <w:t>第三节 生态修复工作成效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_Toc11055 \h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_Toc29763 </w:instrText>
          </w:r>
          <w:r>
            <w:rPr>
              <w:rFonts w:hint="eastAsia" w:ascii="宋体" w:hAnsi="宋体" w:eastAsia="宋体" w:cs="宋体"/>
              <w:sz w:val="28"/>
              <w:szCs w:val="28"/>
            </w:rPr>
            <w:fldChar w:fldCharType="separate"/>
          </w:r>
          <w:r>
            <w:rPr>
              <w:rFonts w:hint="eastAsia" w:ascii="宋体" w:hAnsi="宋体" w:eastAsia="宋体" w:cs="宋体"/>
              <w:bCs/>
              <w:spacing w:val="-1"/>
              <w:sz w:val="28"/>
              <w:szCs w:val="28"/>
            </w:rPr>
            <w:t>第二章</w:t>
          </w:r>
          <w:r>
            <w:rPr>
              <w:rFonts w:hint="eastAsia" w:ascii="宋体" w:hAnsi="宋体" w:eastAsia="宋体" w:cs="宋体"/>
              <w:bCs/>
              <w:spacing w:val="-1"/>
              <w:sz w:val="28"/>
              <w:szCs w:val="28"/>
              <w:lang w:val="en-US" w:eastAsia="zh-CN"/>
            </w:rPr>
            <w:t xml:space="preserve">  </w:t>
          </w:r>
          <w:r>
            <w:rPr>
              <w:rFonts w:hint="eastAsia" w:ascii="宋体" w:hAnsi="宋体" w:eastAsia="宋体" w:cs="宋体"/>
              <w:bCs/>
              <w:spacing w:val="-1"/>
              <w:sz w:val="28"/>
              <w:szCs w:val="28"/>
            </w:rPr>
            <w:t>规划编制的思路、原则与过程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_Toc29763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_Toc12304 </w:instrText>
          </w:r>
          <w:r>
            <w:rPr>
              <w:rFonts w:hint="eastAsia" w:ascii="宋体" w:hAnsi="宋体" w:eastAsia="宋体" w:cs="宋体"/>
              <w:sz w:val="28"/>
              <w:szCs w:val="28"/>
            </w:rPr>
            <w:fldChar w:fldCharType="separate"/>
          </w:r>
          <w:r>
            <w:rPr>
              <w:rFonts w:hint="eastAsia" w:ascii="宋体" w:hAnsi="宋体" w:eastAsia="宋体" w:cs="宋体"/>
              <w:bCs/>
              <w:spacing w:val="8"/>
              <w:position w:val="1"/>
              <w:sz w:val="28"/>
              <w:szCs w:val="28"/>
            </w:rPr>
            <w:t>第一节 指导思想与总体思路</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_Toc12304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_Toc25789 </w:instrText>
          </w:r>
          <w:r>
            <w:rPr>
              <w:rFonts w:hint="eastAsia" w:ascii="宋体" w:hAnsi="宋体" w:eastAsia="宋体" w:cs="宋体"/>
              <w:sz w:val="28"/>
              <w:szCs w:val="28"/>
            </w:rPr>
            <w:fldChar w:fldCharType="separate"/>
          </w:r>
          <w:r>
            <w:rPr>
              <w:rFonts w:hint="eastAsia" w:ascii="宋体" w:hAnsi="宋体" w:eastAsia="宋体" w:cs="宋体"/>
              <w:bCs/>
              <w:spacing w:val="8"/>
              <w:position w:val="1"/>
              <w:sz w:val="28"/>
              <w:szCs w:val="28"/>
            </w:rPr>
            <w:t>第二节 规划编制的基本原则</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_Toc25789 \h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_Toc18156 </w:instrText>
          </w:r>
          <w:r>
            <w:rPr>
              <w:rFonts w:hint="eastAsia" w:ascii="宋体" w:hAnsi="宋体" w:eastAsia="宋体" w:cs="宋体"/>
              <w:sz w:val="28"/>
              <w:szCs w:val="28"/>
            </w:rPr>
            <w:fldChar w:fldCharType="separate"/>
          </w:r>
          <w:r>
            <w:rPr>
              <w:rFonts w:hint="eastAsia" w:ascii="宋体" w:hAnsi="宋体" w:eastAsia="宋体" w:cs="宋体"/>
              <w:bCs/>
              <w:spacing w:val="7"/>
              <w:position w:val="1"/>
              <w:sz w:val="28"/>
              <w:szCs w:val="28"/>
            </w:rPr>
            <w:t>第三节 规划编制的过程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_Toc18156 \h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_Toc13932 </w:instrText>
          </w:r>
          <w:r>
            <w:rPr>
              <w:rFonts w:hint="eastAsia" w:ascii="宋体" w:hAnsi="宋体" w:eastAsia="宋体" w:cs="宋体"/>
              <w:sz w:val="28"/>
              <w:szCs w:val="28"/>
            </w:rPr>
            <w:fldChar w:fldCharType="separate"/>
          </w:r>
          <w:r>
            <w:rPr>
              <w:rFonts w:hint="eastAsia" w:ascii="宋体" w:hAnsi="宋体" w:eastAsia="宋体" w:cs="宋体"/>
              <w:bCs/>
              <w:spacing w:val="-2"/>
              <w:sz w:val="28"/>
              <w:szCs w:val="28"/>
            </w:rPr>
            <w:t>第三章</w:t>
          </w:r>
          <w:r>
            <w:rPr>
              <w:rFonts w:hint="eastAsia" w:ascii="宋体" w:hAnsi="宋体" w:eastAsia="宋体" w:cs="宋体"/>
              <w:bCs/>
              <w:spacing w:val="-2"/>
              <w:sz w:val="28"/>
              <w:szCs w:val="28"/>
              <w:lang w:val="en-US" w:eastAsia="zh-CN"/>
            </w:rPr>
            <w:t xml:space="preserve">  </w:t>
          </w:r>
          <w:r>
            <w:rPr>
              <w:rFonts w:hint="eastAsia" w:ascii="宋体" w:hAnsi="宋体" w:eastAsia="宋体" w:cs="宋体"/>
              <w:bCs/>
              <w:spacing w:val="-2"/>
              <w:sz w:val="28"/>
              <w:szCs w:val="28"/>
            </w:rPr>
            <w:t>规划数据说明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_Toc13932 \h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_Toc8625 </w:instrText>
          </w:r>
          <w:r>
            <w:rPr>
              <w:rFonts w:hint="eastAsia" w:ascii="宋体" w:hAnsi="宋体" w:eastAsia="宋体" w:cs="宋体"/>
              <w:sz w:val="28"/>
              <w:szCs w:val="28"/>
            </w:rPr>
            <w:fldChar w:fldCharType="separate"/>
          </w:r>
          <w:r>
            <w:rPr>
              <w:rFonts w:hint="eastAsia" w:ascii="宋体" w:hAnsi="宋体" w:eastAsia="宋体" w:cs="宋体"/>
              <w:bCs/>
              <w:spacing w:val="7"/>
              <w:position w:val="1"/>
              <w:sz w:val="28"/>
              <w:szCs w:val="28"/>
            </w:rPr>
            <w:t>第一节 基础数据种类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_Toc8625 \h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_Toc32451 </w:instrText>
          </w:r>
          <w:r>
            <w:rPr>
              <w:rFonts w:hint="eastAsia" w:ascii="宋体" w:hAnsi="宋体" w:eastAsia="宋体" w:cs="宋体"/>
              <w:sz w:val="28"/>
              <w:szCs w:val="28"/>
            </w:rPr>
            <w:fldChar w:fldCharType="separate"/>
          </w:r>
          <w:r>
            <w:rPr>
              <w:rFonts w:hint="eastAsia" w:ascii="宋体" w:hAnsi="宋体" w:eastAsia="宋体" w:cs="宋体"/>
              <w:bCs/>
              <w:spacing w:val="8"/>
              <w:position w:val="1"/>
              <w:sz w:val="28"/>
              <w:szCs w:val="28"/>
            </w:rPr>
            <w:t>第二节 基础数据来源与转换</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_Toc32451 \h </w:instrText>
          </w:r>
          <w:r>
            <w:rPr>
              <w:rFonts w:hint="eastAsia" w:ascii="宋体" w:hAnsi="宋体" w:eastAsia="宋体" w:cs="宋体"/>
              <w:sz w:val="28"/>
              <w:szCs w:val="28"/>
            </w:rPr>
            <w:fldChar w:fldCharType="separate"/>
          </w:r>
          <w:r>
            <w:rPr>
              <w:rFonts w:hint="eastAsia" w:ascii="宋体" w:hAnsi="宋体" w:eastAsia="宋体" w:cs="宋体"/>
              <w:sz w:val="28"/>
              <w:szCs w:val="28"/>
            </w:rPr>
            <w:t>20</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_Toc26204 </w:instrText>
          </w:r>
          <w:r>
            <w:rPr>
              <w:rFonts w:hint="eastAsia" w:ascii="宋体" w:hAnsi="宋体" w:eastAsia="宋体" w:cs="宋体"/>
              <w:sz w:val="28"/>
              <w:szCs w:val="28"/>
            </w:rPr>
            <w:fldChar w:fldCharType="separate"/>
          </w:r>
          <w:r>
            <w:rPr>
              <w:rFonts w:hint="eastAsia" w:ascii="宋体" w:hAnsi="宋体" w:eastAsia="宋体" w:cs="宋体"/>
              <w:bCs/>
              <w:spacing w:val="-1"/>
              <w:sz w:val="28"/>
              <w:szCs w:val="28"/>
            </w:rPr>
            <w:t>第四章</w:t>
          </w:r>
          <w:r>
            <w:rPr>
              <w:rFonts w:hint="eastAsia" w:ascii="宋体" w:hAnsi="宋体" w:eastAsia="宋体" w:cs="宋体"/>
              <w:bCs/>
              <w:spacing w:val="-1"/>
              <w:sz w:val="28"/>
              <w:szCs w:val="28"/>
              <w:lang w:val="en-US" w:eastAsia="zh-CN"/>
            </w:rPr>
            <w:t xml:space="preserve">  </w:t>
          </w:r>
          <w:r>
            <w:rPr>
              <w:rFonts w:hint="eastAsia" w:ascii="宋体" w:hAnsi="宋体" w:eastAsia="宋体" w:cs="宋体"/>
              <w:bCs/>
              <w:spacing w:val="-1"/>
              <w:sz w:val="28"/>
              <w:szCs w:val="28"/>
            </w:rPr>
            <w:t>分析评价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_Toc26204 \h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_Toc24786 </w:instrText>
          </w:r>
          <w:r>
            <w:rPr>
              <w:rFonts w:hint="eastAsia" w:ascii="宋体" w:hAnsi="宋体" w:eastAsia="宋体" w:cs="宋体"/>
              <w:sz w:val="28"/>
              <w:szCs w:val="28"/>
            </w:rPr>
            <w:fldChar w:fldCharType="separate"/>
          </w:r>
          <w:r>
            <w:rPr>
              <w:rFonts w:hint="eastAsia" w:ascii="宋体" w:hAnsi="宋体" w:eastAsia="宋体" w:cs="宋体"/>
              <w:bCs/>
              <w:spacing w:val="7"/>
              <w:position w:val="1"/>
              <w:sz w:val="28"/>
              <w:szCs w:val="28"/>
            </w:rPr>
            <w:t>第一节 生态本底分析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_Toc24786 \h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_Toc5277 </w:instrText>
          </w:r>
          <w:r>
            <w:rPr>
              <w:rFonts w:hint="eastAsia" w:ascii="宋体" w:hAnsi="宋体" w:eastAsia="宋体" w:cs="宋体"/>
              <w:sz w:val="28"/>
              <w:szCs w:val="28"/>
            </w:rPr>
            <w:fldChar w:fldCharType="separate"/>
          </w:r>
          <w:r>
            <w:rPr>
              <w:rFonts w:hint="eastAsia" w:ascii="宋体" w:hAnsi="宋体" w:eastAsia="宋体" w:cs="宋体"/>
              <w:bCs/>
              <w:spacing w:val="7"/>
              <w:position w:val="1"/>
              <w:sz w:val="28"/>
              <w:szCs w:val="28"/>
            </w:rPr>
            <w:t>第二节 生态空间问题分析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_Toc5277 \h </w:instrText>
          </w:r>
          <w:r>
            <w:rPr>
              <w:rFonts w:hint="eastAsia" w:ascii="宋体" w:hAnsi="宋体" w:eastAsia="宋体" w:cs="宋体"/>
              <w:sz w:val="28"/>
              <w:szCs w:val="28"/>
            </w:rPr>
            <w:fldChar w:fldCharType="separate"/>
          </w:r>
          <w:r>
            <w:rPr>
              <w:rFonts w:hint="eastAsia" w:ascii="宋体" w:hAnsi="宋体" w:eastAsia="宋体" w:cs="宋体"/>
              <w:sz w:val="28"/>
              <w:szCs w:val="28"/>
            </w:rPr>
            <w:t>29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_Toc10980 </w:instrText>
          </w:r>
          <w:r>
            <w:rPr>
              <w:rFonts w:hint="eastAsia" w:ascii="宋体" w:hAnsi="宋体" w:eastAsia="宋体" w:cs="宋体"/>
              <w:sz w:val="28"/>
              <w:szCs w:val="28"/>
            </w:rPr>
            <w:fldChar w:fldCharType="separate"/>
          </w:r>
          <w:r>
            <w:rPr>
              <w:rFonts w:hint="eastAsia" w:ascii="宋体" w:hAnsi="宋体" w:eastAsia="宋体" w:cs="宋体"/>
              <w:bCs/>
              <w:spacing w:val="7"/>
              <w:position w:val="1"/>
              <w:sz w:val="28"/>
              <w:szCs w:val="28"/>
            </w:rPr>
            <w:t>第三节 农业空间问题分析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_Toc10980 \h </w:instrText>
          </w:r>
          <w:r>
            <w:rPr>
              <w:rFonts w:hint="eastAsia" w:ascii="宋体" w:hAnsi="宋体" w:eastAsia="宋体" w:cs="宋体"/>
              <w:sz w:val="28"/>
              <w:szCs w:val="28"/>
            </w:rPr>
            <w:fldChar w:fldCharType="separate"/>
          </w:r>
          <w:r>
            <w:rPr>
              <w:rFonts w:hint="eastAsia" w:ascii="宋体" w:hAnsi="宋体" w:eastAsia="宋体" w:cs="宋体"/>
              <w:sz w:val="28"/>
              <w:szCs w:val="28"/>
            </w:rPr>
            <w:t>33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_Toc16772 </w:instrText>
          </w:r>
          <w:r>
            <w:rPr>
              <w:rFonts w:hint="eastAsia" w:ascii="宋体" w:hAnsi="宋体" w:eastAsia="宋体" w:cs="宋体"/>
              <w:sz w:val="28"/>
              <w:szCs w:val="28"/>
            </w:rPr>
            <w:fldChar w:fldCharType="separate"/>
          </w:r>
          <w:r>
            <w:rPr>
              <w:rFonts w:hint="eastAsia" w:ascii="宋体" w:hAnsi="宋体" w:eastAsia="宋体" w:cs="宋体"/>
              <w:bCs/>
              <w:snapToGrid w:val="0"/>
              <w:kern w:val="0"/>
              <w:sz w:val="28"/>
              <w:szCs w:val="28"/>
              <w:highlight w:val="none"/>
              <w:lang w:val="en-US" w:eastAsia="zh-CN" w:bidi="ar-SA"/>
            </w:rPr>
            <w:t>第四节 城镇空间问题分析</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_Toc16772 \h </w:instrText>
          </w:r>
          <w:r>
            <w:rPr>
              <w:rFonts w:hint="eastAsia" w:ascii="宋体" w:hAnsi="宋体" w:eastAsia="宋体" w:cs="宋体"/>
              <w:sz w:val="28"/>
              <w:szCs w:val="28"/>
            </w:rPr>
            <w:fldChar w:fldCharType="separate"/>
          </w:r>
          <w:r>
            <w:rPr>
              <w:rFonts w:hint="eastAsia" w:ascii="宋体" w:hAnsi="宋体" w:eastAsia="宋体" w:cs="宋体"/>
              <w:sz w:val="28"/>
              <w:szCs w:val="28"/>
            </w:rPr>
            <w:t>34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_Toc26100 </w:instrText>
          </w:r>
          <w:r>
            <w:rPr>
              <w:rFonts w:hint="eastAsia" w:ascii="宋体" w:hAnsi="宋体" w:eastAsia="宋体" w:cs="宋体"/>
              <w:sz w:val="28"/>
              <w:szCs w:val="28"/>
            </w:rPr>
            <w:fldChar w:fldCharType="separate"/>
          </w:r>
          <w:r>
            <w:rPr>
              <w:rFonts w:hint="eastAsia" w:ascii="宋体" w:hAnsi="宋体" w:eastAsia="宋体" w:cs="宋体"/>
              <w:bCs/>
              <w:spacing w:val="8"/>
              <w:position w:val="1"/>
              <w:sz w:val="28"/>
              <w:szCs w:val="28"/>
            </w:rPr>
            <w:t>第</w:t>
          </w:r>
          <w:r>
            <w:rPr>
              <w:rFonts w:hint="eastAsia" w:ascii="宋体" w:hAnsi="宋体" w:eastAsia="宋体" w:cs="宋体"/>
              <w:bCs/>
              <w:spacing w:val="8"/>
              <w:position w:val="1"/>
              <w:sz w:val="28"/>
              <w:szCs w:val="28"/>
              <w:lang w:val="en-US" w:eastAsia="zh-CN"/>
            </w:rPr>
            <w:t>五</w:t>
          </w:r>
          <w:r>
            <w:rPr>
              <w:rFonts w:hint="eastAsia" w:ascii="宋体" w:hAnsi="宋体" w:eastAsia="宋体" w:cs="宋体"/>
              <w:bCs/>
              <w:spacing w:val="8"/>
              <w:position w:val="1"/>
              <w:sz w:val="28"/>
              <w:szCs w:val="28"/>
            </w:rPr>
            <w:t>节 生态系统恢复力评价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_Toc26100 \h </w:instrText>
          </w:r>
          <w:r>
            <w:rPr>
              <w:rFonts w:hint="eastAsia" w:ascii="宋体" w:hAnsi="宋体" w:eastAsia="宋体" w:cs="宋体"/>
              <w:sz w:val="28"/>
              <w:szCs w:val="28"/>
            </w:rPr>
            <w:fldChar w:fldCharType="separate"/>
          </w:r>
          <w:r>
            <w:rPr>
              <w:rFonts w:hint="eastAsia" w:ascii="宋体" w:hAnsi="宋体" w:eastAsia="宋体" w:cs="宋体"/>
              <w:sz w:val="28"/>
              <w:szCs w:val="28"/>
            </w:rPr>
            <w:t>34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_Toc8614 </w:instrText>
          </w:r>
          <w:r>
            <w:rPr>
              <w:rFonts w:hint="eastAsia" w:ascii="宋体" w:hAnsi="宋体" w:eastAsia="宋体" w:cs="宋体"/>
              <w:sz w:val="28"/>
              <w:szCs w:val="28"/>
            </w:rPr>
            <w:fldChar w:fldCharType="separate"/>
          </w:r>
          <w:r>
            <w:rPr>
              <w:rFonts w:hint="eastAsia" w:ascii="宋体" w:hAnsi="宋体" w:eastAsia="宋体" w:cs="宋体"/>
              <w:bCs/>
              <w:spacing w:val="-1"/>
              <w:sz w:val="28"/>
              <w:szCs w:val="28"/>
            </w:rPr>
            <w:t>第五章</w:t>
          </w:r>
          <w:r>
            <w:rPr>
              <w:rFonts w:hint="eastAsia" w:ascii="宋体" w:hAnsi="宋体" w:eastAsia="宋体" w:cs="宋体"/>
              <w:bCs/>
              <w:spacing w:val="-1"/>
              <w:sz w:val="28"/>
              <w:szCs w:val="28"/>
              <w:lang w:val="en-US" w:eastAsia="zh-CN"/>
            </w:rPr>
            <w:t xml:space="preserve">  </w:t>
          </w:r>
          <w:r>
            <w:rPr>
              <w:rFonts w:hint="eastAsia" w:ascii="宋体" w:hAnsi="宋体" w:eastAsia="宋体" w:cs="宋体"/>
              <w:bCs/>
              <w:spacing w:val="-1"/>
              <w:sz w:val="28"/>
              <w:szCs w:val="28"/>
            </w:rPr>
            <w:t>规划目标指标</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_Toc8614 \h </w:instrText>
          </w:r>
          <w:r>
            <w:rPr>
              <w:rFonts w:hint="eastAsia" w:ascii="宋体" w:hAnsi="宋体" w:eastAsia="宋体" w:cs="宋体"/>
              <w:sz w:val="28"/>
              <w:szCs w:val="28"/>
            </w:rPr>
            <w:fldChar w:fldCharType="separate"/>
          </w:r>
          <w:r>
            <w:rPr>
              <w:rFonts w:hint="eastAsia" w:ascii="宋体" w:hAnsi="宋体" w:eastAsia="宋体" w:cs="宋体"/>
              <w:sz w:val="28"/>
              <w:szCs w:val="28"/>
            </w:rPr>
            <w:t>37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_Toc3519 </w:instrText>
          </w:r>
          <w:r>
            <w:rPr>
              <w:rFonts w:hint="eastAsia" w:ascii="宋体" w:hAnsi="宋体" w:eastAsia="宋体" w:cs="宋体"/>
              <w:sz w:val="28"/>
              <w:szCs w:val="28"/>
            </w:rPr>
            <w:fldChar w:fldCharType="separate"/>
          </w:r>
          <w:r>
            <w:rPr>
              <w:rFonts w:hint="eastAsia" w:ascii="宋体" w:hAnsi="宋体" w:eastAsia="宋体" w:cs="宋体"/>
              <w:bCs/>
              <w:spacing w:val="2"/>
              <w:position w:val="1"/>
              <w:sz w:val="28"/>
              <w:szCs w:val="28"/>
            </w:rPr>
            <w:t>第一节</w:t>
          </w:r>
          <w:r>
            <w:rPr>
              <w:rFonts w:hint="eastAsia" w:ascii="宋体" w:hAnsi="宋体" w:eastAsia="宋体" w:cs="宋体"/>
              <w:bCs/>
              <w:spacing w:val="2"/>
              <w:position w:val="1"/>
              <w:sz w:val="28"/>
              <w:szCs w:val="28"/>
              <w:lang w:val="en-US" w:eastAsia="zh-CN"/>
            </w:rPr>
            <w:t xml:space="preserve"> </w:t>
          </w:r>
          <w:r>
            <w:rPr>
              <w:rFonts w:hint="eastAsia" w:ascii="宋体" w:hAnsi="宋体" w:eastAsia="宋体" w:cs="宋体"/>
              <w:bCs/>
              <w:spacing w:val="2"/>
              <w:position w:val="1"/>
              <w:sz w:val="28"/>
              <w:szCs w:val="28"/>
            </w:rPr>
            <w:t>目标确定的依据</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_Toc3519 \h </w:instrText>
          </w:r>
          <w:r>
            <w:rPr>
              <w:rFonts w:hint="eastAsia" w:ascii="宋体" w:hAnsi="宋体" w:eastAsia="宋体" w:cs="宋体"/>
              <w:sz w:val="28"/>
              <w:szCs w:val="28"/>
            </w:rPr>
            <w:fldChar w:fldCharType="separate"/>
          </w:r>
          <w:r>
            <w:rPr>
              <w:rFonts w:hint="eastAsia" w:ascii="宋体" w:hAnsi="宋体" w:eastAsia="宋体" w:cs="宋体"/>
              <w:sz w:val="28"/>
              <w:szCs w:val="28"/>
            </w:rPr>
            <w:t>37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_Toc23898 </w:instrText>
          </w:r>
          <w:r>
            <w:rPr>
              <w:rFonts w:hint="eastAsia" w:ascii="宋体" w:hAnsi="宋体" w:eastAsia="宋体" w:cs="宋体"/>
              <w:sz w:val="28"/>
              <w:szCs w:val="28"/>
            </w:rPr>
            <w:fldChar w:fldCharType="separate"/>
          </w:r>
          <w:r>
            <w:rPr>
              <w:rFonts w:hint="eastAsia" w:ascii="宋体" w:hAnsi="宋体" w:eastAsia="宋体" w:cs="宋体"/>
              <w:bCs/>
              <w:spacing w:val="7"/>
              <w:position w:val="1"/>
              <w:sz w:val="28"/>
              <w:szCs w:val="28"/>
            </w:rPr>
            <w:t>第二节 指标的确定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_Toc23898 \h </w:instrText>
          </w:r>
          <w:r>
            <w:rPr>
              <w:rFonts w:hint="eastAsia" w:ascii="宋体" w:hAnsi="宋体" w:eastAsia="宋体" w:cs="宋体"/>
              <w:sz w:val="28"/>
              <w:szCs w:val="28"/>
            </w:rPr>
            <w:fldChar w:fldCharType="separate"/>
          </w:r>
          <w:r>
            <w:rPr>
              <w:rFonts w:hint="eastAsia" w:ascii="宋体" w:hAnsi="宋体" w:eastAsia="宋体" w:cs="宋体"/>
              <w:sz w:val="28"/>
              <w:szCs w:val="28"/>
            </w:rPr>
            <w:t>38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_Toc7813 </w:instrText>
          </w:r>
          <w:r>
            <w:rPr>
              <w:rFonts w:hint="eastAsia" w:ascii="宋体" w:hAnsi="宋体" w:eastAsia="宋体" w:cs="宋体"/>
              <w:sz w:val="28"/>
              <w:szCs w:val="28"/>
            </w:rPr>
            <w:fldChar w:fldCharType="separate"/>
          </w:r>
          <w:r>
            <w:rPr>
              <w:rFonts w:hint="eastAsia" w:ascii="宋体" w:hAnsi="宋体" w:eastAsia="宋体" w:cs="宋体"/>
              <w:bCs/>
              <w:spacing w:val="-1"/>
              <w:sz w:val="28"/>
              <w:szCs w:val="28"/>
            </w:rPr>
            <w:t>第六章</w:t>
          </w:r>
          <w:r>
            <w:rPr>
              <w:rFonts w:hint="eastAsia" w:ascii="宋体" w:hAnsi="宋体" w:eastAsia="宋体" w:cs="宋体"/>
              <w:bCs/>
              <w:spacing w:val="-1"/>
              <w:sz w:val="28"/>
              <w:szCs w:val="28"/>
              <w:lang w:val="en-US" w:eastAsia="zh-CN"/>
            </w:rPr>
            <w:t xml:space="preserve">  </w:t>
          </w:r>
          <w:r>
            <w:rPr>
              <w:rFonts w:hint="eastAsia" w:ascii="宋体" w:hAnsi="宋体" w:eastAsia="宋体" w:cs="宋体"/>
              <w:bCs/>
              <w:spacing w:val="-1"/>
              <w:sz w:val="28"/>
              <w:szCs w:val="28"/>
            </w:rPr>
            <w:t>规划方案</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_Toc7813 \h </w:instrText>
          </w:r>
          <w:r>
            <w:rPr>
              <w:rFonts w:hint="eastAsia" w:ascii="宋体" w:hAnsi="宋体" w:eastAsia="宋体" w:cs="宋体"/>
              <w:sz w:val="28"/>
              <w:szCs w:val="28"/>
            </w:rPr>
            <w:fldChar w:fldCharType="separate"/>
          </w:r>
          <w:r>
            <w:rPr>
              <w:rFonts w:hint="eastAsia" w:ascii="宋体" w:hAnsi="宋体" w:eastAsia="宋体" w:cs="宋体"/>
              <w:sz w:val="28"/>
              <w:szCs w:val="28"/>
            </w:rPr>
            <w:t>39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_Toc18436 </w:instrText>
          </w:r>
          <w:r>
            <w:rPr>
              <w:rFonts w:hint="eastAsia" w:ascii="宋体" w:hAnsi="宋体" w:eastAsia="宋体" w:cs="宋体"/>
              <w:sz w:val="28"/>
              <w:szCs w:val="28"/>
            </w:rPr>
            <w:fldChar w:fldCharType="separate"/>
          </w:r>
          <w:r>
            <w:rPr>
              <w:rFonts w:hint="eastAsia" w:ascii="宋体" w:hAnsi="宋体" w:eastAsia="宋体" w:cs="宋体"/>
              <w:bCs/>
              <w:spacing w:val="8"/>
              <w:position w:val="1"/>
              <w:sz w:val="28"/>
              <w:szCs w:val="28"/>
            </w:rPr>
            <w:t>第一节 修复总体布局与分区确定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_Toc18436 \h </w:instrText>
          </w:r>
          <w:r>
            <w:rPr>
              <w:rFonts w:hint="eastAsia" w:ascii="宋体" w:hAnsi="宋体" w:eastAsia="宋体" w:cs="宋体"/>
              <w:sz w:val="28"/>
              <w:szCs w:val="28"/>
            </w:rPr>
            <w:fldChar w:fldCharType="separate"/>
          </w:r>
          <w:r>
            <w:rPr>
              <w:rFonts w:hint="eastAsia" w:ascii="宋体" w:hAnsi="宋体" w:eastAsia="宋体" w:cs="宋体"/>
              <w:sz w:val="28"/>
              <w:szCs w:val="28"/>
            </w:rPr>
            <w:t>39</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_Toc19894 </w:instrText>
          </w:r>
          <w:r>
            <w:rPr>
              <w:rFonts w:hint="eastAsia" w:ascii="宋体" w:hAnsi="宋体" w:eastAsia="宋体" w:cs="宋体"/>
              <w:sz w:val="28"/>
              <w:szCs w:val="28"/>
            </w:rPr>
            <w:fldChar w:fldCharType="separate"/>
          </w:r>
          <w:r>
            <w:rPr>
              <w:rFonts w:hint="eastAsia" w:ascii="宋体" w:hAnsi="宋体" w:eastAsia="宋体" w:cs="宋体"/>
              <w:bCs/>
              <w:spacing w:val="7"/>
              <w:position w:val="1"/>
              <w:sz w:val="28"/>
              <w:szCs w:val="28"/>
            </w:rPr>
            <w:t>第二节 重点区域的确定</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_Toc19894 \h </w:instrText>
          </w:r>
          <w:r>
            <w:rPr>
              <w:rFonts w:hint="eastAsia" w:ascii="宋体" w:hAnsi="宋体" w:eastAsia="宋体" w:cs="宋体"/>
              <w:sz w:val="28"/>
              <w:szCs w:val="28"/>
            </w:rPr>
            <w:fldChar w:fldCharType="separate"/>
          </w:r>
          <w:r>
            <w:rPr>
              <w:rFonts w:hint="eastAsia" w:ascii="宋体" w:hAnsi="宋体" w:eastAsia="宋体" w:cs="宋体"/>
              <w:sz w:val="28"/>
              <w:szCs w:val="28"/>
            </w:rPr>
            <w:t>45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_Toc6787 </w:instrText>
          </w:r>
          <w:r>
            <w:rPr>
              <w:rFonts w:hint="eastAsia" w:ascii="宋体" w:hAnsi="宋体" w:eastAsia="宋体" w:cs="宋体"/>
              <w:sz w:val="28"/>
              <w:szCs w:val="28"/>
            </w:rPr>
            <w:fldChar w:fldCharType="separate"/>
          </w:r>
          <w:r>
            <w:rPr>
              <w:rFonts w:hint="eastAsia" w:ascii="宋体" w:hAnsi="宋体" w:eastAsia="宋体" w:cs="宋体"/>
              <w:bCs/>
              <w:spacing w:val="7"/>
              <w:position w:val="1"/>
              <w:sz w:val="28"/>
              <w:szCs w:val="28"/>
            </w:rPr>
            <w:t>第三节 项目部署</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_Toc6787 \h </w:instrText>
          </w:r>
          <w:r>
            <w:rPr>
              <w:rFonts w:hint="eastAsia" w:ascii="宋体" w:hAnsi="宋体" w:eastAsia="宋体" w:cs="宋体"/>
              <w:sz w:val="28"/>
              <w:szCs w:val="28"/>
            </w:rPr>
            <w:fldChar w:fldCharType="separate"/>
          </w:r>
          <w:r>
            <w:rPr>
              <w:rFonts w:hint="eastAsia" w:ascii="宋体" w:hAnsi="宋体" w:eastAsia="宋体" w:cs="宋体"/>
              <w:sz w:val="28"/>
              <w:szCs w:val="28"/>
            </w:rPr>
            <w:t>54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_Toc11548 </w:instrText>
          </w:r>
          <w:r>
            <w:rPr>
              <w:rFonts w:hint="eastAsia" w:ascii="宋体" w:hAnsi="宋体" w:eastAsia="宋体" w:cs="宋体"/>
              <w:sz w:val="28"/>
              <w:szCs w:val="28"/>
            </w:rPr>
            <w:fldChar w:fldCharType="separate"/>
          </w:r>
          <w:r>
            <w:rPr>
              <w:rFonts w:hint="eastAsia" w:ascii="宋体" w:hAnsi="宋体" w:eastAsia="宋体" w:cs="宋体"/>
              <w:bCs/>
              <w:spacing w:val="-1"/>
              <w:sz w:val="28"/>
              <w:szCs w:val="28"/>
            </w:rPr>
            <w:t>第七章</w:t>
          </w:r>
          <w:r>
            <w:rPr>
              <w:rFonts w:hint="eastAsia" w:ascii="宋体" w:hAnsi="宋体" w:eastAsia="宋体" w:cs="宋体"/>
              <w:bCs/>
              <w:spacing w:val="-1"/>
              <w:sz w:val="28"/>
              <w:szCs w:val="28"/>
              <w:lang w:val="en-US" w:eastAsia="zh-CN"/>
            </w:rPr>
            <w:t xml:space="preserve">  </w:t>
          </w:r>
          <w:r>
            <w:rPr>
              <w:rFonts w:hint="eastAsia" w:ascii="宋体" w:hAnsi="宋体" w:eastAsia="宋体" w:cs="宋体"/>
              <w:bCs/>
              <w:spacing w:val="-1"/>
              <w:sz w:val="28"/>
              <w:szCs w:val="28"/>
            </w:rPr>
            <w:t>规划衔接与协调论证情况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_Toc11548 \h </w:instrText>
          </w:r>
          <w:r>
            <w:rPr>
              <w:rFonts w:hint="eastAsia" w:ascii="宋体" w:hAnsi="宋体" w:eastAsia="宋体" w:cs="宋体"/>
              <w:sz w:val="28"/>
              <w:szCs w:val="28"/>
            </w:rPr>
            <w:fldChar w:fldCharType="separate"/>
          </w:r>
          <w:r>
            <w:rPr>
              <w:rFonts w:hint="eastAsia" w:ascii="宋体" w:hAnsi="宋体" w:eastAsia="宋体" w:cs="宋体"/>
              <w:sz w:val="28"/>
              <w:szCs w:val="28"/>
            </w:rPr>
            <w:t>64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_Toc4670 </w:instrText>
          </w:r>
          <w:r>
            <w:rPr>
              <w:rFonts w:hint="eastAsia" w:ascii="宋体" w:hAnsi="宋体" w:eastAsia="宋体" w:cs="宋体"/>
              <w:sz w:val="28"/>
              <w:szCs w:val="28"/>
            </w:rPr>
            <w:fldChar w:fldCharType="separate"/>
          </w:r>
          <w:r>
            <w:rPr>
              <w:rFonts w:hint="eastAsia" w:ascii="宋体" w:hAnsi="宋体" w:eastAsia="宋体" w:cs="宋体"/>
              <w:bCs/>
              <w:spacing w:val="8"/>
              <w:position w:val="1"/>
              <w:sz w:val="28"/>
              <w:szCs w:val="28"/>
            </w:rPr>
            <w:t>第一节 与相关规划衔接说明</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_Toc4670 \h </w:instrText>
          </w:r>
          <w:r>
            <w:rPr>
              <w:rFonts w:hint="eastAsia" w:ascii="宋体" w:hAnsi="宋体" w:eastAsia="宋体" w:cs="宋体"/>
              <w:sz w:val="28"/>
              <w:szCs w:val="28"/>
            </w:rPr>
            <w:fldChar w:fldCharType="separate"/>
          </w:r>
          <w:r>
            <w:rPr>
              <w:rFonts w:hint="eastAsia" w:ascii="宋体" w:hAnsi="宋体" w:eastAsia="宋体" w:cs="宋体"/>
              <w:sz w:val="28"/>
              <w:szCs w:val="28"/>
            </w:rPr>
            <w:t>64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_Toc13380 </w:instrText>
          </w:r>
          <w:r>
            <w:rPr>
              <w:rFonts w:hint="eastAsia" w:ascii="宋体" w:hAnsi="宋体" w:eastAsia="宋体" w:cs="宋体"/>
              <w:sz w:val="28"/>
              <w:szCs w:val="28"/>
            </w:rPr>
            <w:fldChar w:fldCharType="separate"/>
          </w:r>
          <w:r>
            <w:rPr>
              <w:rFonts w:hint="eastAsia" w:ascii="宋体" w:hAnsi="宋体" w:eastAsia="宋体" w:cs="宋体"/>
              <w:bCs/>
              <w:spacing w:val="8"/>
              <w:position w:val="1"/>
              <w:sz w:val="28"/>
              <w:szCs w:val="28"/>
            </w:rPr>
            <w:t>第二节 论证与征求意见情况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_Toc13380 \h </w:instrText>
          </w:r>
          <w:r>
            <w:rPr>
              <w:rFonts w:hint="eastAsia" w:ascii="宋体" w:hAnsi="宋体" w:eastAsia="宋体" w:cs="宋体"/>
              <w:sz w:val="28"/>
              <w:szCs w:val="28"/>
            </w:rPr>
            <w:fldChar w:fldCharType="separate"/>
          </w:r>
          <w:r>
            <w:rPr>
              <w:rFonts w:hint="eastAsia" w:ascii="宋体" w:hAnsi="宋体" w:eastAsia="宋体" w:cs="宋体"/>
              <w:sz w:val="28"/>
              <w:szCs w:val="28"/>
            </w:rPr>
            <w:t>66</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6"/>
            <w:tabs>
              <w:tab w:val="right" w:leader="dot" w:pos="8337"/>
            </w:tabs>
            <w:spacing w:line="360" w:lineRule="auto"/>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_Toc8545 </w:instrText>
          </w:r>
          <w:r>
            <w:rPr>
              <w:rFonts w:hint="eastAsia" w:ascii="宋体" w:hAnsi="宋体" w:eastAsia="宋体" w:cs="宋体"/>
              <w:sz w:val="28"/>
              <w:szCs w:val="28"/>
            </w:rPr>
            <w:fldChar w:fldCharType="separate"/>
          </w:r>
          <w:r>
            <w:rPr>
              <w:rFonts w:hint="eastAsia" w:ascii="宋体" w:hAnsi="宋体" w:eastAsia="宋体" w:cs="宋体"/>
              <w:bCs/>
              <w:spacing w:val="8"/>
              <w:position w:val="1"/>
              <w:sz w:val="28"/>
              <w:szCs w:val="28"/>
            </w:rPr>
            <w:t>第</w:t>
          </w:r>
          <w:r>
            <w:rPr>
              <w:rFonts w:hint="eastAsia" w:ascii="宋体" w:hAnsi="宋体" w:eastAsia="宋体" w:cs="宋体"/>
              <w:bCs/>
              <w:spacing w:val="8"/>
              <w:position w:val="1"/>
              <w:sz w:val="28"/>
              <w:szCs w:val="28"/>
              <w:lang w:val="en-US" w:eastAsia="zh-CN"/>
            </w:rPr>
            <w:t>三</w:t>
          </w:r>
          <w:r>
            <w:rPr>
              <w:rFonts w:hint="eastAsia" w:ascii="宋体" w:hAnsi="宋体" w:eastAsia="宋体" w:cs="宋体"/>
              <w:bCs/>
              <w:spacing w:val="8"/>
              <w:position w:val="1"/>
              <w:sz w:val="28"/>
              <w:szCs w:val="28"/>
            </w:rPr>
            <w:t xml:space="preserve">节 </w:t>
          </w:r>
          <w:r>
            <w:rPr>
              <w:rFonts w:hint="eastAsia" w:ascii="宋体" w:hAnsi="宋体" w:eastAsia="宋体" w:cs="宋体"/>
              <w:bCs/>
              <w:spacing w:val="8"/>
              <w:position w:val="1"/>
              <w:sz w:val="28"/>
              <w:szCs w:val="28"/>
              <w:lang w:val="en-US" w:eastAsia="zh-CN"/>
            </w:rPr>
            <w:t>专家审查意见修改说明</w:t>
          </w:r>
          <w:r>
            <w:rPr>
              <w:rFonts w:hint="eastAsia" w:ascii="宋体" w:hAnsi="宋体" w:eastAsia="宋体" w:cs="宋体"/>
              <w:bCs/>
              <w:spacing w:val="8"/>
              <w:position w:val="1"/>
              <w:sz w:val="28"/>
              <w:szCs w:val="28"/>
            </w:rPr>
            <w:t>情况</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_Toc8545 \h </w:instrText>
          </w:r>
          <w:r>
            <w:rPr>
              <w:rFonts w:hint="eastAsia" w:ascii="宋体" w:hAnsi="宋体" w:eastAsia="宋体" w:cs="宋体"/>
              <w:sz w:val="28"/>
              <w:szCs w:val="28"/>
            </w:rPr>
            <w:fldChar w:fldCharType="separate"/>
          </w:r>
          <w:r>
            <w:rPr>
              <w:rFonts w:hint="eastAsia" w:ascii="宋体" w:hAnsi="宋体" w:eastAsia="宋体" w:cs="宋体"/>
              <w:sz w:val="28"/>
              <w:szCs w:val="28"/>
            </w:rPr>
            <w:t>67</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15"/>
            <w:tabs>
              <w:tab w:val="right" w:leader="dot" w:pos="8337"/>
            </w:tabs>
            <w:spacing w:line="360" w:lineRule="auto"/>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_Toc18989 </w:instrText>
          </w:r>
          <w:r>
            <w:rPr>
              <w:rFonts w:hint="eastAsia" w:ascii="宋体" w:hAnsi="宋体" w:eastAsia="宋体" w:cs="宋体"/>
              <w:sz w:val="28"/>
              <w:szCs w:val="28"/>
            </w:rPr>
            <w:fldChar w:fldCharType="separate"/>
          </w:r>
          <w:r>
            <w:rPr>
              <w:rFonts w:hint="eastAsia" w:ascii="宋体" w:hAnsi="宋体" w:eastAsia="宋体" w:cs="宋体"/>
              <w:bCs/>
              <w:spacing w:val="6"/>
              <w:position w:val="1"/>
              <w:sz w:val="28"/>
              <w:szCs w:val="28"/>
              <w:lang w:val="en-US" w:eastAsia="zh-CN"/>
            </w:rPr>
            <w:t>附表1 国土空间生态修复重点项目安排表</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_Toc18989 \h </w:instrText>
          </w:r>
          <w:r>
            <w:rPr>
              <w:rFonts w:hint="eastAsia" w:ascii="宋体" w:hAnsi="宋体" w:eastAsia="宋体" w:cs="宋体"/>
              <w:sz w:val="28"/>
              <w:szCs w:val="28"/>
            </w:rPr>
            <w:fldChar w:fldCharType="separate"/>
          </w:r>
          <w:r>
            <w:rPr>
              <w:rFonts w:hint="eastAsia" w:ascii="宋体" w:hAnsi="宋体" w:eastAsia="宋体" w:cs="宋体"/>
              <w:sz w:val="28"/>
              <w:szCs w:val="28"/>
            </w:rPr>
            <w:t>68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spacing w:line="360" w:lineRule="auto"/>
            <w:rPr>
              <w:rFonts w:hint="eastAsia" w:ascii="宋体" w:hAnsi="宋体" w:eastAsia="宋体" w:cs="宋体"/>
              <w:snapToGrid w:val="0"/>
              <w:color w:val="000000"/>
              <w:kern w:val="0"/>
              <w:sz w:val="28"/>
              <w:szCs w:val="28"/>
              <w:lang w:val="en-US" w:eastAsia="en-US" w:bidi="ar-SA"/>
            </w:rPr>
          </w:pPr>
          <w:r>
            <w:rPr>
              <w:rFonts w:hint="eastAsia" w:ascii="宋体" w:hAnsi="宋体" w:eastAsia="宋体" w:cs="宋体"/>
              <w:szCs w:val="28"/>
            </w:rPr>
            <w:fldChar w:fldCharType="end"/>
          </w:r>
        </w:p>
      </w:sdtContent>
    </w:sdt>
    <w:p>
      <w:pPr>
        <w:spacing w:line="360" w:lineRule="auto"/>
        <w:rPr>
          <w:rFonts w:hint="eastAsia" w:ascii="宋体" w:hAnsi="宋体" w:eastAsia="宋体" w:cs="宋体"/>
          <w:snapToGrid w:val="0"/>
          <w:color w:val="000000"/>
          <w:kern w:val="0"/>
          <w:sz w:val="28"/>
          <w:szCs w:val="28"/>
          <w:lang w:val="en-US" w:eastAsia="en-US" w:bidi="ar-SA"/>
        </w:rPr>
        <w:sectPr>
          <w:headerReference r:id="rId5" w:type="default"/>
          <w:footerReference r:id="rId6" w:type="default"/>
          <w:pgSz w:w="11907" w:h="16839"/>
          <w:pgMar w:top="1431" w:right="1785" w:bottom="0" w:left="1785" w:header="0" w:footer="0" w:gutter="0"/>
          <w:cols w:space="720" w:num="1"/>
        </w:sectPr>
      </w:pPr>
    </w:p>
    <w:p>
      <w:pPr>
        <w:keepNext w:val="0"/>
        <w:keepLines w:val="0"/>
        <w:pageBreakBefore w:val="0"/>
        <w:widowControl/>
        <w:kinsoku w:val="0"/>
        <w:wordWrap/>
        <w:overflowPunct/>
        <w:topLinePunct w:val="0"/>
        <w:autoSpaceDE w:val="0"/>
        <w:autoSpaceDN w:val="0"/>
        <w:bidi w:val="0"/>
        <w:adjustRightInd/>
        <w:snapToGrid/>
        <w:spacing w:line="360" w:lineRule="auto"/>
        <w:ind w:left="0"/>
        <w:jc w:val="center"/>
        <w:textAlignment w:val="baseline"/>
        <w:outlineLvl w:val="0"/>
        <w:rPr>
          <w:rFonts w:hint="eastAsia" w:ascii="宋体" w:hAnsi="宋体" w:eastAsia="宋体" w:cs="宋体"/>
          <w:b/>
          <w:bCs/>
          <w:sz w:val="32"/>
          <w:szCs w:val="32"/>
        </w:rPr>
      </w:pPr>
      <w:bookmarkStart w:id="0" w:name="_Toc16021"/>
      <w:r>
        <w:rPr>
          <w:rFonts w:hint="eastAsia" w:ascii="宋体" w:hAnsi="宋体" w:eastAsia="宋体" w:cs="宋体"/>
          <w:b/>
          <w:bCs/>
          <w:spacing w:val="-1"/>
          <w:sz w:val="32"/>
          <w:szCs w:val="32"/>
        </w:rPr>
        <w:t>第一章</w:t>
      </w:r>
      <w:r>
        <w:rPr>
          <w:rFonts w:hint="eastAsia" w:ascii="宋体" w:hAnsi="宋体" w:eastAsia="宋体" w:cs="宋体"/>
          <w:b/>
          <w:bCs/>
          <w:spacing w:val="-1"/>
          <w:sz w:val="32"/>
          <w:szCs w:val="32"/>
          <w:lang w:val="en-US" w:eastAsia="zh-CN"/>
        </w:rPr>
        <w:t xml:space="preserve">  </w:t>
      </w:r>
      <w:r>
        <w:rPr>
          <w:rFonts w:hint="eastAsia" w:ascii="宋体" w:hAnsi="宋体" w:eastAsia="宋体" w:cs="宋体"/>
          <w:b/>
          <w:bCs/>
          <w:spacing w:val="-1"/>
          <w:sz w:val="32"/>
          <w:szCs w:val="32"/>
        </w:rPr>
        <w:t>规划背景</w:t>
      </w:r>
      <w:bookmarkEnd w:id="0"/>
    </w:p>
    <w:p>
      <w:pPr>
        <w:keepNext w:val="0"/>
        <w:keepLines w:val="0"/>
        <w:pageBreakBefore w:val="0"/>
        <w:widowControl/>
        <w:kinsoku w:val="0"/>
        <w:wordWrap/>
        <w:overflowPunct/>
        <w:topLinePunct w:val="0"/>
        <w:autoSpaceDE w:val="0"/>
        <w:autoSpaceDN w:val="0"/>
        <w:bidi w:val="0"/>
        <w:adjustRightInd/>
        <w:snapToGrid/>
        <w:spacing w:line="360" w:lineRule="auto"/>
        <w:ind w:left="0"/>
        <w:jc w:val="center"/>
        <w:textAlignment w:val="baseline"/>
        <w:outlineLvl w:val="1"/>
        <w:rPr>
          <w:rFonts w:hint="eastAsia" w:ascii="宋体" w:hAnsi="宋体" w:eastAsia="宋体" w:cs="宋体"/>
          <w:spacing w:val="-12"/>
          <w:sz w:val="30"/>
          <w:szCs w:val="30"/>
          <w:lang w:val="en-US" w:eastAsia="en-US"/>
        </w:rPr>
      </w:pPr>
      <w:bookmarkStart w:id="1" w:name="bookmark28"/>
      <w:bookmarkEnd w:id="1"/>
      <w:bookmarkStart w:id="2" w:name="_Toc11183"/>
      <w:r>
        <w:rPr>
          <w:rFonts w:hint="eastAsia" w:ascii="宋体" w:hAnsi="宋体" w:eastAsia="宋体" w:cs="宋体"/>
          <w:b/>
          <w:bCs/>
          <w:spacing w:val="2"/>
          <w:position w:val="1"/>
          <w:sz w:val="30"/>
          <w:szCs w:val="30"/>
        </w:rPr>
        <w:t>第一节</w:t>
      </w:r>
      <w:r>
        <w:rPr>
          <w:rFonts w:hint="eastAsia" w:ascii="宋体" w:hAnsi="宋体" w:eastAsia="宋体" w:cs="宋体"/>
          <w:b/>
          <w:bCs/>
          <w:spacing w:val="2"/>
          <w:position w:val="1"/>
          <w:sz w:val="30"/>
          <w:szCs w:val="30"/>
          <w:lang w:val="en-US" w:eastAsia="zh-CN"/>
        </w:rPr>
        <w:t xml:space="preserve"> </w:t>
      </w:r>
      <w:r>
        <w:rPr>
          <w:rFonts w:hint="eastAsia" w:ascii="宋体" w:hAnsi="宋体" w:eastAsia="宋体" w:cs="宋体"/>
          <w:b/>
          <w:bCs/>
          <w:spacing w:val="2"/>
          <w:position w:val="1"/>
          <w:sz w:val="30"/>
          <w:szCs w:val="30"/>
        </w:rPr>
        <w:t>区域概况</w:t>
      </w:r>
      <w:bookmarkEnd w:id="2"/>
    </w:p>
    <w:p>
      <w:pPr>
        <w:pageBreakBefore w:val="0"/>
        <w:widowControl/>
        <w:kinsoku w:val="0"/>
        <w:wordWrap/>
        <w:overflowPunct/>
        <w:topLinePunct w:val="0"/>
        <w:autoSpaceDE w:val="0"/>
        <w:autoSpaceDN w:val="0"/>
        <w:bidi w:val="0"/>
        <w:adjustRightInd/>
        <w:snapToGrid/>
        <w:spacing w:line="360" w:lineRule="auto"/>
        <w:ind w:firstLine="254" w:firstLineChars="200"/>
        <w:jc w:val="both"/>
        <w:textAlignment w:val="baseline"/>
        <w:outlineLvl w:val="2"/>
        <w:rPr>
          <w:rFonts w:hint="eastAsia" w:ascii="宋体" w:hAnsi="宋体" w:eastAsia="宋体" w:cs="宋体"/>
          <w:b/>
          <w:bCs/>
          <w:sz w:val="28"/>
          <w:szCs w:val="28"/>
        </w:rPr>
      </w:pPr>
      <w:r>
        <w:rPr>
          <w:rFonts w:hint="eastAsia" w:ascii="宋体" w:hAnsi="宋体" w:eastAsia="宋体" w:cs="宋体"/>
          <w:b/>
          <w:bCs/>
          <w:spacing w:val="-77"/>
          <w:position w:val="1"/>
          <w:sz w:val="28"/>
          <w:szCs w:val="28"/>
        </w:rPr>
        <w:t xml:space="preserve"> </w:t>
      </w:r>
      <w:r>
        <w:rPr>
          <w:rFonts w:hint="eastAsia" w:ascii="宋体" w:hAnsi="宋体" w:eastAsia="宋体" w:cs="宋体"/>
          <w:b/>
          <w:bCs/>
          <w:spacing w:val="-4"/>
          <w:position w:val="1"/>
          <w:sz w:val="28"/>
          <w:szCs w:val="28"/>
        </w:rPr>
        <w:t>一</w:t>
      </w:r>
      <w:r>
        <w:rPr>
          <w:rFonts w:hint="eastAsia" w:ascii="宋体" w:hAnsi="宋体" w:eastAsia="宋体" w:cs="宋体"/>
          <w:b/>
          <w:bCs/>
          <w:spacing w:val="-4"/>
          <w:position w:val="1"/>
          <w:sz w:val="28"/>
          <w:szCs w:val="28"/>
          <w:lang w:eastAsia="zh-CN"/>
        </w:rPr>
        <w:t>、</w:t>
      </w:r>
      <w:r>
        <w:rPr>
          <w:rFonts w:hint="eastAsia" w:ascii="宋体" w:hAnsi="宋体" w:eastAsia="宋体" w:cs="宋体"/>
          <w:b/>
          <w:bCs/>
          <w:spacing w:val="-4"/>
          <w:position w:val="1"/>
          <w:sz w:val="28"/>
          <w:szCs w:val="28"/>
          <w:lang w:val="en-US" w:eastAsia="zh-CN"/>
        </w:rPr>
        <w:t>地理</w:t>
      </w:r>
      <w:r>
        <w:rPr>
          <w:rFonts w:hint="eastAsia" w:ascii="宋体" w:hAnsi="宋体" w:eastAsia="宋体" w:cs="宋体"/>
          <w:b/>
          <w:bCs/>
          <w:spacing w:val="-4"/>
          <w:position w:val="1"/>
          <w:sz w:val="28"/>
          <w:szCs w:val="28"/>
        </w:rPr>
        <w:t>位置</w:t>
      </w:r>
    </w:p>
    <w:p>
      <w:pPr>
        <w:pStyle w:val="7"/>
        <w:pageBreakBefore w:val="0"/>
        <w:widowControl/>
        <w:kinsoku w:val="0"/>
        <w:wordWrap/>
        <w:overflowPunct/>
        <w:topLinePunct w:val="0"/>
        <w:autoSpaceDE w:val="0"/>
        <w:autoSpaceDN w:val="0"/>
        <w:bidi w:val="0"/>
        <w:adjustRightInd/>
        <w:snapToGrid/>
        <w:spacing w:line="360" w:lineRule="auto"/>
        <w:jc w:val="center"/>
        <w:textAlignment w:val="baseline"/>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师宗县位于云南省东部，曲靖市西南部，地处滇、桂、黔三省（区）结合部，曲靖市、红河州、文山州、百色市交界处，东与罗平接壤，东南与广西壮族自治区西林县隔江相望，南邻文山州丘北县，西南与红河州泸西县毗邻，北倚陆良县。地跨东经103°42′～104°34′，北纬24</w:t>
      </w:r>
    </w:p>
    <w:p>
      <w:pPr>
        <w:pStyle w:val="7"/>
        <w:pageBreakBefore w:val="0"/>
        <w:widowControl/>
        <w:kinsoku w:val="0"/>
        <w:wordWrap/>
        <w:overflowPunct/>
        <w:topLinePunct w:val="0"/>
        <w:autoSpaceDE w:val="0"/>
        <w:autoSpaceDN w:val="0"/>
        <w:bidi w:val="0"/>
        <w:adjustRightInd/>
        <w:snapToGrid/>
        <w:spacing w:line="360" w:lineRule="auto"/>
        <w:ind w:left="0" w:leftChars="0" w:firstLine="0" w:firstLineChars="0"/>
        <w:jc w:val="both"/>
        <w:textAlignment w:val="baseline"/>
        <w:rPr>
          <w:rFonts w:hint="eastAsia" w:ascii="宋体" w:hAnsi="宋体" w:eastAsia="宋体" w:cs="宋体"/>
          <w:b/>
          <w:bCs/>
          <w:color w:val="333333"/>
          <w:kern w:val="0"/>
          <w:sz w:val="24"/>
          <w:szCs w:val="24"/>
        </w:rPr>
      </w:pPr>
      <w:r>
        <w:rPr>
          <w:rFonts w:hint="eastAsia" w:ascii="宋体" w:hAnsi="宋体" w:eastAsia="宋体" w:cs="宋体"/>
          <w:b w:val="0"/>
          <w:bCs w:val="0"/>
          <w:snapToGrid w:val="0"/>
          <w:color w:val="000000"/>
          <w:spacing w:val="-12"/>
          <w:kern w:val="0"/>
          <w:sz w:val="28"/>
          <w:szCs w:val="28"/>
          <w:lang w:val="en-US" w:eastAsia="zh-CN" w:bidi="ar-SA"/>
        </w:rPr>
        <w:t>°20′～25°00′。县域东西间距56千米，南北间距90千米，总国土面积2784.49平方千米。</w:t>
      </w:r>
    </w:p>
    <w:p>
      <w:pPr>
        <w:pageBreakBefore w:val="0"/>
        <w:widowControl/>
        <w:kinsoku w:val="0"/>
        <w:wordWrap/>
        <w:overflowPunct/>
        <w:topLinePunct w:val="0"/>
        <w:autoSpaceDE w:val="0"/>
        <w:autoSpaceDN w:val="0"/>
        <w:bidi w:val="0"/>
        <w:adjustRightInd/>
        <w:snapToGrid/>
        <w:spacing w:line="360" w:lineRule="auto"/>
        <w:ind w:firstLine="546" w:firstLineChars="200"/>
        <w:jc w:val="both"/>
        <w:textAlignment w:val="baseline"/>
        <w:outlineLvl w:val="2"/>
        <w:rPr>
          <w:rFonts w:hint="eastAsia" w:ascii="宋体" w:hAnsi="宋体" w:eastAsia="宋体" w:cs="宋体"/>
          <w:spacing w:val="-12"/>
          <w:sz w:val="28"/>
          <w:szCs w:val="28"/>
          <w:lang w:val="en-US" w:eastAsia="zh-CN"/>
        </w:rPr>
      </w:pPr>
      <w:r>
        <w:rPr>
          <w:rFonts w:hint="eastAsia" w:ascii="宋体" w:hAnsi="宋体" w:eastAsia="宋体" w:cs="宋体"/>
          <w:b/>
          <w:bCs/>
          <w:spacing w:val="-4"/>
          <w:position w:val="1"/>
          <w:sz w:val="28"/>
          <w:szCs w:val="28"/>
          <w:lang w:val="en-US" w:eastAsia="zh-CN"/>
        </w:rPr>
        <w:t>二、行政区划</w:t>
      </w:r>
    </w:p>
    <w:p>
      <w:pPr>
        <w:pStyle w:val="7"/>
        <w:pageBreakBefore w:val="0"/>
        <w:widowControl/>
        <w:kinsoku w:val="0"/>
        <w:wordWrap/>
        <w:overflowPunct/>
        <w:topLinePunct w:val="0"/>
        <w:autoSpaceDE w:val="0"/>
        <w:autoSpaceDN w:val="0"/>
        <w:bidi w:val="0"/>
        <w:adjustRightInd/>
        <w:snapToGrid/>
        <w:spacing w:line="360" w:lineRule="auto"/>
        <w:jc w:val="center"/>
        <w:textAlignment w:val="baseline"/>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师宗</w:t>
      </w:r>
      <w:r>
        <w:rPr>
          <w:rFonts w:hint="eastAsia" w:ascii="宋体" w:hAnsi="宋体" w:eastAsia="宋体" w:cs="宋体"/>
          <w:b w:val="0"/>
          <w:bCs w:val="0"/>
          <w:snapToGrid w:val="0"/>
          <w:color w:val="000000"/>
          <w:spacing w:val="-12"/>
          <w:kern w:val="0"/>
          <w:sz w:val="28"/>
          <w:szCs w:val="28"/>
          <w:lang w:val="en-US" w:eastAsia="en-US" w:bidi="ar-SA"/>
        </w:rPr>
        <w:t>县行政区域总面积</w:t>
      </w:r>
      <w:r>
        <w:rPr>
          <w:rFonts w:hint="eastAsia" w:ascii="宋体" w:hAnsi="宋体" w:eastAsia="宋体" w:cs="宋体"/>
          <w:b w:val="0"/>
          <w:bCs w:val="0"/>
          <w:snapToGrid w:val="0"/>
          <w:color w:val="000000"/>
          <w:spacing w:val="-12"/>
          <w:kern w:val="0"/>
          <w:sz w:val="28"/>
          <w:szCs w:val="28"/>
          <w:lang w:val="en-US" w:eastAsia="zh-CN" w:bidi="ar-SA"/>
        </w:rPr>
        <w:t>2784.49</w:t>
      </w:r>
      <w:r>
        <w:rPr>
          <w:rFonts w:hint="eastAsia" w:ascii="宋体" w:hAnsi="宋体" w:eastAsia="宋体" w:cs="宋体"/>
          <w:b w:val="0"/>
          <w:bCs w:val="0"/>
          <w:snapToGrid w:val="0"/>
          <w:color w:val="000000"/>
          <w:spacing w:val="-12"/>
          <w:kern w:val="0"/>
          <w:sz w:val="28"/>
          <w:szCs w:val="28"/>
          <w:lang w:val="en-US" w:eastAsia="en-US" w:bidi="ar-SA"/>
        </w:rPr>
        <w:t>平方</w:t>
      </w:r>
      <w:r>
        <w:rPr>
          <w:rFonts w:hint="eastAsia" w:ascii="宋体" w:hAnsi="宋体" w:eastAsia="宋体" w:cs="宋体"/>
          <w:b w:val="0"/>
          <w:bCs w:val="0"/>
          <w:snapToGrid w:val="0"/>
          <w:color w:val="000000"/>
          <w:spacing w:val="-12"/>
          <w:kern w:val="0"/>
          <w:sz w:val="28"/>
          <w:szCs w:val="28"/>
          <w:lang w:val="en-US" w:eastAsia="zh-CN" w:bidi="ar-SA"/>
        </w:rPr>
        <w:t>千米</w:t>
      </w:r>
      <w:r>
        <w:rPr>
          <w:rFonts w:hint="eastAsia" w:ascii="宋体" w:hAnsi="宋体" w:eastAsia="宋体" w:cs="宋体"/>
          <w:b w:val="0"/>
          <w:bCs w:val="0"/>
          <w:snapToGrid w:val="0"/>
          <w:color w:val="000000"/>
          <w:spacing w:val="-12"/>
          <w:kern w:val="0"/>
          <w:sz w:val="28"/>
          <w:szCs w:val="28"/>
          <w:lang w:val="en-US" w:eastAsia="en-US" w:bidi="ar-SA"/>
        </w:rPr>
        <w:t>，</w:t>
      </w:r>
      <w:r>
        <w:rPr>
          <w:rFonts w:hint="eastAsia" w:ascii="宋体" w:hAnsi="宋体" w:eastAsia="宋体" w:cs="宋体"/>
          <w:b w:val="0"/>
          <w:bCs w:val="0"/>
          <w:snapToGrid w:val="0"/>
          <w:color w:val="000000"/>
          <w:spacing w:val="-12"/>
          <w:kern w:val="0"/>
          <w:sz w:val="28"/>
          <w:szCs w:val="28"/>
          <w:lang w:val="en-US" w:eastAsia="zh-CN" w:bidi="ar-SA"/>
        </w:rPr>
        <w:t>2020年末常住人口37.69万人</w:t>
      </w:r>
      <w:r>
        <w:rPr>
          <w:rFonts w:hint="eastAsia" w:ascii="宋体" w:hAnsi="宋体" w:eastAsia="宋体" w:cs="宋体"/>
          <w:b w:val="0"/>
          <w:bCs w:val="0"/>
          <w:snapToGrid w:val="0"/>
          <w:color w:val="000000"/>
          <w:spacing w:val="-12"/>
          <w:kern w:val="0"/>
          <w:sz w:val="28"/>
          <w:szCs w:val="28"/>
          <w:lang w:val="en-US" w:eastAsia="en-US" w:bidi="ar-SA"/>
        </w:rPr>
        <w:t>，</w:t>
      </w:r>
      <w:r>
        <w:rPr>
          <w:rFonts w:hint="eastAsia" w:ascii="宋体" w:hAnsi="宋体" w:eastAsia="宋体" w:cs="宋体"/>
          <w:b w:val="0"/>
          <w:bCs w:val="0"/>
          <w:snapToGrid w:val="0"/>
          <w:color w:val="000000"/>
          <w:spacing w:val="-12"/>
          <w:kern w:val="0"/>
          <w:sz w:val="28"/>
          <w:szCs w:val="28"/>
          <w:lang w:val="en-US" w:eastAsia="zh-CN" w:bidi="ar-SA"/>
        </w:rPr>
        <w:t>全县辖丹凤、漾月、大同3个街道，雄壁、彩云、葵山、竹基4个镇；龙庆彝族壮族乡、五龙壮族乡、高良壮族苗族瑶族乡3个乡共10</w:t>
      </w:r>
    </w:p>
    <w:p>
      <w:pPr>
        <w:pStyle w:val="7"/>
        <w:pageBreakBefore w:val="0"/>
        <w:widowControl/>
        <w:kinsoku w:val="0"/>
        <w:wordWrap/>
        <w:overflowPunct/>
        <w:topLinePunct w:val="0"/>
        <w:autoSpaceDE w:val="0"/>
        <w:autoSpaceDN w:val="0"/>
        <w:bidi w:val="0"/>
        <w:adjustRightInd/>
        <w:snapToGrid/>
        <w:spacing w:line="360" w:lineRule="auto"/>
        <w:ind w:left="0" w:leftChars="0" w:firstLine="0" w:firstLineChars="0"/>
        <w:jc w:val="both"/>
        <w:textAlignment w:val="baseline"/>
        <w:rPr>
          <w:rFonts w:hint="eastAsia" w:ascii="宋体" w:hAnsi="宋体" w:eastAsia="宋体" w:cs="宋体"/>
          <w:b/>
          <w:bCs/>
          <w:spacing w:val="-12"/>
          <w:sz w:val="28"/>
          <w:szCs w:val="28"/>
          <w:lang w:val="en-US" w:eastAsia="zh-CN"/>
        </w:rPr>
      </w:pPr>
      <w:r>
        <w:rPr>
          <w:rFonts w:hint="eastAsia" w:ascii="宋体" w:hAnsi="宋体" w:eastAsia="宋体" w:cs="宋体"/>
          <w:b w:val="0"/>
          <w:bCs w:val="0"/>
          <w:snapToGrid w:val="0"/>
          <w:color w:val="000000"/>
          <w:spacing w:val="-12"/>
          <w:kern w:val="0"/>
          <w:sz w:val="28"/>
          <w:szCs w:val="28"/>
          <w:lang w:val="en-US" w:eastAsia="zh-CN" w:bidi="ar-SA"/>
        </w:rPr>
        <w:t>个乡镇（街道），110个村委会（社区），784个村（居）民小组。</w:t>
      </w:r>
    </w:p>
    <w:p>
      <w:pPr>
        <w:pStyle w:val="4"/>
        <w:pageBreakBefore w:val="0"/>
        <w:widowControl/>
        <w:kinsoku w:val="0"/>
        <w:wordWrap/>
        <w:overflowPunct/>
        <w:topLinePunct w:val="0"/>
        <w:autoSpaceDE w:val="0"/>
        <w:autoSpaceDN w:val="0"/>
        <w:bidi w:val="0"/>
        <w:adjustRightInd/>
        <w:snapToGrid/>
        <w:spacing w:beforeLines="0" w:afterLines="0" w:line="360" w:lineRule="auto"/>
        <w:jc w:val="both"/>
        <w:textAlignment w:val="baseline"/>
        <w:outlineLvl w:val="2"/>
        <w:rPr>
          <w:rFonts w:hint="eastAsia" w:ascii="宋体" w:hAnsi="宋体" w:eastAsia="宋体" w:cs="宋体"/>
          <w:b/>
          <w:bCs/>
          <w:snapToGrid w:val="0"/>
          <w:color w:val="000000"/>
          <w:spacing w:val="-4"/>
          <w:kern w:val="0"/>
          <w:position w:val="1"/>
          <w:sz w:val="28"/>
          <w:szCs w:val="28"/>
          <w:lang w:val="en-US" w:eastAsia="en-US" w:bidi="ar-SA"/>
        </w:rPr>
      </w:pPr>
      <w:r>
        <w:rPr>
          <w:rFonts w:hint="eastAsia" w:ascii="宋体" w:hAnsi="宋体" w:eastAsia="宋体" w:cs="宋体"/>
          <w:b/>
          <w:bCs/>
          <w:snapToGrid w:val="0"/>
          <w:color w:val="000000"/>
          <w:spacing w:val="-4"/>
          <w:kern w:val="0"/>
          <w:position w:val="1"/>
          <w:sz w:val="28"/>
          <w:szCs w:val="28"/>
          <w:lang w:val="en-US" w:eastAsia="zh-CN" w:bidi="ar-SA"/>
        </w:rPr>
        <w:t>三、</w:t>
      </w:r>
      <w:r>
        <w:rPr>
          <w:rFonts w:hint="eastAsia" w:ascii="宋体" w:hAnsi="宋体" w:eastAsia="宋体" w:cs="宋体"/>
          <w:b/>
          <w:bCs/>
          <w:snapToGrid w:val="0"/>
          <w:color w:val="000000"/>
          <w:spacing w:val="-4"/>
          <w:kern w:val="0"/>
          <w:position w:val="1"/>
          <w:sz w:val="28"/>
          <w:szCs w:val="28"/>
          <w:lang w:val="en-US" w:eastAsia="en-US" w:bidi="ar-SA"/>
        </w:rPr>
        <w:t>自然条件</w:t>
      </w:r>
    </w:p>
    <w:p>
      <w:pPr>
        <w:pStyle w:val="5"/>
        <w:pageBreakBefore w:val="0"/>
        <w:widowControl/>
        <w:tabs>
          <w:tab w:val="left" w:pos="420"/>
        </w:tabs>
        <w:kinsoku w:val="0"/>
        <w:wordWrap/>
        <w:overflowPunct/>
        <w:topLinePunct w:val="0"/>
        <w:autoSpaceDE w:val="0"/>
        <w:autoSpaceDN w:val="0"/>
        <w:bidi w:val="0"/>
        <w:adjustRightInd/>
        <w:snapToGrid/>
        <w:spacing w:beforeLines="0" w:afterLines="0" w:line="360" w:lineRule="auto"/>
        <w:ind w:firstLine="514" w:firstLineChars="200"/>
        <w:jc w:val="both"/>
        <w:textAlignment w:val="baseline"/>
        <w:outlineLvl w:val="3"/>
        <w:rPr>
          <w:rFonts w:hint="eastAsia" w:ascii="宋体" w:hAnsi="宋体" w:eastAsia="宋体" w:cs="宋体"/>
          <w:snapToGrid w:val="0"/>
          <w:color w:val="000000"/>
          <w:spacing w:val="-12"/>
          <w:kern w:val="0"/>
          <w:sz w:val="28"/>
          <w:szCs w:val="28"/>
          <w:lang w:val="en-US" w:eastAsia="zh-CN" w:bidi="ar-SA"/>
        </w:rPr>
      </w:pPr>
      <w:r>
        <w:rPr>
          <w:rFonts w:hint="eastAsia" w:ascii="宋体" w:hAnsi="宋体" w:eastAsia="宋体" w:cs="宋体"/>
          <w:snapToGrid w:val="0"/>
          <w:color w:val="000000"/>
          <w:spacing w:val="-12"/>
          <w:kern w:val="0"/>
          <w:sz w:val="28"/>
          <w:szCs w:val="28"/>
          <w:lang w:val="en-US" w:eastAsia="zh-CN" w:bidi="ar-SA"/>
        </w:rPr>
        <w:t>（一）</w:t>
      </w:r>
      <w:r>
        <w:rPr>
          <w:rFonts w:hint="eastAsia" w:ascii="宋体" w:hAnsi="宋体" w:eastAsia="宋体" w:cs="宋体"/>
          <w:snapToGrid w:val="0"/>
          <w:color w:val="000000"/>
          <w:spacing w:val="-12"/>
          <w:kern w:val="0"/>
          <w:sz w:val="28"/>
          <w:szCs w:val="28"/>
          <w:lang w:val="en-US" w:eastAsia="en-US" w:bidi="ar-SA"/>
        </w:rPr>
        <w:t>地形地貌</w:t>
      </w:r>
    </w:p>
    <w:p>
      <w:pPr>
        <w:pageBreakBefore w:val="0"/>
        <w:widowControl/>
        <w:kinsoku w:val="0"/>
        <w:wordWrap/>
        <w:overflowPunct/>
        <w:topLinePunct w:val="0"/>
        <w:autoSpaceDE w:val="0"/>
        <w:autoSpaceDN w:val="0"/>
        <w:bidi w:val="0"/>
        <w:adjustRightInd/>
        <w:snapToGrid/>
        <w:spacing w:line="360" w:lineRule="auto"/>
        <w:ind w:firstLine="560"/>
        <w:jc w:val="both"/>
        <w:textAlignment w:val="baseline"/>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师宗县地形起伏较大，西北高东南低,坝区面积占县域总面积的15.23%，山地占县域总面积的84.77%，山多坝少,平均海拔1800-1900米。最高点位于中部的菌子山，海拔2409米。最低点位于东南部的高良壮族苗族瑶族乡坝泥河与南盘江交汇处，海拔737米。地势由西北向东南分为“山-坝-山-谷”、高低起伏四个阶梯。</w:t>
      </w:r>
    </w:p>
    <w:p>
      <w:pPr>
        <w:pStyle w:val="5"/>
        <w:tabs>
          <w:tab w:val="left" w:pos="420"/>
        </w:tabs>
        <w:spacing w:line="360" w:lineRule="auto"/>
        <w:ind w:firstLine="514" w:firstLineChars="200"/>
        <w:jc w:val="both"/>
        <w:outlineLvl w:val="3"/>
        <w:rPr>
          <w:rFonts w:hint="eastAsia" w:ascii="宋体" w:hAnsi="宋体" w:eastAsia="宋体" w:cs="宋体"/>
          <w:snapToGrid w:val="0"/>
          <w:color w:val="000000"/>
          <w:spacing w:val="-12"/>
          <w:kern w:val="0"/>
          <w:sz w:val="28"/>
          <w:szCs w:val="28"/>
          <w:lang w:val="en-US" w:eastAsia="zh-CN" w:bidi="ar-SA"/>
        </w:rPr>
      </w:pPr>
      <w:r>
        <w:rPr>
          <w:rFonts w:hint="eastAsia" w:ascii="宋体" w:hAnsi="宋体" w:eastAsia="宋体" w:cs="宋体"/>
          <w:snapToGrid w:val="0"/>
          <w:color w:val="000000"/>
          <w:spacing w:val="-12"/>
          <w:kern w:val="0"/>
          <w:sz w:val="28"/>
          <w:szCs w:val="28"/>
          <w:lang w:val="en-US" w:eastAsia="zh-CN" w:bidi="ar-SA"/>
        </w:rPr>
        <w:t>（二）河流</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师宗县境内有南盘江、甸溪河、篆长河、清水江、竹箐河、子午河、石洞河、红土河、大舍河、设里河、二允河、五洛河、金马河、米车河、阿那黑河、大干河、坝林河等共27条河流。河流总长423.05千米，径流总量17.63亿立方米。</w:t>
      </w:r>
    </w:p>
    <w:p>
      <w:pPr>
        <w:pStyle w:val="5"/>
        <w:tabs>
          <w:tab w:val="left" w:pos="420"/>
        </w:tabs>
        <w:spacing w:line="360" w:lineRule="auto"/>
        <w:ind w:firstLine="514" w:firstLineChars="200"/>
        <w:jc w:val="both"/>
        <w:outlineLvl w:val="3"/>
        <w:rPr>
          <w:rFonts w:hint="eastAsia" w:ascii="宋体" w:hAnsi="宋体" w:eastAsia="宋体" w:cs="宋体"/>
          <w:snapToGrid w:val="0"/>
          <w:color w:val="000000"/>
          <w:spacing w:val="-12"/>
          <w:kern w:val="0"/>
          <w:sz w:val="28"/>
          <w:szCs w:val="28"/>
          <w:lang w:val="en-US" w:eastAsia="zh-CN" w:bidi="ar-SA"/>
        </w:rPr>
      </w:pPr>
      <w:r>
        <w:rPr>
          <w:rFonts w:hint="eastAsia" w:ascii="宋体" w:hAnsi="宋体" w:eastAsia="宋体" w:cs="宋体"/>
          <w:snapToGrid w:val="0"/>
          <w:color w:val="000000"/>
          <w:spacing w:val="-12"/>
          <w:kern w:val="0"/>
          <w:sz w:val="28"/>
          <w:szCs w:val="28"/>
          <w:lang w:val="en-US" w:eastAsia="zh-CN" w:bidi="ar-SA"/>
        </w:rPr>
        <w:t>（三）气候气象</w:t>
      </w:r>
    </w:p>
    <w:p>
      <w:pPr>
        <w:spacing w:line="360" w:lineRule="auto"/>
        <w:ind w:firstLine="512" w:firstLineChars="200"/>
        <w:jc w:val="both"/>
        <w:rPr>
          <w:rFonts w:hint="eastAsia" w:ascii="宋体" w:hAnsi="宋体" w:eastAsia="宋体" w:cs="宋体"/>
          <w:b w:val="0"/>
          <w:snapToGrid w:val="0"/>
          <w:color w:val="000000"/>
          <w:spacing w:val="-12"/>
          <w:kern w:val="0"/>
          <w:sz w:val="24"/>
          <w:szCs w:val="24"/>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师宗县有亚热带与温带共存的气候特征。冬春季受大陆季风的影响，晴天偏多，光照充足，气候温和干燥。夏秋季受海洋季风的影响，阴雨偏多，光照差，气候温凉潮湿。总的情况是终年温和，夏无酷暑，冬无严寒，春暖干旱，秋凉湿润，雨热同期，干湿分明。年平均气温13.9℃，平均最高气温19.9℃，平均最低气温9.7℃，7月最热，历年平均气温19.5℃，1月最冷，历年平均气温6.5℃。年平均日照1735.7小时。年平均降雨量1204.6毫米。无霜期273天。</w:t>
      </w:r>
    </w:p>
    <w:p>
      <w:pPr>
        <w:pStyle w:val="5"/>
        <w:tabs>
          <w:tab w:val="left" w:pos="420"/>
        </w:tabs>
        <w:spacing w:line="360" w:lineRule="auto"/>
        <w:ind w:left="831" w:leftChars="0" w:firstLineChars="0"/>
        <w:jc w:val="both"/>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（四）土壤</w:t>
      </w:r>
    </w:p>
    <w:p>
      <w:pPr>
        <w:spacing w:line="360" w:lineRule="auto"/>
        <w:ind w:firstLine="560" w:firstLineChars="200"/>
        <w:jc w:val="both"/>
        <w:rPr>
          <w:rFonts w:hint="eastAsia" w:ascii="宋体" w:hAnsi="宋体" w:eastAsia="宋体" w:cs="宋体"/>
          <w:b w:val="0"/>
          <w:bCs w:val="0"/>
          <w:snapToGrid w:val="0"/>
          <w:color w:val="000000"/>
          <w:spacing w:val="-12"/>
          <w:kern w:val="0"/>
          <w:sz w:val="28"/>
          <w:szCs w:val="28"/>
          <w:lang w:val="en-US" w:eastAsia="zh-CN" w:bidi="ar-SA"/>
        </w:rPr>
      </w:pPr>
      <w:r>
        <w:rPr>
          <w:rFonts w:hint="eastAsia" w:ascii="Times New Roman" w:hAnsi="Times New Roman" w:eastAsia="宋体" w:cs="Times New Roman"/>
          <w:color w:val="auto"/>
          <w:sz w:val="28"/>
          <w:szCs w:val="28"/>
          <w:highlight w:val="none"/>
          <w:lang w:val="en-US" w:eastAsia="zh-CN"/>
        </w:rPr>
        <w:t>师宗县</w:t>
      </w:r>
      <w:r>
        <w:rPr>
          <w:rFonts w:hint="default" w:ascii="Times New Roman" w:hAnsi="Times New Roman" w:cs="Times New Roman"/>
          <w:color w:val="auto"/>
          <w:sz w:val="28"/>
          <w:szCs w:val="28"/>
          <w:highlight w:val="none"/>
        </w:rPr>
        <w:t>土壤类型丰富多样</w:t>
      </w:r>
      <w:r>
        <w:rPr>
          <w:rFonts w:hint="eastAsia" w:ascii="Times New Roman" w:hAnsi="Times New Roman" w:eastAsia="宋体" w:cs="Times New Roman"/>
          <w:color w:val="auto"/>
          <w:sz w:val="28"/>
          <w:szCs w:val="28"/>
          <w:highlight w:val="none"/>
          <w:lang w:eastAsia="zh-CN"/>
        </w:rPr>
        <w:t>，</w:t>
      </w:r>
      <w:r>
        <w:rPr>
          <w:rFonts w:hint="eastAsia" w:ascii="宋体" w:hAnsi="宋体" w:eastAsia="宋体" w:cs="宋体"/>
          <w:b w:val="0"/>
          <w:bCs w:val="0"/>
          <w:snapToGrid w:val="0"/>
          <w:color w:val="000000"/>
          <w:spacing w:val="-12"/>
          <w:kern w:val="0"/>
          <w:sz w:val="28"/>
          <w:szCs w:val="28"/>
          <w:lang w:val="en-US" w:eastAsia="zh-CN" w:bidi="ar-SA"/>
        </w:rPr>
        <w:t>共有9个土类、15个亚类、33个土属、76个土种。以普通红壤、黄红壤、紫色壤、赤红壤为主，兼有红色壤、黄棕壤、黄壤、黄色壤等。</w:t>
      </w:r>
    </w:p>
    <w:p>
      <w:pPr>
        <w:pStyle w:val="4"/>
        <w:spacing w:line="360" w:lineRule="auto"/>
        <w:jc w:val="both"/>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四、土地利用状况</w:t>
      </w:r>
    </w:p>
    <w:p>
      <w:pPr>
        <w:spacing w:line="360" w:lineRule="auto"/>
        <w:ind w:firstLine="512" w:firstLineChars="200"/>
        <w:jc w:val="both"/>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根据师宗县全国第三次国土调查变更数据，师宗县辖区总面积为278449.11公顷。其中，湿地面积为102.65公顷，占国土面积0.04%；耕地面积为84066.61公顷，占国土面积比例30.19%；园地用地面积为4219.33公顷，占国土面积1.52%；林地面积约为169911.59公顷，占国土面积61.02%；草地面积为2731.73公顷，占国土面积0.98%；居住用地面积为6261.82公顷，占国土面积2.25%；工矿用地面积为1453.89公顷，占国土面积0.52%；交通运输用地面积为5214.61公顷，占国土面积1.87%；公用设施用地面积为444.31公顷，占国土面积0.16%；陆地水域用地面积为2721.94公顷，占国土面积0.97%；其他土地用地面积为946.52公顷，占国土面积0.34%。</w:t>
      </w:r>
    </w:p>
    <w:p>
      <w:pPr>
        <w:pStyle w:val="4"/>
        <w:spacing w:line="360" w:lineRule="auto"/>
        <w:jc w:val="both"/>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五、主要资源</w:t>
      </w:r>
    </w:p>
    <w:p>
      <w:pPr>
        <w:spacing w:line="360" w:lineRule="auto"/>
        <w:ind w:firstLine="560"/>
        <w:jc w:val="both"/>
        <w:outlineLvl w:val="3"/>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（一）矿产资源</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 xml:space="preserve">师宗县矿产资源有煤、铁、锑、铜、锰、钴、石膏、高岭土、石灰石等，其中煤和石灰石储量多、质量优。煤以“三低一高”（低灰、低硫、低磷、发热量高）著称。石灰岩资源在境内分布较广，仅白马山一带出露长度、宽度均大于1000米，厚度在160米左右，储量2.1亿吨。 </w:t>
      </w:r>
    </w:p>
    <w:p>
      <w:pPr>
        <w:spacing w:line="360" w:lineRule="auto"/>
        <w:ind w:firstLine="562"/>
        <w:jc w:val="both"/>
        <w:outlineLvl w:val="3"/>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（二）耕地资源</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师宗县全县总面积2874.49平方千米。根据师宗县2020年土地变更调查数据库，耕地面积84066.61公顷，占全县总面积的30.19%。按照耕地种类分类，水田面积8708.75公顷，占耕地面积的10.36%；水浇地面积664.66公顷，占耕地面积的0.79%；旱地面积74693.20公顷，占耕地面积的88.85%。山坝耕地比约为</w:t>
      </w:r>
      <w:r>
        <w:rPr>
          <w:rFonts w:hint="default" w:ascii="宋体" w:hAnsi="宋体" w:eastAsia="宋体" w:cs="宋体"/>
          <w:b w:val="0"/>
          <w:bCs w:val="0"/>
          <w:snapToGrid w:val="0"/>
          <w:color w:val="000000"/>
          <w:spacing w:val="-12"/>
          <w:kern w:val="0"/>
          <w:sz w:val="28"/>
          <w:szCs w:val="28"/>
          <w:lang w:val="en-US" w:eastAsia="zh-CN" w:bidi="ar-SA"/>
        </w:rPr>
        <w:t>65</w:t>
      </w:r>
      <w:r>
        <w:rPr>
          <w:rFonts w:hint="eastAsia" w:ascii="宋体" w:hAnsi="宋体" w:eastAsia="宋体" w:cs="宋体"/>
          <w:b w:val="0"/>
          <w:bCs w:val="0"/>
          <w:snapToGrid w:val="0"/>
          <w:color w:val="000000"/>
          <w:spacing w:val="-12"/>
          <w:kern w:val="0"/>
          <w:sz w:val="28"/>
          <w:szCs w:val="28"/>
          <w:lang w:val="en-US" w:eastAsia="zh-CN" w:bidi="ar-SA"/>
        </w:rPr>
        <w:t>：</w:t>
      </w:r>
      <w:r>
        <w:rPr>
          <w:rFonts w:hint="default" w:ascii="宋体" w:hAnsi="宋体" w:eastAsia="宋体" w:cs="宋体"/>
          <w:b w:val="0"/>
          <w:bCs w:val="0"/>
          <w:snapToGrid w:val="0"/>
          <w:color w:val="000000"/>
          <w:spacing w:val="-12"/>
          <w:kern w:val="0"/>
          <w:sz w:val="28"/>
          <w:szCs w:val="28"/>
          <w:lang w:val="en-US" w:eastAsia="zh-CN" w:bidi="ar-SA"/>
        </w:rPr>
        <w:t>35</w:t>
      </w:r>
      <w:r>
        <w:rPr>
          <w:rFonts w:hint="eastAsia" w:ascii="宋体" w:hAnsi="宋体" w:eastAsia="宋体" w:cs="宋体"/>
          <w:b w:val="0"/>
          <w:bCs w:val="0"/>
          <w:snapToGrid w:val="0"/>
          <w:color w:val="000000"/>
          <w:spacing w:val="-12"/>
          <w:kern w:val="0"/>
          <w:sz w:val="28"/>
          <w:szCs w:val="28"/>
          <w:lang w:val="en-US" w:eastAsia="zh-CN" w:bidi="ar-SA"/>
        </w:rPr>
        <w:t>，全域坡度大于</w:t>
      </w:r>
      <w:r>
        <w:rPr>
          <w:rFonts w:hint="default" w:ascii="宋体" w:hAnsi="宋体" w:eastAsia="宋体" w:cs="宋体"/>
          <w:b w:val="0"/>
          <w:bCs w:val="0"/>
          <w:snapToGrid w:val="0"/>
          <w:color w:val="000000"/>
          <w:spacing w:val="-12"/>
          <w:kern w:val="0"/>
          <w:sz w:val="28"/>
          <w:szCs w:val="28"/>
          <w:lang w:val="en-US" w:eastAsia="zh-CN" w:bidi="ar-SA"/>
        </w:rPr>
        <w:t>15</w:t>
      </w:r>
      <w:r>
        <w:rPr>
          <w:rFonts w:hint="eastAsia" w:ascii="宋体" w:hAnsi="宋体" w:eastAsia="宋体" w:cs="宋体"/>
          <w:b w:val="0"/>
          <w:bCs w:val="0"/>
          <w:snapToGrid w:val="0"/>
          <w:color w:val="000000"/>
          <w:spacing w:val="-12"/>
          <w:kern w:val="0"/>
          <w:sz w:val="28"/>
          <w:szCs w:val="28"/>
          <w:lang w:val="en-US" w:eastAsia="zh-CN" w:bidi="ar-SA"/>
        </w:rPr>
        <w:t>度耕地占比</w:t>
      </w:r>
      <w:r>
        <w:rPr>
          <w:rFonts w:hint="default" w:ascii="宋体" w:hAnsi="宋体" w:eastAsia="宋体" w:cs="宋体"/>
          <w:b w:val="0"/>
          <w:bCs w:val="0"/>
          <w:snapToGrid w:val="0"/>
          <w:color w:val="000000"/>
          <w:spacing w:val="-12"/>
          <w:kern w:val="0"/>
          <w:sz w:val="28"/>
          <w:szCs w:val="28"/>
          <w:lang w:val="en-US" w:eastAsia="zh-CN" w:bidi="ar-SA"/>
        </w:rPr>
        <w:t>20%</w:t>
      </w:r>
      <w:r>
        <w:rPr>
          <w:rFonts w:hint="eastAsia" w:ascii="宋体" w:hAnsi="宋体" w:eastAsia="宋体" w:cs="宋体"/>
          <w:b w:val="0"/>
          <w:bCs w:val="0"/>
          <w:snapToGrid w:val="0"/>
          <w:color w:val="000000"/>
          <w:spacing w:val="-12"/>
          <w:kern w:val="0"/>
          <w:sz w:val="28"/>
          <w:szCs w:val="28"/>
          <w:lang w:val="en-US" w:eastAsia="zh-CN" w:bidi="ar-SA"/>
        </w:rPr>
        <w:t>。</w:t>
      </w:r>
    </w:p>
    <w:p>
      <w:pPr>
        <w:spacing w:line="360" w:lineRule="auto"/>
        <w:ind w:firstLine="562"/>
        <w:jc w:val="both"/>
        <w:outlineLvl w:val="3"/>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（三）水资源</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根据《师宗县县域水资源保护与利用规划（2020年）》，师宗县境内河流径流总量17.63亿立方米。农业生产用水主要靠境内水利工程及南盘江支流和其他小河，水源主要来自降雨。境内水能资源蕴藏量12万千瓦，水资源总量17.03亿立方米。</w:t>
      </w:r>
    </w:p>
    <w:p>
      <w:pPr>
        <w:spacing w:line="360" w:lineRule="auto"/>
        <w:ind w:firstLine="562"/>
        <w:jc w:val="both"/>
        <w:outlineLvl w:val="3"/>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（四）生态资源</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1、自然保护区</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依据《云南省自然保护地整合优化方案》，师宗规划有云南师宗南丹山风景名胜区、云南师宗丁累大箐自然保护区和云南丹凤湿地公园三大省级自然保护区，总面积463.21平方千米。</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en-US" w:bidi="ar-SA"/>
        </w:rPr>
      </w:pPr>
      <w:r>
        <w:rPr>
          <w:rFonts w:hint="eastAsia" w:ascii="宋体" w:hAnsi="宋体" w:eastAsia="宋体" w:cs="宋体"/>
          <w:b/>
          <w:bCs/>
          <w:snapToGrid w:val="0"/>
          <w:color w:val="000000"/>
          <w:spacing w:val="-12"/>
          <w:kern w:val="0"/>
          <w:sz w:val="28"/>
          <w:szCs w:val="28"/>
          <w:lang w:val="en-US" w:eastAsia="zh-CN" w:bidi="ar-SA"/>
        </w:rPr>
        <w:t>2、饮用水源保护地</w:t>
      </w:r>
      <w:r>
        <w:rPr>
          <w:rFonts w:hint="eastAsia" w:ascii="宋体" w:hAnsi="宋体" w:eastAsia="宋体" w:cs="宋体"/>
          <w:b w:val="0"/>
          <w:bCs w:val="0"/>
          <w:snapToGrid w:val="0"/>
          <w:color w:val="000000"/>
          <w:spacing w:val="-12"/>
          <w:kern w:val="0"/>
          <w:sz w:val="28"/>
          <w:szCs w:val="28"/>
          <w:lang w:val="en-US" w:eastAsia="zh-CN" w:bidi="ar-SA"/>
        </w:rPr>
        <w:t xml:space="preserve"> </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县级集中式饮用水水源地：东风水库、大堵水库。</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en-US" w:bidi="ar-SA"/>
        </w:rPr>
      </w:pPr>
      <w:r>
        <w:rPr>
          <w:rFonts w:hint="eastAsia" w:ascii="宋体" w:hAnsi="宋体" w:eastAsia="宋体" w:cs="宋体"/>
          <w:b w:val="0"/>
          <w:bCs w:val="0"/>
          <w:snapToGrid w:val="0"/>
          <w:color w:val="000000"/>
          <w:spacing w:val="-12"/>
          <w:kern w:val="0"/>
          <w:sz w:val="28"/>
          <w:szCs w:val="28"/>
          <w:lang w:val="en-US" w:eastAsia="zh-CN" w:bidi="ar-SA"/>
        </w:rPr>
        <w:t xml:space="preserve">乡镇级饮用水水源地（千吨万人以上饮用水水源地）：阿宜格水库、白龙潭、彩云发宜、大龙潭、官庄河源头、过山洞水库、花脸岩水库、溜子田水库、摩西河水库、小河水库、小同仙水龙潭、小务龙水库。  </w:t>
      </w:r>
    </w:p>
    <w:p>
      <w:pPr>
        <w:spacing w:line="360" w:lineRule="auto"/>
        <w:ind w:firstLine="562"/>
        <w:jc w:val="both"/>
        <w:outlineLvl w:val="3"/>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（五）森林资源</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en-US" w:bidi="ar-SA"/>
        </w:rPr>
      </w:pPr>
      <w:r>
        <w:rPr>
          <w:rFonts w:hint="eastAsia" w:ascii="宋体" w:hAnsi="宋体" w:eastAsia="宋体" w:cs="宋体"/>
          <w:b w:val="0"/>
          <w:bCs w:val="0"/>
          <w:snapToGrid w:val="0"/>
          <w:color w:val="000000"/>
          <w:spacing w:val="-12"/>
          <w:kern w:val="0"/>
          <w:sz w:val="28"/>
          <w:szCs w:val="28"/>
          <w:lang w:val="en-US" w:eastAsia="zh-CN" w:bidi="ar-SA"/>
        </w:rPr>
        <w:t>师宗县林地面积169911.59公顷，其中乔木林地129570.10公顷，灌木林地26610.12公顷，竹林地133.33公顷，其他林地13598.04公顷。属暖温性针叶林、亚热带半湿润常绿阔叶林。依据师宗县2018年国家级公益林区划界定成果、2019年国家公益林分级区划结果，全县国家公益林458.37平方千米,省级公益林97.30平方千米。截至2020年森林覆盖率46.84%，全县活立木总蓄积量为887万立方米。森林生态系统主要分布在县域南部、南东部等地区。</w:t>
      </w:r>
    </w:p>
    <w:p>
      <w:pPr>
        <w:spacing w:line="360" w:lineRule="auto"/>
        <w:ind w:firstLine="562"/>
        <w:jc w:val="both"/>
        <w:outlineLvl w:val="3"/>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（六）湿地资源</w:t>
      </w:r>
    </w:p>
    <w:p>
      <w:pPr>
        <w:numPr>
          <w:ilvl w:val="0"/>
          <w:numId w:val="0"/>
        </w:numPr>
        <w:spacing w:line="360" w:lineRule="auto"/>
        <w:ind w:firstLine="512" w:firstLineChars="20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全县有各类湿地总面积2651.93公顷，主要为河流水面、水库水面、养殖坑塘、坑塘水面或水库淹没区内因水位变化露出的滩涂。湿地率0.95%，</w:t>
      </w:r>
      <w:r>
        <w:rPr>
          <w:rFonts w:ascii="宋体" w:hAnsi="宋体" w:eastAsia="宋体" w:cs="Times New Roman"/>
          <w:sz w:val="28"/>
          <w:szCs w:val="28"/>
        </w:rPr>
        <w:t>湿地保护率55.43%，自然湿地保护率62.09%</w:t>
      </w:r>
      <w:r>
        <w:rPr>
          <w:rFonts w:hint="eastAsia" w:ascii="宋体" w:hAnsi="宋体" w:eastAsia="宋体" w:cs="宋体"/>
          <w:b w:val="0"/>
          <w:bCs w:val="0"/>
          <w:snapToGrid w:val="0"/>
          <w:color w:val="000000"/>
          <w:spacing w:val="-12"/>
          <w:kern w:val="0"/>
          <w:sz w:val="28"/>
          <w:szCs w:val="28"/>
          <w:lang w:val="en-US" w:eastAsia="zh-CN" w:bidi="ar-SA"/>
        </w:rPr>
        <w:t>。主要分布于师宗县北部竹基镇、大同街道、漾月街道、葵山镇和彩云镇。</w:t>
      </w:r>
    </w:p>
    <w:p>
      <w:pPr>
        <w:numPr>
          <w:ilvl w:val="0"/>
          <w:numId w:val="0"/>
        </w:numPr>
        <w:spacing w:line="360" w:lineRule="auto"/>
        <w:ind w:firstLine="512" w:firstLineChars="20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w:t>
      </w:r>
      <w:r>
        <w:rPr>
          <w:rFonts w:hint="eastAsia" w:ascii="宋体" w:hAnsi="宋体" w:eastAsia="宋体" w:cs="宋体"/>
          <w:b/>
          <w:bCs/>
          <w:snapToGrid w:val="0"/>
          <w:color w:val="000000"/>
          <w:spacing w:val="-12"/>
          <w:kern w:val="0"/>
          <w:sz w:val="28"/>
          <w:szCs w:val="28"/>
          <w:lang w:val="en-US" w:eastAsia="zh-CN" w:bidi="ar-SA"/>
        </w:rPr>
        <w:t>七）草地资源</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师宗县草地面积为2731.73公顷，占国土总面积的0.98%。其中，天然牧草地4.72公顷，占草地面积的0.17%；其他草地 2727.01公顷，占草地面积的99.83%。从地域分布情况分析，现状草地分布面积最大的是龙庆彝族壮族乡，其次是大同街道，分布面积最小的是葵山镇。</w:t>
      </w:r>
    </w:p>
    <w:p>
      <w:pPr>
        <w:spacing w:line="360" w:lineRule="auto"/>
        <w:ind w:firstLine="562"/>
        <w:jc w:val="both"/>
        <w:outlineLvl w:val="3"/>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（八）</w:t>
      </w:r>
      <w:r>
        <w:rPr>
          <w:rFonts w:hint="eastAsia" w:ascii="宋体" w:hAnsi="宋体" w:eastAsia="宋体" w:cs="宋体"/>
          <w:b/>
          <w:bCs/>
          <w:snapToGrid w:val="0"/>
          <w:color w:val="000000"/>
          <w:spacing w:val="-12"/>
          <w:kern w:val="0"/>
          <w:sz w:val="28"/>
          <w:szCs w:val="28"/>
          <w:lang w:val="en-US" w:eastAsia="en-US" w:bidi="ar-SA"/>
        </w:rPr>
        <w:t>动</w:t>
      </w:r>
      <w:r>
        <w:rPr>
          <w:rFonts w:hint="eastAsia" w:ascii="宋体" w:hAnsi="宋体" w:eastAsia="宋体" w:cs="宋体"/>
          <w:b/>
          <w:bCs/>
          <w:snapToGrid w:val="0"/>
          <w:color w:val="000000"/>
          <w:spacing w:val="-12"/>
          <w:kern w:val="0"/>
          <w:sz w:val="28"/>
          <w:szCs w:val="28"/>
          <w:lang w:val="en-US" w:eastAsia="zh-CN" w:bidi="ar-SA"/>
        </w:rPr>
        <w:t>植</w:t>
      </w:r>
      <w:r>
        <w:rPr>
          <w:rFonts w:hint="eastAsia" w:ascii="宋体" w:hAnsi="宋体" w:eastAsia="宋体" w:cs="宋体"/>
          <w:b/>
          <w:bCs/>
          <w:snapToGrid w:val="0"/>
          <w:color w:val="000000"/>
          <w:spacing w:val="-12"/>
          <w:kern w:val="0"/>
          <w:sz w:val="28"/>
          <w:szCs w:val="28"/>
          <w:lang w:val="en-US" w:eastAsia="en-US" w:bidi="ar-SA"/>
        </w:rPr>
        <w:t>物</w:t>
      </w:r>
      <w:r>
        <w:rPr>
          <w:rFonts w:hint="eastAsia" w:ascii="宋体" w:hAnsi="宋体" w:eastAsia="宋体" w:cs="宋体"/>
          <w:b/>
          <w:bCs/>
          <w:snapToGrid w:val="0"/>
          <w:color w:val="000000"/>
          <w:spacing w:val="-12"/>
          <w:kern w:val="0"/>
          <w:sz w:val="28"/>
          <w:szCs w:val="28"/>
          <w:lang w:val="en-US" w:eastAsia="zh-CN" w:bidi="ar-SA"/>
        </w:rPr>
        <w:t>资源</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bookmarkStart w:id="3" w:name="_Hlk177723804"/>
      <w:r>
        <w:rPr>
          <w:rFonts w:hint="eastAsia" w:ascii="宋体" w:hAnsi="宋体" w:eastAsia="宋体" w:cs="宋体"/>
          <w:b w:val="0"/>
          <w:bCs w:val="0"/>
          <w:snapToGrid w:val="0"/>
          <w:color w:val="000000"/>
          <w:spacing w:val="-12"/>
          <w:kern w:val="0"/>
          <w:sz w:val="28"/>
          <w:szCs w:val="28"/>
          <w:lang w:val="en-US" w:eastAsia="zh-CN" w:bidi="ar-SA"/>
        </w:rPr>
        <w:t>师宗县植物类型多样，生物多样性丰富，是曲靖市国家级保护物种最多的县。共记录野生植物1222种（含种以下等级）。国家重点保护野生植物11种，其中贵州苏铁为国家一级重点保护野生植物，金荞麦、金毛狗、扇蕨、海菜花、滇楠、红椿、喜树、香果树、榉树和松茸等10种为国家二级重点保护野生植物。中国珍稀濒危保护植物共有11种，其中领春木、滇楠、香果树、云南梧桐为二级保护植物，核桃、红花木莲、天麻、顶果木、扇蕨、海菜花和华榛为三级保护植物。云南省三级重点保护野生植物2种，即长梗润楠和猴子木。</w:t>
      </w:r>
    </w:p>
    <w:p>
      <w:pPr>
        <w:spacing w:line="360" w:lineRule="auto"/>
        <w:ind w:firstLine="560"/>
        <w:jc w:val="both"/>
        <w:outlineLvl w:val="9"/>
        <w:rPr>
          <w:rFonts w:hint="eastAsia" w:ascii="宋体" w:hAnsi="宋体" w:eastAsia="宋体" w:cs="宋体"/>
          <w:b w:val="0"/>
          <w:bCs w:val="0"/>
          <w:spacing w:val="0"/>
          <w:w w:val="100"/>
          <w:sz w:val="28"/>
          <w:szCs w:val="28"/>
          <w:lang w:eastAsia="zh-CN"/>
        </w:rPr>
      </w:pPr>
      <w:r>
        <w:rPr>
          <w:rFonts w:hint="eastAsia" w:ascii="宋体" w:hAnsi="宋体" w:eastAsia="宋体" w:cs="宋体"/>
          <w:b w:val="0"/>
          <w:bCs w:val="0"/>
          <w:snapToGrid w:val="0"/>
          <w:color w:val="000000"/>
          <w:spacing w:val="-12"/>
          <w:kern w:val="0"/>
          <w:sz w:val="28"/>
          <w:szCs w:val="28"/>
          <w:lang w:val="en-US" w:eastAsia="zh-CN" w:bidi="ar-SA"/>
        </w:rPr>
        <w:t>国家二级重点保护野生动物10种，即猕猴、豹猫、小灵猫、普通鵟、雀鹰、黑鸢、凤头、白尾鹞、红隼、斑头鸺鹠。濒危野生动物有9种，即豹猫、小灵猫、普通鵟、雀鹰、黑鸢、凤头鹰、白尾鹞、红隼、斑头鸺鹠。</w:t>
      </w:r>
    </w:p>
    <w:bookmarkEnd w:id="3"/>
    <w:p>
      <w:pPr>
        <w:pStyle w:val="4"/>
        <w:spacing w:before="120" w:after="40" w:line="360" w:lineRule="auto"/>
        <w:ind w:left="-289" w:firstLine="864" w:firstLineChars="336"/>
        <w:jc w:val="both"/>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六、社会经济状况</w:t>
      </w:r>
    </w:p>
    <w:p>
      <w:pPr>
        <w:spacing w:line="360" w:lineRule="auto"/>
        <w:ind w:firstLine="560"/>
        <w:jc w:val="both"/>
        <w:outlineLvl w:val="9"/>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（一）行政区划人口</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2020年，师宗县辖丹凤、漾月、大同3个街道，雄壁、彩云、葵山、竹基4个镇；龙庆彝族壮族乡、五龙壮族乡、高良壮族苗族瑶族乡3个乡共10个乡镇（街道），110个村委会（社区），784个村（居）民小组。2020年末常住人口37.69万人，城镇化率约为45.32%，城镇人口约为17.08万人。</w:t>
      </w:r>
    </w:p>
    <w:p>
      <w:pPr>
        <w:spacing w:line="360" w:lineRule="auto"/>
        <w:ind w:firstLine="560"/>
        <w:jc w:val="both"/>
        <w:outlineLvl w:val="9"/>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（二）经济社会现状</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en-US" w:bidi="ar-SA"/>
        </w:rPr>
      </w:pPr>
      <w:r>
        <w:rPr>
          <w:rFonts w:hint="eastAsia" w:ascii="宋体" w:hAnsi="宋体" w:eastAsia="宋体" w:cs="宋体"/>
          <w:b w:val="0"/>
          <w:bCs w:val="0"/>
          <w:snapToGrid w:val="0"/>
          <w:color w:val="000000"/>
          <w:spacing w:val="-12"/>
          <w:kern w:val="0"/>
          <w:sz w:val="28"/>
          <w:szCs w:val="28"/>
          <w:lang w:val="en-US" w:eastAsia="zh-CN" w:bidi="ar-SA"/>
        </w:rPr>
        <w:t>2020年师宗县地区生产总值完成1720253万元。按产业情况看，第一产业实现增加值477610万元，占总产值的27.80%；第二产业实现增加值530626万元，占总产值的30.80%；第三产业实现增加值712017万元，占总产值的41.40%。完成社会固定资产投资总额1282202万元；社会消费品零售总额358716万元。</w:t>
      </w:r>
    </w:p>
    <w:p>
      <w:pPr>
        <w:keepNext w:val="0"/>
        <w:keepLines w:val="0"/>
        <w:pageBreakBefore w:val="0"/>
        <w:widowControl/>
        <w:kinsoku w:val="0"/>
        <w:wordWrap/>
        <w:overflowPunct/>
        <w:topLinePunct w:val="0"/>
        <w:autoSpaceDE w:val="0"/>
        <w:autoSpaceDN w:val="0"/>
        <w:bidi w:val="0"/>
        <w:adjustRightInd/>
        <w:snapToGrid/>
        <w:spacing w:line="360" w:lineRule="auto"/>
        <w:ind w:left="0" w:right="0"/>
        <w:jc w:val="center"/>
        <w:textAlignment w:val="baseline"/>
        <w:outlineLvl w:val="1"/>
        <w:rPr>
          <w:rFonts w:hint="eastAsia" w:ascii="宋体" w:hAnsi="宋体" w:eastAsia="宋体" w:cs="宋体"/>
          <w:b/>
          <w:bCs/>
          <w:sz w:val="30"/>
          <w:szCs w:val="30"/>
        </w:rPr>
      </w:pPr>
      <w:bookmarkStart w:id="4" w:name="bookmark29"/>
      <w:bookmarkEnd w:id="4"/>
      <w:bookmarkStart w:id="5" w:name="_Toc20195"/>
      <w:r>
        <w:rPr>
          <w:rFonts w:hint="eastAsia" w:ascii="宋体" w:hAnsi="宋体" w:eastAsia="宋体" w:cs="宋体"/>
          <w:b/>
          <w:bCs/>
          <w:spacing w:val="7"/>
          <w:position w:val="1"/>
          <w:sz w:val="30"/>
          <w:szCs w:val="30"/>
        </w:rPr>
        <w:t>第二节 规划编制的必要性</w:t>
      </w:r>
      <w:bookmarkEnd w:id="5"/>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生态兴则文明兴，生态衰则文明衰。生态文明建设是关系中华民族永续发展的根本大计。党的十八大以来，以习近平同志为核心的党中央开展了一系列根本性、开创性、长远性工作，人与自然和谐共生的现代化建设新格局正在形成。开展国土空间生态修复是助力师宗县国土空间格局优化的重要途径，是推进生态文明建设的重要手段。</w:t>
      </w:r>
    </w:p>
    <w:p>
      <w:pPr>
        <w:spacing w:line="360" w:lineRule="auto"/>
        <w:ind w:firstLine="560"/>
        <w:jc w:val="both"/>
        <w:outlineLvl w:val="9"/>
        <w:rPr>
          <w:rFonts w:hint="eastAsia" w:ascii="宋体" w:hAnsi="宋体" w:eastAsia="宋体" w:cs="宋体"/>
          <w:spacing w:val="-12"/>
          <w:sz w:val="28"/>
          <w:szCs w:val="28"/>
          <w:lang w:val="en-US" w:eastAsia="zh-CN"/>
        </w:rPr>
      </w:pPr>
      <w:r>
        <w:rPr>
          <w:rFonts w:hint="eastAsia" w:ascii="宋体" w:hAnsi="宋体" w:eastAsia="宋体" w:cs="宋体"/>
          <w:b w:val="0"/>
          <w:bCs w:val="0"/>
          <w:snapToGrid w:val="0"/>
          <w:color w:val="000000"/>
          <w:spacing w:val="-12"/>
          <w:kern w:val="0"/>
          <w:sz w:val="28"/>
          <w:szCs w:val="28"/>
          <w:lang w:val="en-US" w:eastAsia="zh-CN" w:bidi="ar-SA"/>
        </w:rPr>
        <w:t>为深入贯彻落实习近平生态文明思想，依法履行统一行使所有国土空间生态保护修复职责，统筹与科学推进山水林田湖草沙一体化保护修复，协同完善师宗县国土空间规划体系架构，全面提升师宗县国土空间生态品质，促进人与自然和谐共生，依据《云南省重要生态系统保护和修复重大工程总体规划（2021—2035年）》、《云南省“十四五”国土空间生态修复规划》、《曲靖市国土空间生态修复规划（2021—2035年）》、《师宗县国土空间总体规划（2021—2035年）》，编制《师宗县国土空间生态修复规划（2021—2035年）》（以下简称《规划》）。《规划》作为《师宗县国土空间总体规划（2021—2035年）》的重要专项规划，落实省级、市级国土空间生态修复规划目标任务，统筹谋划师宗县国土空间生态修复的空间布局和工程部署，是今后师宗县开展国土空间生态修复工作的重要依据。</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outlineLvl w:val="2"/>
        <w:rPr>
          <w:rFonts w:hint="eastAsia" w:ascii="宋体" w:hAnsi="宋体" w:eastAsia="宋体" w:cs="宋体"/>
          <w:spacing w:val="-12"/>
          <w:sz w:val="28"/>
          <w:szCs w:val="28"/>
          <w:lang w:val="en-US" w:eastAsia="zh-CN"/>
        </w:rPr>
      </w:pPr>
      <w:r>
        <w:rPr>
          <w:rFonts w:hint="eastAsia" w:ascii="宋体" w:hAnsi="宋体" w:eastAsia="宋体" w:cs="宋体"/>
          <w:b/>
          <w:bCs/>
          <w:spacing w:val="-12"/>
          <w:sz w:val="28"/>
          <w:szCs w:val="28"/>
          <w:lang w:val="en-US" w:eastAsia="zh-CN"/>
        </w:rPr>
        <w:t>一、规划背景</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国家层面：</w:t>
      </w:r>
      <w:r>
        <w:rPr>
          <w:rFonts w:hint="eastAsia" w:ascii="宋体" w:hAnsi="宋体" w:eastAsia="宋体" w:cs="宋体"/>
          <w:b w:val="0"/>
          <w:bCs w:val="0"/>
          <w:snapToGrid w:val="0"/>
          <w:color w:val="000000"/>
          <w:spacing w:val="-12"/>
          <w:kern w:val="0"/>
          <w:sz w:val="28"/>
          <w:szCs w:val="28"/>
          <w:lang w:val="en-US" w:eastAsia="zh-CN" w:bidi="ar-SA"/>
        </w:rPr>
        <w:t>自党的十八大以来，习近平总书记多次强调“山水林田湖草沙是一个生命共同体”的理念，这也成为习近平生态文明思想的重要内容。2020年，在党的十九届五中全会上，又进一步强调“推动绿色发展，促进人与自然和谐共生”。2021年，在两会期间习近平总书记再次强调，要统筹山水林田湖草沙系统治理。随着国家共建“一带一路”、新时代推进西部大开发形成新格局、关中平原城市群建设、黄河流域生态保护和高质量发展、西部陆海新通道建设等重大战略的深入实施，双循环新发展格局加快推进，为国土空间生态修复提供了政策支撑和资金保障。</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省级层面：</w:t>
      </w:r>
      <w:r>
        <w:rPr>
          <w:rFonts w:hint="eastAsia" w:ascii="宋体" w:hAnsi="宋体" w:eastAsia="宋体" w:cs="宋体"/>
          <w:b w:val="0"/>
          <w:bCs w:val="0"/>
          <w:snapToGrid w:val="0"/>
          <w:color w:val="000000"/>
          <w:spacing w:val="-12"/>
          <w:kern w:val="0"/>
          <w:sz w:val="28"/>
          <w:szCs w:val="28"/>
          <w:lang w:val="en-US" w:eastAsia="zh-CN" w:bidi="ar-SA"/>
        </w:rPr>
        <w:t>根据中国共产党第十四次全国代表大会报告要求，以习近平新时代中国特色社会主义思想为指导，深入贯彻习近平总书记考察云南重要讲话重要指示，践行绿水青山就是金山银山理念，推动生态环境质量持续好转，统筹山水林田湖草沙一体化保护和系统治理。围绕“生态文明建设排头兵、民族团结进步示范区、面向南亚东南亚辐射中心”的定位，立足“边疆、民族、山区、绿色”省情，建立健全国土空间开发保护制度。为指导师宗县生态环境保护工作提供了有力抓手，也为《规划》提供了根本遵循。</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市级层面：</w:t>
      </w:r>
      <w:r>
        <w:rPr>
          <w:rFonts w:hint="eastAsia" w:ascii="宋体" w:hAnsi="宋体" w:eastAsia="宋体" w:cs="宋体"/>
          <w:b w:val="0"/>
          <w:bCs w:val="0"/>
          <w:snapToGrid w:val="0"/>
          <w:color w:val="000000"/>
          <w:spacing w:val="-12"/>
          <w:kern w:val="0"/>
          <w:sz w:val="28"/>
          <w:szCs w:val="28"/>
          <w:lang w:val="en-US" w:eastAsia="zh-CN" w:bidi="ar-SA"/>
        </w:rPr>
        <w:t>紧紧围绕云南省委“3815”战略发展目标，在全省打造世界一流绿色能源、绿色食品、健康生活目的地“三张牌”中奋勇争先，实现曲靖市生态文明时代经济高效、环境友好、资源节约、社会和谐、文化彰显的均衡可持续发展。通过梳理曲靖市各类资源调查数据和经济社会发展数据，分析资源保护开发的变化趋势、空间分布特征等，研究资源利用和经济社会发展与国土空间保护开发的内在联系，厘清曲靖市国土空间保护开发过程中存在的问题和风险，科学谋划绿色发展、高质量发展道路。开展实施国土空间生态修复规划，优化曲靖市国土空间格局、提升生态系统稳定和生态功能，促进生态文明建设，实现生态环境与经济协同发展，为师宗县国土空间生态修复工作提供了空间指引和行动指南。</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县级层面：</w:t>
      </w:r>
      <w:r>
        <w:rPr>
          <w:rFonts w:hint="eastAsia" w:ascii="宋体" w:hAnsi="宋体" w:eastAsia="宋体" w:cs="宋体"/>
          <w:b w:val="0"/>
          <w:bCs w:val="0"/>
          <w:snapToGrid w:val="0"/>
          <w:color w:val="000000"/>
          <w:spacing w:val="-12"/>
          <w:kern w:val="0"/>
          <w:sz w:val="28"/>
          <w:szCs w:val="28"/>
          <w:lang w:val="en-US" w:eastAsia="zh-CN" w:bidi="ar-SA"/>
        </w:rPr>
        <w:t>围绕师宗建设“高原特色种植业示范基地、不锈钢城、绿色铝精深加工”的战略定位，依托自身区位交通优势，全方位紧密对接曲靖，进一步融入区域格局。坚持人与自然和谐共生基本方略，落实乡村振兴和区域协调发展战略，坚持保护优先，以国土空间开发保护适宜性、资源环境承载能力为基础，优化布局农业、生态、城镇功能空间，科学配置全县国土空间资源，实现师宗县生态文明时代经济高效、环境友好、资源节约、社会和谐、文化彰显的均衡可持续发展，为开展师宗县国土空间生态修复工作指明了方向。</w:t>
      </w:r>
    </w:p>
    <w:p>
      <w:pPr>
        <w:pStyle w:val="4"/>
        <w:spacing w:line="360" w:lineRule="auto"/>
        <w:jc w:val="both"/>
        <w:rPr>
          <w:rFonts w:hint="eastAsia" w:ascii="宋体" w:hAnsi="宋体" w:eastAsia="宋体" w:cs="宋体"/>
          <w:sz w:val="28"/>
          <w:szCs w:val="28"/>
        </w:rPr>
      </w:pPr>
      <w:r>
        <w:rPr>
          <w:rFonts w:hint="eastAsia" w:ascii="宋体" w:hAnsi="宋体" w:eastAsia="宋体" w:cs="宋体"/>
          <w:b/>
          <w:bCs/>
          <w:sz w:val="28"/>
          <w:szCs w:val="28"/>
          <w:lang w:val="en-US" w:eastAsia="zh-CN"/>
        </w:rPr>
        <w:t>二、</w:t>
      </w:r>
      <w:r>
        <w:rPr>
          <w:rFonts w:hint="eastAsia" w:ascii="宋体" w:hAnsi="宋体" w:eastAsia="宋体" w:cs="宋体"/>
          <w:b/>
          <w:bCs/>
          <w:sz w:val="28"/>
          <w:szCs w:val="28"/>
        </w:rPr>
        <w:t>重要意义</w:t>
      </w:r>
    </w:p>
    <w:p>
      <w:pPr>
        <w:spacing w:line="360" w:lineRule="auto"/>
        <w:ind w:firstLine="562"/>
        <w:jc w:val="both"/>
        <w:outlineLvl w:val="3"/>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（一）践行“绿水青山就是金山银山”等发展理念的重要举措</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国土空间生态修复规划编制是基于调查评价和研究分析，充分结合地方实际生态问题，按照自然恢复为主、人工修复为辅的方针，因地制宜提出国土空间生态修复举措的一个国土空间专项规划。规划面向生态、农业、城镇三个空间，以统筹山水林田湖草一体化保护修复，严守自然生态安全边界，筑牢生态安全屏障，增强农田生态功能，提升城镇人居生态品质，提高生态系统质量和稳定性，助力国土空间格局优化为目标。是践行“人与自然和谐共生”、“绿水青山就是金山银山”、“良好的生态环境是最普惠的民生福祉”、“山水林田湖草沙是生命共同体”等发展理念的具体措施。</w:t>
      </w:r>
    </w:p>
    <w:p>
      <w:pPr>
        <w:spacing w:line="360" w:lineRule="auto"/>
        <w:ind w:firstLine="562"/>
        <w:jc w:val="both"/>
        <w:outlineLvl w:val="3"/>
        <w:rPr>
          <w:rFonts w:hint="eastAsia" w:ascii="宋体" w:hAnsi="宋体" w:eastAsia="宋体" w:cs="宋体"/>
          <w:sz w:val="28"/>
          <w:szCs w:val="28"/>
        </w:rPr>
      </w:pPr>
      <w:r>
        <w:rPr>
          <w:rFonts w:hint="eastAsia" w:ascii="宋体" w:hAnsi="宋体" w:eastAsia="宋体" w:cs="宋体"/>
          <w:b/>
          <w:bCs/>
          <w:snapToGrid w:val="0"/>
          <w:color w:val="000000"/>
          <w:spacing w:val="-12"/>
          <w:kern w:val="0"/>
          <w:sz w:val="28"/>
          <w:szCs w:val="28"/>
          <w:lang w:val="en-US" w:eastAsia="zh-CN" w:bidi="ar-SA"/>
        </w:rPr>
        <w:t>（二）衔接区域发展战略，落实国家省市生态修复规划和任务重要途径</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衔接长江经济带发展等区域发展战略，落实国家长江重点生态区(含川滇生态屏障)及省级滇东滇东南石漠化带生态保护和修复重大工程。落实《曲靖市国土空间生态修复规划(2021-2035)》提出的“三屏、四带、一核、多廊、多点”国土空间生态安全格局，保障国土空间生态安全和可持续发展，突出对珠江流域生态保护和高质量发展等国家重大战略的生态支撑。</w:t>
      </w:r>
    </w:p>
    <w:p>
      <w:pPr>
        <w:spacing w:before="209" w:line="360" w:lineRule="auto"/>
        <w:ind w:left="2344"/>
        <w:jc w:val="both"/>
        <w:outlineLvl w:val="1"/>
        <w:rPr>
          <w:rFonts w:hint="eastAsia" w:ascii="宋体" w:hAnsi="宋体" w:eastAsia="宋体" w:cs="宋体"/>
          <w:b/>
          <w:bCs/>
          <w:sz w:val="28"/>
          <w:szCs w:val="28"/>
        </w:rPr>
      </w:pPr>
      <w:bookmarkStart w:id="6" w:name="bookmark30"/>
      <w:bookmarkEnd w:id="6"/>
      <w:bookmarkStart w:id="7" w:name="_Toc11055"/>
      <w:r>
        <w:rPr>
          <w:rFonts w:hint="eastAsia" w:ascii="宋体" w:hAnsi="宋体" w:eastAsia="宋体" w:cs="宋体"/>
          <w:b/>
          <w:bCs/>
          <w:spacing w:val="7"/>
          <w:position w:val="1"/>
          <w:sz w:val="30"/>
          <w:szCs w:val="30"/>
        </w:rPr>
        <w:t>第三节 生态修复工作成效</w:t>
      </w:r>
      <w:bookmarkEnd w:id="7"/>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0" w:right="0" w:rightChars="0" w:firstLine="514" w:firstLineChars="200"/>
        <w:jc w:val="both"/>
        <w:textAlignment w:val="baseline"/>
        <w:outlineLvl w:val="2"/>
        <w:rPr>
          <w:rFonts w:hint="eastAsia" w:ascii="宋体" w:hAnsi="宋体" w:eastAsia="宋体" w:cs="宋体"/>
          <w:spacing w:val="-12"/>
          <w:sz w:val="28"/>
          <w:szCs w:val="28"/>
          <w:lang w:val="en-US" w:eastAsia="zh-CN"/>
        </w:rPr>
      </w:pPr>
      <w:r>
        <w:rPr>
          <w:rFonts w:hint="eastAsia" w:ascii="宋体" w:hAnsi="宋体" w:eastAsia="宋体" w:cs="宋体"/>
          <w:b/>
          <w:bCs/>
          <w:spacing w:val="-12"/>
          <w:sz w:val="28"/>
          <w:szCs w:val="28"/>
          <w:lang w:val="en-US" w:eastAsia="zh-CN"/>
        </w:rPr>
        <w:t>一、矿山生态修复成效显著</w:t>
      </w:r>
    </w:p>
    <w:p>
      <w:pPr>
        <w:spacing w:line="360" w:lineRule="auto"/>
        <w:ind w:firstLine="512" w:firstLineChars="20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w:t>
      </w:r>
      <w:r>
        <w:rPr>
          <w:rFonts w:hint="default" w:ascii="宋体" w:hAnsi="宋体" w:eastAsia="宋体" w:cs="宋体"/>
          <w:b w:val="0"/>
          <w:bCs w:val="0"/>
          <w:snapToGrid w:val="0"/>
          <w:color w:val="000000"/>
          <w:spacing w:val="-12"/>
          <w:kern w:val="0"/>
          <w:sz w:val="28"/>
          <w:szCs w:val="28"/>
          <w:lang w:val="en-US" w:eastAsia="zh-CN" w:bidi="ar-SA"/>
        </w:rPr>
        <w:t>十三五</w:t>
      </w:r>
      <w:r>
        <w:rPr>
          <w:rFonts w:hint="eastAsia" w:ascii="宋体" w:hAnsi="宋体" w:eastAsia="宋体" w:cs="宋体"/>
          <w:b w:val="0"/>
          <w:bCs w:val="0"/>
          <w:snapToGrid w:val="0"/>
          <w:color w:val="000000"/>
          <w:spacing w:val="-12"/>
          <w:kern w:val="0"/>
          <w:sz w:val="28"/>
          <w:szCs w:val="28"/>
          <w:lang w:val="en-US" w:eastAsia="zh-CN" w:bidi="ar-SA"/>
        </w:rPr>
        <w:t>”</w:t>
      </w:r>
      <w:r>
        <w:rPr>
          <w:rFonts w:hint="default" w:ascii="宋体" w:hAnsi="宋体" w:eastAsia="宋体" w:cs="宋体"/>
          <w:b w:val="0"/>
          <w:bCs w:val="0"/>
          <w:snapToGrid w:val="0"/>
          <w:color w:val="000000"/>
          <w:spacing w:val="-12"/>
          <w:kern w:val="0"/>
          <w:sz w:val="28"/>
          <w:szCs w:val="28"/>
          <w:lang w:val="en-US" w:eastAsia="zh-CN" w:bidi="ar-SA"/>
        </w:rPr>
        <w:t>期间，</w:t>
      </w:r>
      <w:r>
        <w:rPr>
          <w:rFonts w:hint="eastAsia" w:ascii="宋体" w:hAnsi="宋体" w:eastAsia="宋体" w:cs="宋体"/>
          <w:b w:val="0"/>
          <w:bCs w:val="0"/>
          <w:snapToGrid w:val="0"/>
          <w:color w:val="000000"/>
          <w:spacing w:val="-12"/>
          <w:kern w:val="0"/>
          <w:sz w:val="28"/>
          <w:szCs w:val="28"/>
          <w:lang w:val="en-US" w:eastAsia="zh-CN" w:bidi="ar-SA"/>
        </w:rPr>
        <w:t>师宗县</w:t>
      </w:r>
      <w:r>
        <w:rPr>
          <w:rFonts w:hint="default" w:ascii="宋体" w:hAnsi="宋体" w:eastAsia="宋体" w:cs="宋体"/>
          <w:b w:val="0"/>
          <w:bCs w:val="0"/>
          <w:snapToGrid w:val="0"/>
          <w:color w:val="000000"/>
          <w:spacing w:val="-12"/>
          <w:kern w:val="0"/>
          <w:sz w:val="28"/>
          <w:szCs w:val="28"/>
          <w:lang w:val="en-US" w:eastAsia="zh-CN" w:bidi="ar-SA"/>
        </w:rPr>
        <w:t>坚持生态优先、节约优先、环境保护优先的理念，关停淘汰矿山，</w:t>
      </w:r>
      <w:r>
        <w:rPr>
          <w:rFonts w:hint="eastAsia" w:ascii="宋体" w:hAnsi="宋体" w:eastAsia="宋体" w:cs="宋体"/>
          <w:b w:val="0"/>
          <w:bCs w:val="0"/>
          <w:snapToGrid w:val="0"/>
          <w:color w:val="000000"/>
          <w:spacing w:val="-12"/>
          <w:kern w:val="0"/>
          <w:sz w:val="28"/>
          <w:szCs w:val="28"/>
          <w:lang w:val="en-US" w:eastAsia="zh-CN" w:bidi="ar-SA"/>
        </w:rPr>
        <w:t>其中关闭煤矿27</w:t>
      </w:r>
      <w:r>
        <w:rPr>
          <w:rFonts w:hint="default" w:ascii="宋体" w:hAnsi="宋体" w:eastAsia="宋体" w:cs="宋体"/>
          <w:b w:val="0"/>
          <w:bCs w:val="0"/>
          <w:snapToGrid w:val="0"/>
          <w:color w:val="000000"/>
          <w:spacing w:val="-12"/>
          <w:kern w:val="0"/>
          <w:sz w:val="28"/>
          <w:szCs w:val="28"/>
          <w:lang w:val="en-US" w:eastAsia="zh-CN" w:bidi="ar-SA"/>
        </w:rPr>
        <w:t>座</w:t>
      </w:r>
      <w:r>
        <w:rPr>
          <w:rFonts w:hint="eastAsia" w:ascii="宋体" w:hAnsi="宋体" w:eastAsia="宋体" w:cs="宋体"/>
          <w:b w:val="0"/>
          <w:bCs w:val="0"/>
          <w:snapToGrid w:val="0"/>
          <w:color w:val="000000"/>
          <w:spacing w:val="-12"/>
          <w:kern w:val="0"/>
          <w:sz w:val="28"/>
          <w:szCs w:val="28"/>
          <w:lang w:val="en-US" w:eastAsia="zh-CN" w:bidi="ar-SA"/>
        </w:rPr>
        <w:t>并</w:t>
      </w:r>
      <w:r>
        <w:rPr>
          <w:rFonts w:hint="default" w:ascii="宋体" w:hAnsi="宋体" w:eastAsia="宋体" w:cs="宋体"/>
          <w:b w:val="0"/>
          <w:bCs w:val="0"/>
          <w:snapToGrid w:val="0"/>
          <w:color w:val="000000"/>
          <w:spacing w:val="-12"/>
          <w:kern w:val="0"/>
          <w:sz w:val="28"/>
          <w:szCs w:val="28"/>
          <w:lang w:val="en-US" w:eastAsia="zh-CN" w:bidi="ar-SA"/>
        </w:rPr>
        <w:t>完成</w:t>
      </w:r>
      <w:r>
        <w:rPr>
          <w:rFonts w:hint="eastAsia" w:ascii="宋体" w:hAnsi="宋体" w:eastAsia="宋体" w:cs="宋体"/>
          <w:b w:val="0"/>
          <w:bCs w:val="0"/>
          <w:snapToGrid w:val="0"/>
          <w:color w:val="000000"/>
          <w:spacing w:val="-12"/>
          <w:kern w:val="0"/>
          <w:sz w:val="28"/>
          <w:szCs w:val="28"/>
          <w:lang w:val="en-US" w:eastAsia="zh-CN" w:bidi="ar-SA"/>
        </w:rPr>
        <w:t>了</w:t>
      </w:r>
      <w:r>
        <w:rPr>
          <w:rFonts w:hint="default" w:ascii="宋体" w:hAnsi="宋体" w:eastAsia="宋体" w:cs="宋体"/>
          <w:b w:val="0"/>
          <w:bCs w:val="0"/>
          <w:snapToGrid w:val="0"/>
          <w:color w:val="000000"/>
          <w:spacing w:val="-12"/>
          <w:kern w:val="0"/>
          <w:sz w:val="28"/>
          <w:szCs w:val="28"/>
          <w:lang w:val="en-US" w:eastAsia="zh-CN" w:bidi="ar-SA"/>
        </w:rPr>
        <w:t>矿山地质环境恢复治理</w:t>
      </w:r>
      <w:r>
        <w:rPr>
          <w:rFonts w:hint="eastAsia" w:ascii="宋体" w:hAnsi="宋体" w:eastAsia="宋体" w:cs="宋体"/>
          <w:b w:val="0"/>
          <w:bCs w:val="0"/>
          <w:snapToGrid w:val="0"/>
          <w:color w:val="000000"/>
          <w:spacing w:val="-12"/>
          <w:kern w:val="0"/>
          <w:sz w:val="28"/>
          <w:szCs w:val="28"/>
          <w:lang w:val="en-US" w:eastAsia="zh-CN" w:bidi="ar-SA"/>
        </w:rPr>
        <w:t>。通过自然修复、转型利用、辅助再生、生态重建、</w:t>
      </w:r>
      <w:r>
        <w:rPr>
          <w:rFonts w:hint="default" w:ascii="宋体" w:hAnsi="宋体" w:eastAsia="宋体" w:cs="宋体"/>
          <w:b w:val="0"/>
          <w:bCs w:val="0"/>
          <w:snapToGrid w:val="0"/>
          <w:color w:val="000000"/>
          <w:spacing w:val="-12"/>
          <w:kern w:val="0"/>
          <w:sz w:val="28"/>
          <w:szCs w:val="28"/>
          <w:lang w:val="en-US" w:eastAsia="zh-CN" w:bidi="ar-SA"/>
        </w:rPr>
        <w:t>增减挂钩</w:t>
      </w:r>
      <w:r>
        <w:rPr>
          <w:rFonts w:hint="eastAsia" w:ascii="宋体" w:hAnsi="宋体" w:eastAsia="宋体" w:cs="宋体"/>
          <w:b w:val="0"/>
          <w:bCs w:val="0"/>
          <w:snapToGrid w:val="0"/>
          <w:color w:val="000000"/>
          <w:spacing w:val="-12"/>
          <w:kern w:val="0"/>
          <w:sz w:val="28"/>
          <w:szCs w:val="28"/>
          <w:lang w:val="en-US" w:eastAsia="zh-CN" w:bidi="ar-SA"/>
        </w:rPr>
        <w:t>等方式，全县253</w:t>
      </w:r>
      <w:r>
        <w:rPr>
          <w:rFonts w:hint="default" w:ascii="宋体" w:hAnsi="宋体" w:eastAsia="宋体" w:cs="宋体"/>
          <w:b w:val="0"/>
          <w:bCs w:val="0"/>
          <w:snapToGrid w:val="0"/>
          <w:color w:val="000000"/>
          <w:spacing w:val="-12"/>
          <w:kern w:val="0"/>
          <w:sz w:val="28"/>
          <w:szCs w:val="28"/>
          <w:lang w:val="en-US" w:eastAsia="zh-CN" w:bidi="ar-SA"/>
        </w:rPr>
        <w:t>个历史遗留矿山图斑面积</w:t>
      </w:r>
      <w:r>
        <w:rPr>
          <w:rFonts w:hint="eastAsia" w:ascii="宋体" w:hAnsi="宋体" w:eastAsia="宋体" w:cs="宋体"/>
          <w:b w:val="0"/>
          <w:bCs w:val="0"/>
          <w:snapToGrid w:val="0"/>
          <w:color w:val="000000"/>
          <w:spacing w:val="-12"/>
          <w:kern w:val="0"/>
          <w:sz w:val="28"/>
          <w:szCs w:val="28"/>
          <w:lang w:val="en-US" w:eastAsia="zh-CN" w:bidi="ar-SA"/>
        </w:rPr>
        <w:t>398.10</w:t>
      </w:r>
      <w:r>
        <w:rPr>
          <w:rFonts w:hint="default" w:ascii="宋体" w:hAnsi="宋体" w:eastAsia="宋体" w:cs="宋体"/>
          <w:b w:val="0"/>
          <w:bCs w:val="0"/>
          <w:snapToGrid w:val="0"/>
          <w:color w:val="000000"/>
          <w:spacing w:val="-12"/>
          <w:kern w:val="0"/>
          <w:sz w:val="28"/>
          <w:szCs w:val="28"/>
          <w:lang w:val="en-US" w:eastAsia="zh-CN" w:bidi="ar-SA"/>
        </w:rPr>
        <w:t>公顷</w:t>
      </w:r>
      <w:r>
        <w:rPr>
          <w:rFonts w:hint="eastAsia" w:ascii="宋体" w:hAnsi="宋体" w:eastAsia="宋体" w:cs="宋体"/>
          <w:b w:val="0"/>
          <w:bCs w:val="0"/>
          <w:snapToGrid w:val="0"/>
          <w:color w:val="000000"/>
          <w:spacing w:val="-12"/>
          <w:kern w:val="0"/>
          <w:sz w:val="28"/>
          <w:szCs w:val="28"/>
          <w:lang w:val="en-US" w:eastAsia="zh-CN" w:bidi="ar-SA"/>
        </w:rPr>
        <w:t>，</w:t>
      </w:r>
      <w:r>
        <w:rPr>
          <w:rFonts w:hint="default" w:ascii="宋体" w:hAnsi="宋体" w:eastAsia="宋体" w:cs="宋体"/>
          <w:b w:val="0"/>
          <w:bCs w:val="0"/>
          <w:snapToGrid w:val="0"/>
          <w:color w:val="000000"/>
          <w:spacing w:val="-12"/>
          <w:kern w:val="0"/>
          <w:sz w:val="28"/>
          <w:szCs w:val="28"/>
          <w:lang w:val="en-US" w:eastAsia="zh-CN" w:bidi="ar-SA"/>
        </w:rPr>
        <w:t>完成了</w:t>
      </w:r>
      <w:r>
        <w:rPr>
          <w:rFonts w:hint="eastAsia" w:ascii="宋体" w:hAnsi="宋体" w:eastAsia="宋体" w:cs="宋体"/>
          <w:b w:val="0"/>
          <w:bCs w:val="0"/>
          <w:snapToGrid w:val="0"/>
          <w:color w:val="000000"/>
          <w:spacing w:val="-12"/>
          <w:kern w:val="0"/>
          <w:sz w:val="28"/>
          <w:szCs w:val="28"/>
          <w:lang w:val="en-US" w:eastAsia="zh-CN" w:bidi="ar-SA"/>
        </w:rPr>
        <w:t>109</w:t>
      </w:r>
      <w:r>
        <w:rPr>
          <w:rFonts w:hint="default" w:ascii="宋体" w:hAnsi="宋体" w:eastAsia="宋体" w:cs="宋体"/>
          <w:b w:val="0"/>
          <w:bCs w:val="0"/>
          <w:snapToGrid w:val="0"/>
          <w:color w:val="000000"/>
          <w:spacing w:val="-12"/>
          <w:kern w:val="0"/>
          <w:sz w:val="28"/>
          <w:szCs w:val="28"/>
          <w:lang w:val="en-US" w:eastAsia="zh-CN" w:bidi="ar-SA"/>
        </w:rPr>
        <w:t>个恢复治理工作，恢复</w:t>
      </w:r>
      <w:r>
        <w:rPr>
          <w:rFonts w:hint="eastAsia" w:ascii="宋体" w:hAnsi="宋体" w:eastAsia="宋体" w:cs="宋体"/>
          <w:b w:val="0"/>
          <w:bCs w:val="0"/>
          <w:snapToGrid w:val="0"/>
          <w:color w:val="000000"/>
          <w:spacing w:val="-12"/>
          <w:kern w:val="0"/>
          <w:sz w:val="28"/>
          <w:szCs w:val="28"/>
          <w:lang w:val="en-US" w:eastAsia="zh-CN" w:bidi="ar-SA"/>
        </w:rPr>
        <w:t>治理</w:t>
      </w:r>
      <w:r>
        <w:rPr>
          <w:rFonts w:hint="default" w:ascii="宋体" w:hAnsi="宋体" w:eastAsia="宋体" w:cs="宋体"/>
          <w:b w:val="0"/>
          <w:bCs w:val="0"/>
          <w:snapToGrid w:val="0"/>
          <w:color w:val="000000"/>
          <w:spacing w:val="-12"/>
          <w:kern w:val="0"/>
          <w:sz w:val="28"/>
          <w:szCs w:val="28"/>
          <w:lang w:val="en-US" w:eastAsia="zh-CN" w:bidi="ar-SA"/>
        </w:rPr>
        <w:t>面积</w:t>
      </w:r>
      <w:r>
        <w:rPr>
          <w:rFonts w:hint="eastAsia" w:ascii="宋体" w:hAnsi="宋体" w:eastAsia="宋体" w:cs="宋体"/>
          <w:b w:val="0"/>
          <w:bCs w:val="0"/>
          <w:snapToGrid w:val="0"/>
          <w:color w:val="000000"/>
          <w:spacing w:val="-12"/>
          <w:kern w:val="0"/>
          <w:sz w:val="28"/>
          <w:szCs w:val="28"/>
          <w:lang w:val="en-US" w:eastAsia="zh-CN" w:bidi="ar-SA"/>
        </w:rPr>
        <w:t>116.13</w:t>
      </w:r>
      <w:r>
        <w:rPr>
          <w:rFonts w:hint="default" w:ascii="宋体" w:hAnsi="宋体" w:eastAsia="宋体" w:cs="宋体"/>
          <w:b w:val="0"/>
          <w:bCs w:val="0"/>
          <w:snapToGrid w:val="0"/>
          <w:color w:val="000000"/>
          <w:spacing w:val="-12"/>
          <w:kern w:val="0"/>
          <w:sz w:val="28"/>
          <w:szCs w:val="28"/>
          <w:lang w:val="en-US" w:eastAsia="zh-CN" w:bidi="ar-SA"/>
        </w:rPr>
        <w:t>公顷</w:t>
      </w:r>
      <w:r>
        <w:rPr>
          <w:rFonts w:hint="eastAsia" w:ascii="宋体" w:hAnsi="宋体" w:eastAsia="宋体" w:cs="宋体"/>
          <w:b w:val="0"/>
          <w:bCs w:val="0"/>
          <w:snapToGrid w:val="0"/>
          <w:color w:val="000000"/>
          <w:spacing w:val="-12"/>
          <w:kern w:val="0"/>
          <w:sz w:val="28"/>
          <w:szCs w:val="28"/>
          <w:lang w:val="en-US" w:eastAsia="zh-CN" w:bidi="ar-SA"/>
        </w:rPr>
        <w:t>。</w:t>
      </w:r>
    </w:p>
    <w:p>
      <w:pPr>
        <w:spacing w:line="360" w:lineRule="auto"/>
        <w:ind w:firstLine="512" w:firstLineChars="200"/>
        <w:jc w:val="both"/>
        <w:outlineLvl w:val="9"/>
        <w:rPr>
          <w:rFonts w:hint="eastAsia" w:ascii="宋体" w:hAnsi="宋体" w:eastAsia="宋体" w:cs="宋体"/>
          <w:spacing w:val="-12"/>
          <w:sz w:val="28"/>
          <w:szCs w:val="28"/>
          <w:lang w:val="en-US" w:eastAsia="zh-CN"/>
        </w:rPr>
      </w:pPr>
      <w:r>
        <w:rPr>
          <w:rFonts w:hint="eastAsia" w:ascii="宋体" w:hAnsi="宋体" w:eastAsia="宋体" w:cs="宋体"/>
          <w:b w:val="0"/>
          <w:bCs w:val="0"/>
          <w:snapToGrid w:val="0"/>
          <w:color w:val="000000"/>
          <w:spacing w:val="-12"/>
          <w:kern w:val="0"/>
          <w:sz w:val="28"/>
          <w:szCs w:val="28"/>
          <w:lang w:val="en-US" w:eastAsia="zh-CN" w:bidi="ar-SA"/>
        </w:rPr>
        <w:t>“十四五”</w:t>
      </w:r>
      <w:r>
        <w:rPr>
          <w:rFonts w:hint="default" w:ascii="宋体" w:hAnsi="宋体" w:eastAsia="宋体" w:cs="宋体"/>
          <w:b w:val="0"/>
          <w:bCs w:val="0"/>
          <w:snapToGrid w:val="0"/>
          <w:color w:val="000000"/>
          <w:spacing w:val="-12"/>
          <w:kern w:val="0"/>
          <w:sz w:val="28"/>
          <w:szCs w:val="28"/>
          <w:lang w:val="en-US" w:eastAsia="zh-CN" w:bidi="ar-SA"/>
        </w:rPr>
        <w:t>期间，</w:t>
      </w:r>
      <w:r>
        <w:rPr>
          <w:rFonts w:hint="eastAsia" w:ascii="宋体" w:hAnsi="宋体" w:eastAsia="宋体" w:cs="宋体"/>
          <w:b w:val="0"/>
          <w:bCs w:val="0"/>
          <w:snapToGrid w:val="0"/>
          <w:color w:val="000000"/>
          <w:spacing w:val="-12"/>
          <w:kern w:val="0"/>
          <w:sz w:val="28"/>
          <w:szCs w:val="28"/>
          <w:lang w:val="en-US" w:eastAsia="zh-CN" w:bidi="ar-SA"/>
        </w:rPr>
        <w:t>144</w:t>
      </w:r>
      <w:r>
        <w:rPr>
          <w:rFonts w:hint="default" w:ascii="宋体" w:hAnsi="宋体" w:eastAsia="宋体" w:cs="宋体"/>
          <w:b w:val="0"/>
          <w:bCs w:val="0"/>
          <w:snapToGrid w:val="0"/>
          <w:color w:val="000000"/>
          <w:spacing w:val="-12"/>
          <w:kern w:val="0"/>
          <w:sz w:val="28"/>
          <w:szCs w:val="28"/>
          <w:lang w:val="en-US" w:eastAsia="zh-CN" w:bidi="ar-SA"/>
        </w:rPr>
        <w:t>个</w:t>
      </w:r>
      <w:r>
        <w:rPr>
          <w:rFonts w:hint="eastAsia" w:ascii="宋体" w:hAnsi="宋体" w:eastAsia="宋体" w:cs="宋体"/>
          <w:b w:val="0"/>
          <w:bCs w:val="0"/>
          <w:snapToGrid w:val="0"/>
          <w:color w:val="000000"/>
          <w:spacing w:val="-12"/>
          <w:kern w:val="0"/>
          <w:sz w:val="28"/>
          <w:szCs w:val="28"/>
          <w:lang w:val="en-US" w:eastAsia="zh-CN" w:bidi="ar-SA"/>
        </w:rPr>
        <w:t>剩余</w:t>
      </w:r>
      <w:r>
        <w:rPr>
          <w:rFonts w:hint="default" w:ascii="宋体" w:hAnsi="宋体" w:eastAsia="宋体" w:cs="宋体"/>
          <w:b w:val="0"/>
          <w:bCs w:val="0"/>
          <w:snapToGrid w:val="0"/>
          <w:color w:val="000000"/>
          <w:spacing w:val="-12"/>
          <w:kern w:val="0"/>
          <w:sz w:val="28"/>
          <w:szCs w:val="28"/>
          <w:lang w:val="en-US" w:eastAsia="zh-CN" w:bidi="ar-SA"/>
        </w:rPr>
        <w:t>历史遗留矿山图斑，完成了</w:t>
      </w:r>
      <w:r>
        <w:rPr>
          <w:rFonts w:hint="eastAsia" w:ascii="宋体" w:hAnsi="宋体" w:eastAsia="宋体" w:cs="宋体"/>
          <w:b w:val="0"/>
          <w:bCs w:val="0"/>
          <w:snapToGrid w:val="0"/>
          <w:color w:val="000000"/>
          <w:spacing w:val="-12"/>
          <w:kern w:val="0"/>
          <w:sz w:val="28"/>
          <w:szCs w:val="28"/>
          <w:lang w:val="en-US" w:eastAsia="zh-CN" w:bidi="ar-SA"/>
        </w:rPr>
        <w:t>123</w:t>
      </w:r>
      <w:r>
        <w:rPr>
          <w:rFonts w:hint="default" w:ascii="宋体" w:hAnsi="宋体" w:eastAsia="宋体" w:cs="宋体"/>
          <w:b w:val="0"/>
          <w:bCs w:val="0"/>
          <w:snapToGrid w:val="0"/>
          <w:color w:val="000000"/>
          <w:spacing w:val="-12"/>
          <w:kern w:val="0"/>
          <w:sz w:val="28"/>
          <w:szCs w:val="28"/>
          <w:lang w:val="en-US" w:eastAsia="zh-CN" w:bidi="ar-SA"/>
        </w:rPr>
        <w:t>个恢复治理工作，恢复面积约</w:t>
      </w:r>
      <w:r>
        <w:rPr>
          <w:rFonts w:hint="eastAsia" w:ascii="宋体" w:hAnsi="宋体" w:eastAsia="宋体" w:cs="宋体"/>
          <w:b w:val="0"/>
          <w:bCs w:val="0"/>
          <w:snapToGrid w:val="0"/>
          <w:color w:val="000000"/>
          <w:spacing w:val="-12"/>
          <w:kern w:val="0"/>
          <w:sz w:val="28"/>
          <w:szCs w:val="28"/>
          <w:lang w:val="en-US" w:eastAsia="zh-CN" w:bidi="ar-SA"/>
        </w:rPr>
        <w:t>170.33</w:t>
      </w:r>
      <w:r>
        <w:rPr>
          <w:rFonts w:hint="default" w:ascii="宋体" w:hAnsi="宋体" w:eastAsia="宋体" w:cs="宋体"/>
          <w:b w:val="0"/>
          <w:bCs w:val="0"/>
          <w:snapToGrid w:val="0"/>
          <w:color w:val="000000"/>
          <w:spacing w:val="-12"/>
          <w:kern w:val="0"/>
          <w:sz w:val="28"/>
          <w:szCs w:val="28"/>
          <w:lang w:val="en-US" w:eastAsia="zh-CN" w:bidi="ar-SA"/>
        </w:rPr>
        <w:t>公顷</w:t>
      </w:r>
      <w:r>
        <w:rPr>
          <w:rFonts w:hint="eastAsia" w:ascii="宋体" w:hAnsi="宋体" w:eastAsia="宋体" w:cs="宋体"/>
          <w:b w:val="0"/>
          <w:bCs w:val="0"/>
          <w:snapToGrid w:val="0"/>
          <w:color w:val="000000"/>
          <w:spacing w:val="-12"/>
          <w:kern w:val="0"/>
          <w:sz w:val="28"/>
          <w:szCs w:val="28"/>
          <w:lang w:val="en-US" w:eastAsia="zh-CN" w:bidi="ar-SA"/>
        </w:rPr>
        <w:t>。</w:t>
      </w:r>
      <w:r>
        <w:rPr>
          <w:rFonts w:hint="eastAsia" w:ascii="宋体" w:hAnsi="宋体" w:eastAsia="宋体" w:cs="宋体"/>
          <w:spacing w:val="-12"/>
          <w:sz w:val="28"/>
          <w:szCs w:val="28"/>
          <w:lang w:val="en-US" w:eastAsia="zh-CN"/>
        </w:rPr>
        <w:t>师宗县进一步加强生产矿山生态修复工作，严格按照“边开采，边治理”的原则规范生产，闭坑后及时实施矿山生态修复。</w:t>
      </w:r>
      <w:r>
        <w:rPr>
          <w:rFonts w:hint="eastAsia" w:ascii="宋体" w:hAnsi="宋体" w:eastAsia="宋体" w:cs="宋体"/>
          <w:b w:val="0"/>
          <w:bCs w:val="0"/>
          <w:snapToGrid w:val="0"/>
          <w:color w:val="000000"/>
          <w:spacing w:val="-12"/>
          <w:kern w:val="0"/>
          <w:sz w:val="28"/>
          <w:szCs w:val="28"/>
          <w:lang w:val="en-US" w:eastAsia="zh-CN" w:bidi="ar-SA"/>
        </w:rPr>
        <w:t>另外治理雄壁镇采煤沉陷区面积约5398.21亩。</w:t>
      </w:r>
    </w:p>
    <w:p>
      <w:pPr>
        <w:spacing w:line="360" w:lineRule="auto"/>
        <w:ind w:firstLine="560"/>
        <w:jc w:val="both"/>
        <w:outlineLvl w:val="2"/>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三、水土流失治理取得明显成效</w:t>
      </w:r>
    </w:p>
    <w:p>
      <w:pPr>
        <w:spacing w:line="360" w:lineRule="auto"/>
        <w:ind w:firstLine="512" w:firstLineChars="20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default" w:ascii="宋体" w:hAnsi="宋体" w:eastAsia="宋体" w:cs="宋体"/>
          <w:b w:val="0"/>
          <w:bCs w:val="0"/>
          <w:snapToGrid w:val="0"/>
          <w:color w:val="000000"/>
          <w:spacing w:val="-12"/>
          <w:kern w:val="0"/>
          <w:sz w:val="28"/>
          <w:szCs w:val="28"/>
          <w:lang w:val="en-US" w:eastAsia="zh-CN" w:bidi="ar-SA"/>
        </w:rPr>
        <w:t>“十三五”期间</w:t>
      </w:r>
      <w:r>
        <w:rPr>
          <w:rFonts w:hint="eastAsia" w:ascii="宋体" w:hAnsi="宋体" w:eastAsia="宋体" w:cs="宋体"/>
          <w:b w:val="0"/>
          <w:bCs w:val="0"/>
          <w:snapToGrid w:val="0"/>
          <w:color w:val="000000"/>
          <w:spacing w:val="-12"/>
          <w:kern w:val="0"/>
          <w:sz w:val="28"/>
          <w:szCs w:val="28"/>
          <w:lang w:val="en-US" w:eastAsia="zh-CN" w:bidi="ar-SA"/>
        </w:rPr>
        <w:t>，师宗</w:t>
      </w:r>
      <w:r>
        <w:rPr>
          <w:rFonts w:hint="default" w:ascii="宋体" w:hAnsi="宋体" w:eastAsia="宋体" w:cs="宋体"/>
          <w:b w:val="0"/>
          <w:bCs w:val="0"/>
          <w:snapToGrid w:val="0"/>
          <w:color w:val="000000"/>
          <w:spacing w:val="-12"/>
          <w:kern w:val="0"/>
          <w:sz w:val="28"/>
          <w:szCs w:val="28"/>
          <w:lang w:val="en-US" w:eastAsia="zh-CN" w:bidi="ar-SA"/>
        </w:rPr>
        <w:t>县</w:t>
      </w:r>
      <w:r>
        <w:rPr>
          <w:rFonts w:hint="eastAsia" w:ascii="宋体" w:hAnsi="宋体" w:eastAsia="宋体" w:cs="宋体"/>
          <w:b w:val="0"/>
          <w:bCs w:val="0"/>
          <w:snapToGrid w:val="0"/>
          <w:color w:val="000000"/>
          <w:spacing w:val="-12"/>
          <w:kern w:val="0"/>
          <w:sz w:val="28"/>
          <w:szCs w:val="28"/>
          <w:lang w:val="en-US" w:eastAsia="zh-CN" w:bidi="ar-SA"/>
        </w:rPr>
        <w:t>根据</w:t>
      </w:r>
      <w:r>
        <w:rPr>
          <w:rFonts w:hint="default" w:ascii="宋体" w:hAnsi="宋体" w:eastAsia="宋体" w:cs="宋体"/>
          <w:b w:val="0"/>
          <w:bCs w:val="0"/>
          <w:snapToGrid w:val="0"/>
          <w:color w:val="000000"/>
          <w:spacing w:val="-12"/>
          <w:kern w:val="0"/>
          <w:sz w:val="28"/>
          <w:szCs w:val="28"/>
          <w:lang w:val="en-US" w:eastAsia="zh-CN" w:bidi="ar-SA"/>
        </w:rPr>
        <w:t>水土流失的特点，把水土流失治理与生态建设、发展生</w:t>
      </w:r>
      <w:r>
        <w:rPr>
          <w:rFonts w:hint="eastAsia" w:ascii="宋体" w:hAnsi="宋体" w:eastAsia="宋体" w:cs="宋体"/>
          <w:b w:val="0"/>
          <w:bCs w:val="0"/>
          <w:snapToGrid w:val="0"/>
          <w:color w:val="000000"/>
          <w:spacing w:val="-12"/>
          <w:kern w:val="0"/>
          <w:sz w:val="28"/>
          <w:szCs w:val="28"/>
          <w:lang w:val="en-US" w:eastAsia="zh-CN" w:bidi="ar-SA"/>
        </w:rPr>
        <w:t>产结合起来。在土地利用结构调整的基础上，对水土保持措施进行配置，在坡地上进行坡改梯。对于条件较好，坡度较缓，土层较厚的区域，实行保土耕作；在荒山荒坡上经过整地后栽植经济果木林及造林种草，对疏林地进行补植，并封育治理；在山、水、田、林、路综合治理的基础上综合配套小型水利水保</w:t>
      </w:r>
      <w:r>
        <w:rPr>
          <w:rFonts w:hint="default" w:ascii="宋体" w:hAnsi="宋体" w:eastAsia="宋体" w:cs="宋体"/>
          <w:b w:val="0"/>
          <w:bCs w:val="0"/>
          <w:snapToGrid w:val="0"/>
          <w:color w:val="000000"/>
          <w:spacing w:val="-12"/>
          <w:kern w:val="0"/>
          <w:sz w:val="28"/>
          <w:szCs w:val="28"/>
          <w:lang w:val="en-US" w:eastAsia="zh-CN" w:bidi="ar-SA"/>
        </w:rPr>
        <w:t>工程；因地制宜</w:t>
      </w:r>
      <w:r>
        <w:rPr>
          <w:rFonts w:hint="eastAsia" w:ascii="宋体" w:hAnsi="宋体" w:eastAsia="宋体" w:cs="宋体"/>
          <w:b w:val="0"/>
          <w:bCs w:val="0"/>
          <w:snapToGrid w:val="0"/>
          <w:color w:val="000000"/>
          <w:spacing w:val="-12"/>
          <w:kern w:val="0"/>
          <w:sz w:val="28"/>
          <w:szCs w:val="28"/>
          <w:lang w:val="en-US" w:eastAsia="zh-CN" w:bidi="ar-SA"/>
        </w:rPr>
        <w:t>，</w:t>
      </w:r>
      <w:r>
        <w:rPr>
          <w:rFonts w:hint="default" w:ascii="宋体" w:hAnsi="宋体" w:eastAsia="宋体" w:cs="宋体"/>
          <w:b w:val="0"/>
          <w:bCs w:val="0"/>
          <w:snapToGrid w:val="0"/>
          <w:color w:val="000000"/>
          <w:spacing w:val="-12"/>
          <w:kern w:val="0"/>
          <w:sz w:val="28"/>
          <w:szCs w:val="28"/>
          <w:lang w:val="en-US" w:eastAsia="zh-CN" w:bidi="ar-SA"/>
        </w:rPr>
        <w:t>坚持生物措施、工程措施、农耕措施相结合，防治</w:t>
      </w:r>
      <w:r>
        <w:rPr>
          <w:rFonts w:hint="eastAsia" w:ascii="宋体" w:hAnsi="宋体" w:eastAsia="宋体" w:cs="宋体"/>
          <w:b w:val="0"/>
          <w:bCs w:val="0"/>
          <w:snapToGrid w:val="0"/>
          <w:color w:val="000000"/>
          <w:spacing w:val="-12"/>
          <w:kern w:val="0"/>
          <w:sz w:val="28"/>
          <w:szCs w:val="28"/>
          <w:lang w:val="en-US" w:eastAsia="zh-CN" w:bidi="ar-SA"/>
        </w:rPr>
        <w:t>并举，治理与巩固成果并重，治理与开发相结合；坚持生态效益、经济效益、社会效益相结合，长、中、短相结合，在改善生态环境的过程中，争取获得最大的经济效益。</w:t>
      </w:r>
      <w:r>
        <w:rPr>
          <w:rFonts w:hint="default" w:ascii="宋体" w:hAnsi="宋体" w:eastAsia="宋体" w:cs="宋体"/>
          <w:b w:val="0"/>
          <w:bCs w:val="0"/>
          <w:snapToGrid w:val="0"/>
          <w:color w:val="000000"/>
          <w:spacing w:val="-12"/>
          <w:kern w:val="0"/>
          <w:sz w:val="28"/>
          <w:szCs w:val="28"/>
          <w:lang w:val="en-US" w:eastAsia="zh-CN" w:bidi="ar-SA"/>
        </w:rPr>
        <w:t>“十三五”期间</w:t>
      </w:r>
      <w:r>
        <w:rPr>
          <w:rFonts w:hint="eastAsia" w:ascii="宋体" w:hAnsi="宋体" w:eastAsia="宋体" w:cs="宋体"/>
          <w:b w:val="0"/>
          <w:bCs w:val="0"/>
          <w:snapToGrid w:val="0"/>
          <w:color w:val="000000"/>
          <w:spacing w:val="-12"/>
          <w:kern w:val="0"/>
          <w:sz w:val="28"/>
          <w:szCs w:val="28"/>
          <w:lang w:val="en-US" w:eastAsia="zh-CN" w:bidi="ar-SA"/>
        </w:rPr>
        <w:t>，师宗县治理水土流失252.82平方千米，全县水土流失面积已由期初827平方千米减少到2020年底的574.18平方千米。</w:t>
      </w:r>
    </w:p>
    <w:p>
      <w:pPr>
        <w:spacing w:line="360" w:lineRule="auto"/>
        <w:ind w:firstLine="512" w:firstLineChars="20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“十四五”期间，师宗县通过实施小流域综合治理，采取</w:t>
      </w:r>
      <w:r>
        <w:rPr>
          <w:rFonts w:hint="default" w:ascii="宋体" w:hAnsi="宋体" w:eastAsia="宋体" w:cs="宋体"/>
          <w:b w:val="0"/>
          <w:bCs w:val="0"/>
          <w:snapToGrid w:val="0"/>
          <w:color w:val="000000"/>
          <w:spacing w:val="-12"/>
          <w:kern w:val="0"/>
          <w:sz w:val="28"/>
          <w:szCs w:val="28"/>
          <w:lang w:val="en-US" w:eastAsia="zh-CN" w:bidi="ar-SA"/>
        </w:rPr>
        <w:t>封禁管护</w:t>
      </w:r>
      <w:r>
        <w:rPr>
          <w:rFonts w:hint="eastAsia" w:ascii="宋体" w:hAnsi="宋体" w:eastAsia="宋体" w:cs="宋体"/>
          <w:b w:val="0"/>
          <w:bCs w:val="0"/>
          <w:snapToGrid w:val="0"/>
          <w:color w:val="000000"/>
          <w:spacing w:val="-12"/>
          <w:kern w:val="0"/>
          <w:sz w:val="28"/>
          <w:szCs w:val="28"/>
          <w:lang w:val="en-US" w:eastAsia="zh-CN" w:bidi="ar-SA"/>
        </w:rPr>
        <w:t>、</w:t>
      </w:r>
      <w:r>
        <w:rPr>
          <w:rFonts w:hint="default" w:ascii="宋体" w:hAnsi="宋体" w:eastAsia="宋体" w:cs="宋体"/>
          <w:b w:val="0"/>
          <w:bCs w:val="0"/>
          <w:snapToGrid w:val="0"/>
          <w:color w:val="000000"/>
          <w:spacing w:val="-12"/>
          <w:kern w:val="0"/>
          <w:sz w:val="28"/>
          <w:szCs w:val="28"/>
          <w:lang w:val="en-US" w:eastAsia="zh-CN" w:bidi="ar-SA"/>
        </w:rPr>
        <w:t>植被恢复</w:t>
      </w:r>
      <w:r>
        <w:rPr>
          <w:rFonts w:hint="eastAsia" w:ascii="宋体" w:hAnsi="宋体" w:eastAsia="宋体" w:cs="宋体"/>
          <w:b w:val="0"/>
          <w:bCs w:val="0"/>
          <w:snapToGrid w:val="0"/>
          <w:color w:val="000000"/>
          <w:spacing w:val="-12"/>
          <w:kern w:val="0"/>
          <w:sz w:val="28"/>
          <w:szCs w:val="28"/>
          <w:lang w:val="en-US" w:eastAsia="zh-CN" w:bidi="ar-SA"/>
        </w:rPr>
        <w:t>、</w:t>
      </w:r>
      <w:r>
        <w:rPr>
          <w:rFonts w:hint="default" w:ascii="宋体" w:hAnsi="宋体" w:eastAsia="宋体" w:cs="宋体"/>
          <w:b w:val="0"/>
          <w:bCs w:val="0"/>
          <w:snapToGrid w:val="0"/>
          <w:color w:val="000000"/>
          <w:spacing w:val="-12"/>
          <w:kern w:val="0"/>
          <w:sz w:val="28"/>
          <w:szCs w:val="28"/>
          <w:lang w:val="en-US" w:eastAsia="zh-CN" w:bidi="ar-SA"/>
        </w:rPr>
        <w:t>抚育更新</w:t>
      </w:r>
      <w:r>
        <w:rPr>
          <w:rFonts w:hint="eastAsia" w:ascii="宋体" w:hAnsi="宋体" w:eastAsia="宋体" w:cs="宋体"/>
          <w:b w:val="0"/>
          <w:bCs w:val="0"/>
          <w:snapToGrid w:val="0"/>
          <w:color w:val="000000"/>
          <w:spacing w:val="-12"/>
          <w:kern w:val="0"/>
          <w:sz w:val="28"/>
          <w:szCs w:val="28"/>
          <w:lang w:val="en-US" w:eastAsia="zh-CN" w:bidi="ar-SA"/>
        </w:rPr>
        <w:t xml:space="preserve">等一系列的水土保持防治措施，治理水土流失1.08万公顷。  </w:t>
      </w:r>
    </w:p>
    <w:p>
      <w:pPr>
        <w:spacing w:line="360" w:lineRule="auto"/>
        <w:ind w:firstLine="512" w:firstLineChars="20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通过“</w:t>
      </w:r>
      <w:r>
        <w:rPr>
          <w:rFonts w:hint="default" w:ascii="宋体" w:hAnsi="宋体" w:eastAsia="宋体" w:cs="宋体"/>
          <w:b w:val="0"/>
          <w:bCs w:val="0"/>
          <w:snapToGrid w:val="0"/>
          <w:color w:val="000000"/>
          <w:spacing w:val="-12"/>
          <w:kern w:val="0"/>
          <w:sz w:val="28"/>
          <w:szCs w:val="28"/>
          <w:lang w:val="en-US" w:eastAsia="zh-CN" w:bidi="ar-SA"/>
        </w:rPr>
        <w:t>十</w:t>
      </w:r>
      <w:r>
        <w:rPr>
          <w:rFonts w:hint="eastAsia" w:ascii="宋体" w:hAnsi="宋体" w:eastAsia="宋体" w:cs="宋体"/>
          <w:b w:val="0"/>
          <w:bCs w:val="0"/>
          <w:snapToGrid w:val="0"/>
          <w:color w:val="000000"/>
          <w:spacing w:val="-12"/>
          <w:kern w:val="0"/>
          <w:sz w:val="28"/>
          <w:szCs w:val="28"/>
          <w:lang w:val="en-US" w:eastAsia="zh-CN" w:bidi="ar-SA"/>
        </w:rPr>
        <w:t>三</w:t>
      </w:r>
      <w:r>
        <w:rPr>
          <w:rFonts w:hint="default" w:ascii="宋体" w:hAnsi="宋体" w:eastAsia="宋体" w:cs="宋体"/>
          <w:b w:val="0"/>
          <w:bCs w:val="0"/>
          <w:snapToGrid w:val="0"/>
          <w:color w:val="000000"/>
          <w:spacing w:val="-12"/>
          <w:kern w:val="0"/>
          <w:sz w:val="28"/>
          <w:szCs w:val="28"/>
          <w:lang w:val="en-US" w:eastAsia="zh-CN" w:bidi="ar-SA"/>
        </w:rPr>
        <w:t>五</w:t>
      </w:r>
      <w:r>
        <w:rPr>
          <w:rFonts w:hint="eastAsia" w:ascii="宋体" w:hAnsi="宋体" w:eastAsia="宋体" w:cs="宋体"/>
          <w:b w:val="0"/>
          <w:bCs w:val="0"/>
          <w:snapToGrid w:val="0"/>
          <w:color w:val="000000"/>
          <w:spacing w:val="-12"/>
          <w:kern w:val="0"/>
          <w:sz w:val="28"/>
          <w:szCs w:val="28"/>
          <w:lang w:val="en-US" w:eastAsia="zh-CN" w:bidi="ar-SA"/>
        </w:rPr>
        <w:t>”、“十四五”期间的综合治理，全县水土流失治理成效显著，人为活动产生的新增水土流失得到初步遏制，治理难度小、见效快的水土流失地区已基本得到有效控制。</w:t>
      </w:r>
    </w:p>
    <w:p>
      <w:pPr>
        <w:spacing w:line="360" w:lineRule="auto"/>
        <w:ind w:firstLine="560"/>
        <w:jc w:val="both"/>
        <w:outlineLvl w:val="2"/>
        <w:rPr>
          <w:rFonts w:hint="eastAsia" w:ascii="宋体" w:hAnsi="宋体" w:eastAsia="宋体" w:cs="宋体"/>
          <w:b/>
          <w:bCs/>
          <w:snapToGrid w:val="0"/>
          <w:color w:val="000000"/>
          <w:spacing w:val="-12"/>
          <w:kern w:val="0"/>
          <w:sz w:val="28"/>
          <w:szCs w:val="28"/>
          <w:lang w:val="en-US" w:eastAsia="en-US" w:bidi="ar-SA"/>
        </w:rPr>
      </w:pPr>
      <w:r>
        <w:rPr>
          <w:rFonts w:hint="eastAsia" w:ascii="宋体" w:hAnsi="宋体" w:eastAsia="宋体" w:cs="宋体"/>
          <w:b/>
          <w:bCs/>
          <w:snapToGrid w:val="0"/>
          <w:color w:val="000000"/>
          <w:spacing w:val="-12"/>
          <w:kern w:val="0"/>
          <w:sz w:val="28"/>
          <w:szCs w:val="28"/>
          <w:lang w:val="en-US" w:eastAsia="zh-CN" w:bidi="ar-SA"/>
        </w:rPr>
        <w:t>二、</w:t>
      </w:r>
      <w:r>
        <w:rPr>
          <w:rFonts w:hint="eastAsia" w:ascii="宋体" w:hAnsi="宋体" w:eastAsia="宋体" w:cs="宋体"/>
          <w:b/>
          <w:bCs/>
          <w:snapToGrid w:val="0"/>
          <w:color w:val="000000"/>
          <w:spacing w:val="-12"/>
          <w:kern w:val="0"/>
          <w:sz w:val="28"/>
          <w:szCs w:val="28"/>
          <w:lang w:val="en-US" w:eastAsia="en-US" w:bidi="ar-SA"/>
        </w:rPr>
        <w:t>石漠化治理工作成效明显</w:t>
      </w:r>
    </w:p>
    <w:p>
      <w:pPr>
        <w:spacing w:line="360" w:lineRule="auto"/>
        <w:ind w:firstLine="560"/>
        <w:jc w:val="both"/>
        <w:outlineLvl w:val="9"/>
        <w:rPr>
          <w:rFonts w:hint="eastAsia" w:ascii="宋体" w:hAnsi="宋体" w:eastAsia="宋体" w:cs="宋体"/>
          <w:b/>
          <w:bCs/>
          <w:color w:val="000000"/>
          <w:kern w:val="0"/>
          <w:sz w:val="24"/>
          <w:szCs w:val="24"/>
        </w:rPr>
      </w:pPr>
      <w:r>
        <w:rPr>
          <w:rFonts w:hint="default" w:ascii="宋体" w:hAnsi="宋体" w:eastAsia="宋体" w:cs="宋体"/>
          <w:b w:val="0"/>
          <w:bCs w:val="0"/>
          <w:snapToGrid w:val="0"/>
          <w:color w:val="000000"/>
          <w:spacing w:val="-12"/>
          <w:kern w:val="0"/>
          <w:sz w:val="28"/>
          <w:szCs w:val="28"/>
          <w:lang w:val="en-US" w:eastAsia="zh-CN" w:bidi="ar-SA"/>
        </w:rPr>
        <w:t>“十三五”期间</w:t>
      </w:r>
      <w:r>
        <w:rPr>
          <w:rFonts w:hint="eastAsia" w:ascii="宋体" w:hAnsi="宋体" w:eastAsia="宋体" w:cs="宋体"/>
          <w:b w:val="0"/>
          <w:bCs w:val="0"/>
          <w:snapToGrid w:val="0"/>
          <w:color w:val="000000"/>
          <w:spacing w:val="-12"/>
          <w:kern w:val="0"/>
          <w:sz w:val="28"/>
          <w:szCs w:val="28"/>
          <w:lang w:val="en-US" w:eastAsia="zh-CN" w:bidi="ar-SA"/>
        </w:rPr>
        <w:t>，师宗县</w:t>
      </w:r>
      <w:r>
        <w:rPr>
          <w:rFonts w:hint="default" w:ascii="宋体" w:hAnsi="宋体" w:eastAsia="宋体" w:cs="宋体"/>
          <w:b w:val="0"/>
          <w:bCs w:val="0"/>
          <w:snapToGrid w:val="0"/>
          <w:color w:val="000000"/>
          <w:spacing w:val="-12"/>
          <w:kern w:val="0"/>
          <w:sz w:val="28"/>
          <w:szCs w:val="28"/>
          <w:lang w:val="en-US" w:eastAsia="zh-CN" w:bidi="ar-SA"/>
        </w:rPr>
        <w:t>高度重视石漠化综合治理工作</w:t>
      </w:r>
      <w:r>
        <w:rPr>
          <w:rFonts w:hint="eastAsia" w:ascii="宋体" w:hAnsi="宋体" w:eastAsia="宋体" w:cs="宋体"/>
          <w:b w:val="0"/>
          <w:bCs w:val="0"/>
          <w:snapToGrid w:val="0"/>
          <w:color w:val="000000"/>
          <w:spacing w:val="-12"/>
          <w:kern w:val="0"/>
          <w:sz w:val="28"/>
          <w:szCs w:val="28"/>
          <w:lang w:val="en-US" w:eastAsia="zh-CN" w:bidi="ar-SA"/>
        </w:rPr>
        <w:t>，</w:t>
      </w:r>
      <w:r>
        <w:rPr>
          <w:rFonts w:hint="default" w:ascii="宋体" w:hAnsi="宋体" w:eastAsia="宋体" w:cs="宋体"/>
          <w:b w:val="0"/>
          <w:bCs w:val="0"/>
          <w:snapToGrid w:val="0"/>
          <w:color w:val="000000"/>
          <w:spacing w:val="-12"/>
          <w:kern w:val="0"/>
          <w:sz w:val="28"/>
          <w:szCs w:val="28"/>
          <w:lang w:val="en-US" w:eastAsia="zh-CN" w:bidi="ar-SA"/>
        </w:rPr>
        <w:t>实施封山育</w:t>
      </w:r>
      <w:r>
        <w:rPr>
          <w:rFonts w:hint="eastAsia" w:ascii="宋体" w:hAnsi="宋体" w:eastAsia="宋体" w:cs="宋体"/>
          <w:b w:val="0"/>
          <w:bCs w:val="0"/>
          <w:snapToGrid w:val="0"/>
          <w:color w:val="000000"/>
          <w:spacing w:val="-12"/>
          <w:kern w:val="0"/>
          <w:sz w:val="28"/>
          <w:szCs w:val="28"/>
          <w:lang w:val="en-US" w:eastAsia="zh-CN" w:bidi="ar-SA"/>
        </w:rPr>
        <w:t>林</w:t>
      </w:r>
      <w:r>
        <w:rPr>
          <w:rFonts w:hint="default" w:ascii="宋体" w:hAnsi="宋体" w:eastAsia="宋体" w:cs="宋体"/>
          <w:b w:val="0"/>
          <w:bCs w:val="0"/>
          <w:snapToGrid w:val="0"/>
          <w:color w:val="000000"/>
          <w:spacing w:val="-12"/>
          <w:kern w:val="0"/>
          <w:sz w:val="28"/>
          <w:szCs w:val="28"/>
          <w:lang w:val="en-US" w:eastAsia="zh-CN" w:bidi="ar-SA"/>
        </w:rPr>
        <w:t>4308.8公顷，人工造</w:t>
      </w:r>
      <w:r>
        <w:rPr>
          <w:rFonts w:hint="eastAsia" w:ascii="宋体" w:hAnsi="宋体" w:eastAsia="宋体" w:cs="宋体"/>
          <w:b w:val="0"/>
          <w:bCs w:val="0"/>
          <w:snapToGrid w:val="0"/>
          <w:color w:val="000000"/>
          <w:spacing w:val="-12"/>
          <w:kern w:val="0"/>
          <w:sz w:val="28"/>
          <w:szCs w:val="28"/>
          <w:lang w:val="en-US" w:eastAsia="zh-CN" w:bidi="ar-SA"/>
        </w:rPr>
        <w:t>林</w:t>
      </w:r>
      <w:r>
        <w:rPr>
          <w:rFonts w:hint="default" w:ascii="宋体" w:hAnsi="宋体" w:eastAsia="宋体" w:cs="宋体"/>
          <w:b w:val="0"/>
          <w:bCs w:val="0"/>
          <w:snapToGrid w:val="0"/>
          <w:color w:val="000000"/>
          <w:spacing w:val="-12"/>
          <w:kern w:val="0"/>
          <w:sz w:val="28"/>
          <w:szCs w:val="28"/>
          <w:lang w:val="en-US" w:eastAsia="zh-CN" w:bidi="ar-SA"/>
        </w:rPr>
        <w:t>1323.05公顷，森林抚育333公顷；青贮窖21080</w:t>
      </w:r>
      <w:r>
        <w:rPr>
          <w:rFonts w:hint="eastAsia" w:ascii="宋体" w:hAnsi="宋体" w:eastAsia="宋体" w:cs="宋体"/>
          <w:b w:val="0"/>
          <w:bCs w:val="0"/>
          <w:snapToGrid w:val="0"/>
          <w:color w:val="000000"/>
          <w:spacing w:val="-12"/>
          <w:kern w:val="0"/>
          <w:sz w:val="28"/>
          <w:szCs w:val="28"/>
          <w:lang w:val="en-US" w:eastAsia="zh-CN" w:bidi="ar-SA"/>
        </w:rPr>
        <w:t>立方米</w:t>
      </w:r>
      <w:r>
        <w:rPr>
          <w:rFonts w:hint="default" w:ascii="宋体" w:hAnsi="宋体" w:eastAsia="宋体" w:cs="宋体"/>
          <w:b w:val="0"/>
          <w:bCs w:val="0"/>
          <w:snapToGrid w:val="0"/>
          <w:color w:val="000000"/>
          <w:spacing w:val="-12"/>
          <w:kern w:val="0"/>
          <w:sz w:val="28"/>
          <w:szCs w:val="28"/>
          <w:lang w:val="en-US" w:eastAsia="zh-CN" w:bidi="ar-SA"/>
        </w:rPr>
        <w:t>；坡改30公顷，建排洪沟18.24</w:t>
      </w:r>
      <w:r>
        <w:rPr>
          <w:rFonts w:hint="eastAsia" w:ascii="宋体" w:hAnsi="宋体" w:eastAsia="宋体" w:cs="宋体"/>
          <w:b w:val="0"/>
          <w:bCs w:val="0"/>
          <w:snapToGrid w:val="0"/>
          <w:color w:val="000000"/>
          <w:spacing w:val="-12"/>
          <w:kern w:val="0"/>
          <w:sz w:val="28"/>
          <w:szCs w:val="28"/>
          <w:lang w:val="en-US" w:eastAsia="zh-CN" w:bidi="ar-SA"/>
        </w:rPr>
        <w:t>千米</w:t>
      </w:r>
      <w:r>
        <w:rPr>
          <w:rFonts w:hint="default" w:ascii="宋体" w:hAnsi="宋体" w:eastAsia="宋体" w:cs="宋体"/>
          <w:b w:val="0"/>
          <w:bCs w:val="0"/>
          <w:snapToGrid w:val="0"/>
          <w:color w:val="000000"/>
          <w:spacing w:val="-12"/>
          <w:kern w:val="0"/>
          <w:sz w:val="28"/>
          <w:szCs w:val="28"/>
          <w:lang w:val="en-US" w:eastAsia="zh-CN" w:bidi="ar-SA"/>
        </w:rPr>
        <w:t>，谷坊2座，蓄水池161口</w:t>
      </w:r>
      <w:r>
        <w:rPr>
          <w:rFonts w:hint="eastAsia" w:ascii="宋体" w:hAnsi="宋体" w:eastAsia="宋体" w:cs="宋体"/>
          <w:b w:val="0"/>
          <w:bCs w:val="0"/>
          <w:snapToGrid w:val="0"/>
          <w:color w:val="000000"/>
          <w:spacing w:val="-12"/>
          <w:kern w:val="0"/>
          <w:sz w:val="28"/>
          <w:szCs w:val="28"/>
          <w:lang w:val="en-US" w:eastAsia="zh-CN" w:bidi="ar-SA"/>
        </w:rPr>
        <w:t>；</w:t>
      </w:r>
      <w:r>
        <w:rPr>
          <w:rFonts w:hint="default" w:ascii="宋体" w:hAnsi="宋体" w:eastAsia="宋体" w:cs="宋体"/>
          <w:b w:val="0"/>
          <w:bCs w:val="0"/>
          <w:snapToGrid w:val="0"/>
          <w:color w:val="000000"/>
          <w:spacing w:val="-12"/>
          <w:kern w:val="0"/>
          <w:sz w:val="28"/>
          <w:szCs w:val="28"/>
          <w:lang w:val="en-US" w:eastAsia="zh-CN" w:bidi="ar-SA"/>
        </w:rPr>
        <w:t>新建田间道38.317</w:t>
      </w:r>
      <w:r>
        <w:rPr>
          <w:rFonts w:hint="eastAsia" w:ascii="宋体" w:hAnsi="宋体" w:eastAsia="宋体" w:cs="宋体"/>
          <w:b w:val="0"/>
          <w:bCs w:val="0"/>
          <w:snapToGrid w:val="0"/>
          <w:color w:val="000000"/>
          <w:spacing w:val="-12"/>
          <w:kern w:val="0"/>
          <w:sz w:val="28"/>
          <w:szCs w:val="28"/>
          <w:lang w:val="en-US" w:eastAsia="zh-CN" w:bidi="ar-SA"/>
        </w:rPr>
        <w:t>千米</w:t>
      </w:r>
      <w:r>
        <w:rPr>
          <w:rFonts w:hint="default" w:ascii="宋体" w:hAnsi="宋体" w:eastAsia="宋体" w:cs="宋体"/>
          <w:b w:val="0"/>
          <w:bCs w:val="0"/>
          <w:snapToGrid w:val="0"/>
          <w:color w:val="000000"/>
          <w:spacing w:val="-12"/>
          <w:kern w:val="0"/>
          <w:sz w:val="28"/>
          <w:szCs w:val="28"/>
          <w:lang w:val="en-US" w:eastAsia="zh-CN" w:bidi="ar-SA"/>
        </w:rPr>
        <w:t>；输水管212</w:t>
      </w:r>
      <w:r>
        <w:rPr>
          <w:rFonts w:hint="eastAsia" w:ascii="宋体" w:hAnsi="宋体" w:eastAsia="宋体" w:cs="宋体"/>
          <w:b w:val="0"/>
          <w:bCs w:val="0"/>
          <w:snapToGrid w:val="0"/>
          <w:color w:val="000000"/>
          <w:spacing w:val="-12"/>
          <w:kern w:val="0"/>
          <w:sz w:val="28"/>
          <w:szCs w:val="28"/>
          <w:lang w:val="en-US" w:eastAsia="zh-CN" w:bidi="ar-SA"/>
        </w:rPr>
        <w:t>千米，</w:t>
      </w:r>
      <w:r>
        <w:rPr>
          <w:rFonts w:hint="default" w:ascii="宋体" w:hAnsi="宋体" w:eastAsia="宋体" w:cs="宋体"/>
          <w:b w:val="0"/>
          <w:bCs w:val="0"/>
          <w:snapToGrid w:val="0"/>
          <w:color w:val="000000"/>
          <w:spacing w:val="-12"/>
          <w:kern w:val="0"/>
          <w:sz w:val="28"/>
          <w:szCs w:val="28"/>
          <w:lang w:val="en-US" w:eastAsia="zh-CN" w:bidi="ar-SA"/>
        </w:rPr>
        <w:t>共下达投资5605.</w:t>
      </w:r>
      <w:r>
        <w:rPr>
          <w:rFonts w:hint="eastAsia" w:ascii="宋体" w:hAnsi="宋体" w:eastAsia="宋体" w:cs="宋体"/>
          <w:b w:val="0"/>
          <w:bCs w:val="0"/>
          <w:snapToGrid w:val="0"/>
          <w:color w:val="000000"/>
          <w:spacing w:val="-12"/>
          <w:kern w:val="0"/>
          <w:sz w:val="28"/>
          <w:szCs w:val="28"/>
          <w:lang w:val="en-US" w:eastAsia="zh-CN" w:bidi="ar-SA"/>
        </w:rPr>
        <w:t>87</w:t>
      </w:r>
      <w:r>
        <w:rPr>
          <w:rFonts w:hint="default" w:ascii="宋体" w:hAnsi="宋体" w:eastAsia="宋体" w:cs="宋体"/>
          <w:b w:val="0"/>
          <w:bCs w:val="0"/>
          <w:snapToGrid w:val="0"/>
          <w:color w:val="000000"/>
          <w:spacing w:val="-12"/>
          <w:kern w:val="0"/>
          <w:sz w:val="28"/>
          <w:szCs w:val="28"/>
          <w:lang w:val="en-US" w:eastAsia="zh-CN" w:bidi="ar-SA"/>
        </w:rPr>
        <w:t>万元</w:t>
      </w:r>
      <w:r>
        <w:rPr>
          <w:rFonts w:hint="eastAsia" w:ascii="宋体" w:hAnsi="宋体" w:eastAsia="宋体" w:cs="宋体"/>
          <w:b w:val="0"/>
          <w:bCs w:val="0"/>
          <w:snapToGrid w:val="0"/>
          <w:color w:val="000000"/>
          <w:spacing w:val="-12"/>
          <w:kern w:val="0"/>
          <w:sz w:val="28"/>
          <w:szCs w:val="28"/>
          <w:lang w:val="en-US" w:eastAsia="zh-CN" w:bidi="ar-SA"/>
        </w:rPr>
        <w:t>，累计</w:t>
      </w:r>
      <w:r>
        <w:rPr>
          <w:rFonts w:hint="default" w:ascii="宋体" w:hAnsi="宋体" w:eastAsia="宋体" w:cs="宋体"/>
          <w:b w:val="0"/>
          <w:bCs w:val="0"/>
          <w:snapToGrid w:val="0"/>
          <w:color w:val="000000"/>
          <w:spacing w:val="-12"/>
          <w:kern w:val="0"/>
          <w:sz w:val="28"/>
          <w:szCs w:val="28"/>
          <w:lang w:val="en-US" w:eastAsia="zh-CN" w:bidi="ar-SA"/>
        </w:rPr>
        <w:t>治理石漠化面积</w:t>
      </w:r>
      <w:r>
        <w:rPr>
          <w:rFonts w:hint="eastAsia" w:ascii="宋体" w:hAnsi="宋体" w:eastAsia="宋体" w:cs="宋体"/>
          <w:b w:val="0"/>
          <w:bCs w:val="0"/>
          <w:snapToGrid w:val="0"/>
          <w:color w:val="000000"/>
          <w:spacing w:val="-12"/>
          <w:kern w:val="0"/>
          <w:sz w:val="28"/>
          <w:szCs w:val="28"/>
          <w:lang w:val="en-US" w:eastAsia="zh-CN" w:bidi="ar-SA"/>
        </w:rPr>
        <w:t>7765.20公顷</w:t>
      </w:r>
      <w:r>
        <w:rPr>
          <w:rFonts w:hint="default" w:ascii="宋体" w:hAnsi="宋体" w:eastAsia="宋体" w:cs="宋体"/>
          <w:b w:val="0"/>
          <w:bCs w:val="0"/>
          <w:snapToGrid w:val="0"/>
          <w:color w:val="000000"/>
          <w:spacing w:val="-12"/>
          <w:kern w:val="0"/>
          <w:sz w:val="28"/>
          <w:szCs w:val="28"/>
          <w:lang w:val="en-US" w:eastAsia="zh-CN" w:bidi="ar-SA"/>
        </w:rPr>
        <w:t>。</w:t>
      </w:r>
      <w:r>
        <w:rPr>
          <w:rFonts w:hint="eastAsia" w:ascii="宋体" w:hAnsi="宋体" w:eastAsia="宋体" w:cs="宋体"/>
          <w:b w:val="0"/>
          <w:bCs w:val="0"/>
          <w:snapToGrid w:val="0"/>
          <w:color w:val="000000"/>
          <w:spacing w:val="-12"/>
          <w:kern w:val="0"/>
          <w:sz w:val="28"/>
          <w:szCs w:val="28"/>
          <w:lang w:val="en-US" w:eastAsia="zh-CN" w:bidi="ar-SA"/>
        </w:rPr>
        <w:t>“</w:t>
      </w:r>
      <w:r>
        <w:rPr>
          <w:rFonts w:hint="default" w:ascii="宋体" w:hAnsi="宋体" w:eastAsia="宋体" w:cs="宋体"/>
          <w:b w:val="0"/>
          <w:bCs w:val="0"/>
          <w:snapToGrid w:val="0"/>
          <w:color w:val="000000"/>
          <w:spacing w:val="-12"/>
          <w:kern w:val="0"/>
          <w:sz w:val="28"/>
          <w:szCs w:val="28"/>
          <w:lang w:val="en-US" w:eastAsia="zh-CN" w:bidi="ar-SA"/>
        </w:rPr>
        <w:t>十三五</w:t>
      </w:r>
      <w:r>
        <w:rPr>
          <w:rFonts w:hint="eastAsia" w:ascii="宋体" w:hAnsi="宋体" w:eastAsia="宋体" w:cs="宋体"/>
          <w:b w:val="0"/>
          <w:bCs w:val="0"/>
          <w:snapToGrid w:val="0"/>
          <w:color w:val="000000"/>
          <w:spacing w:val="-12"/>
          <w:kern w:val="0"/>
          <w:sz w:val="28"/>
          <w:szCs w:val="28"/>
          <w:lang w:val="en-US" w:eastAsia="zh-CN" w:bidi="ar-SA"/>
        </w:rPr>
        <w:t>”初期师宗县有石漠化土地面积52180.99公顷，“</w:t>
      </w:r>
      <w:r>
        <w:rPr>
          <w:rFonts w:hint="default" w:ascii="宋体" w:hAnsi="宋体" w:eastAsia="宋体" w:cs="宋体"/>
          <w:b w:val="0"/>
          <w:bCs w:val="0"/>
          <w:snapToGrid w:val="0"/>
          <w:color w:val="000000"/>
          <w:spacing w:val="-12"/>
          <w:kern w:val="0"/>
          <w:sz w:val="28"/>
          <w:szCs w:val="28"/>
          <w:lang w:val="en-US" w:eastAsia="zh-CN" w:bidi="ar-SA"/>
        </w:rPr>
        <w:t>十三五</w:t>
      </w:r>
      <w:r>
        <w:rPr>
          <w:rFonts w:hint="eastAsia" w:ascii="宋体" w:hAnsi="宋体" w:eastAsia="宋体" w:cs="宋体"/>
          <w:b w:val="0"/>
          <w:bCs w:val="0"/>
          <w:snapToGrid w:val="0"/>
          <w:color w:val="000000"/>
          <w:spacing w:val="-12"/>
          <w:kern w:val="0"/>
          <w:sz w:val="28"/>
          <w:szCs w:val="28"/>
          <w:lang w:val="en-US" w:eastAsia="zh-CN" w:bidi="ar-SA"/>
        </w:rPr>
        <w:t>”末期师宗县有石漠化土地面积44415.79公顷。详见表1-1。</w:t>
      </w:r>
    </w:p>
    <w:p>
      <w:pPr>
        <w:widowControl/>
        <w:spacing w:line="240" w:lineRule="auto"/>
        <w:ind w:firstLine="482" w:firstLineChars="200"/>
        <w:jc w:val="both"/>
        <w:textAlignment w:val="center"/>
        <w:rPr>
          <w:rFonts w:hint="eastAsia" w:ascii="宋体" w:hAnsi="宋体" w:eastAsia="宋体" w:cs="宋体"/>
          <w:color w:val="000000"/>
          <w:kern w:val="0"/>
          <w:sz w:val="28"/>
          <w:szCs w:val="28"/>
        </w:rPr>
      </w:pPr>
      <w:r>
        <w:rPr>
          <w:rFonts w:hint="eastAsia" w:ascii="宋体" w:hAnsi="宋体" w:eastAsia="宋体" w:cs="宋体"/>
          <w:b/>
          <w:bCs/>
          <w:color w:val="000000"/>
          <w:kern w:val="0"/>
          <w:sz w:val="24"/>
          <w:szCs w:val="24"/>
        </w:rPr>
        <w:t>表</w:t>
      </w:r>
      <w:r>
        <w:rPr>
          <w:rFonts w:hint="eastAsia" w:ascii="宋体" w:hAnsi="宋体" w:eastAsia="宋体" w:cs="宋体"/>
          <w:b/>
          <w:bCs/>
          <w:color w:val="000000"/>
          <w:kern w:val="0"/>
          <w:sz w:val="24"/>
          <w:szCs w:val="24"/>
          <w:lang w:val="en-US" w:eastAsia="zh-CN"/>
        </w:rPr>
        <w:t>1</w:t>
      </w:r>
      <w:r>
        <w:rPr>
          <w:rFonts w:hint="eastAsia" w:ascii="宋体" w:hAnsi="宋体" w:eastAsia="宋体" w:cs="宋体"/>
          <w:b/>
          <w:bCs/>
          <w:color w:val="000000"/>
          <w:kern w:val="0"/>
          <w:sz w:val="24"/>
          <w:szCs w:val="24"/>
        </w:rPr>
        <w:t>-</w:t>
      </w:r>
      <w:r>
        <w:rPr>
          <w:rFonts w:hint="eastAsia" w:ascii="宋体" w:hAnsi="宋体" w:eastAsia="宋体" w:cs="宋体"/>
          <w:b/>
          <w:bCs/>
          <w:color w:val="000000"/>
          <w:kern w:val="0"/>
          <w:sz w:val="24"/>
          <w:szCs w:val="24"/>
          <w:lang w:val="en-US" w:eastAsia="zh-CN"/>
        </w:rPr>
        <w:t>1</w:t>
      </w:r>
      <w:r>
        <w:rPr>
          <w:rFonts w:hint="eastAsia" w:ascii="宋体" w:hAnsi="宋体" w:eastAsia="宋体" w:cs="宋体"/>
          <w:b/>
          <w:bCs/>
          <w:color w:val="000000"/>
          <w:kern w:val="0"/>
          <w:sz w:val="24"/>
          <w:szCs w:val="24"/>
        </w:rPr>
        <w:t xml:space="preserve"> </w:t>
      </w:r>
      <w:r>
        <w:rPr>
          <w:rFonts w:hint="eastAsia" w:ascii="宋体" w:hAnsi="宋体" w:eastAsia="宋体" w:cs="宋体"/>
          <w:b/>
          <w:bCs/>
          <w:color w:val="000000"/>
          <w:kern w:val="0"/>
          <w:sz w:val="24"/>
          <w:szCs w:val="24"/>
          <w:lang w:val="en-US" w:eastAsia="zh-CN"/>
        </w:rPr>
        <w:t xml:space="preserve">           </w:t>
      </w:r>
      <w:r>
        <w:rPr>
          <w:rFonts w:hint="eastAsia" w:ascii="宋体" w:hAnsi="宋体" w:eastAsia="宋体" w:cs="宋体"/>
          <w:b/>
          <w:bCs/>
          <w:color w:val="000000"/>
          <w:kern w:val="0"/>
          <w:sz w:val="24"/>
          <w:szCs w:val="24"/>
        </w:rPr>
        <w:t>石漠化状况调查结果动态变化表</w:t>
      </w:r>
      <w:r>
        <w:rPr>
          <w:rFonts w:hint="eastAsia" w:ascii="宋体" w:hAnsi="宋体" w:eastAsia="宋体" w:cs="宋体"/>
          <w:b/>
          <w:bCs/>
          <w:color w:val="000000"/>
          <w:kern w:val="0"/>
          <w:sz w:val="24"/>
          <w:szCs w:val="24"/>
          <w:lang w:val="en-US" w:eastAsia="zh-CN"/>
        </w:rPr>
        <w:t xml:space="preserve">    </w:t>
      </w:r>
      <w:r>
        <w:rPr>
          <w:rFonts w:hint="eastAsia" w:ascii="宋体" w:hAnsi="宋体" w:eastAsia="宋体" w:cs="宋体"/>
          <w:b/>
          <w:bCs/>
          <w:color w:val="000000"/>
          <w:kern w:val="0"/>
          <w:sz w:val="24"/>
          <w:szCs w:val="24"/>
        </w:rPr>
        <w:t>单位：公顷</w:t>
      </w:r>
      <w:r>
        <w:rPr>
          <w:rFonts w:hint="eastAsia" w:ascii="宋体" w:hAnsi="宋体" w:eastAsia="宋体" w:cs="宋体"/>
          <w:color w:val="000000"/>
          <w:kern w:val="0"/>
          <w:sz w:val="28"/>
          <w:szCs w:val="28"/>
        </w:rPr>
        <w:t xml:space="preserve">                   </w:t>
      </w:r>
      <w:r>
        <w:rPr>
          <w:rFonts w:hint="eastAsia" w:ascii="宋体" w:hAnsi="宋体" w:eastAsia="宋体" w:cs="宋体"/>
          <w:color w:val="000000"/>
          <w:kern w:val="0"/>
          <w:sz w:val="28"/>
          <w:szCs w:val="28"/>
          <w:lang w:val="en-US" w:eastAsia="zh-CN"/>
        </w:rPr>
        <w:t xml:space="preserve">            </w:t>
      </w:r>
    </w:p>
    <w:tbl>
      <w:tblPr>
        <w:tblStyle w:val="20"/>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5"/>
        <w:gridCol w:w="1525"/>
        <w:gridCol w:w="1372"/>
        <w:gridCol w:w="1523"/>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45" w:type="dxa"/>
            <w:shd w:val="clear" w:color="auto" w:fill="auto"/>
            <w:vAlign w:val="bottom"/>
          </w:tcPr>
          <w:p>
            <w:pPr>
              <w:widowControl/>
              <w:jc w:val="both"/>
              <w:rPr>
                <w:rFonts w:hint="eastAsia" w:ascii="宋体" w:hAnsi="宋体" w:eastAsia="宋体" w:cs="宋体"/>
                <w:kern w:val="0"/>
                <w:sz w:val="21"/>
                <w:szCs w:val="21"/>
              </w:rPr>
            </w:pPr>
            <w:r>
              <w:rPr>
                <w:rFonts w:hint="eastAsia" w:ascii="宋体" w:hAnsi="宋体" w:eastAsia="宋体" w:cs="宋体"/>
                <w:kern w:val="0"/>
                <w:sz w:val="21"/>
                <w:szCs w:val="21"/>
              </w:rPr>
              <w:t>年度</w:t>
            </w:r>
          </w:p>
        </w:tc>
        <w:tc>
          <w:tcPr>
            <w:tcW w:w="1525" w:type="dxa"/>
            <w:shd w:val="clear" w:color="auto" w:fill="auto"/>
            <w:vAlign w:val="bottom"/>
          </w:tcPr>
          <w:p>
            <w:pPr>
              <w:widowControl/>
              <w:jc w:val="both"/>
              <w:rPr>
                <w:rFonts w:hint="eastAsia" w:ascii="宋体" w:hAnsi="宋体" w:eastAsia="宋体" w:cs="宋体"/>
                <w:kern w:val="0"/>
                <w:sz w:val="21"/>
                <w:szCs w:val="21"/>
              </w:rPr>
            </w:pPr>
            <w:r>
              <w:rPr>
                <w:rFonts w:hint="eastAsia" w:ascii="宋体" w:hAnsi="宋体" w:eastAsia="宋体" w:cs="宋体"/>
                <w:kern w:val="0"/>
                <w:sz w:val="21"/>
                <w:szCs w:val="21"/>
              </w:rPr>
              <w:t>调查面积</w:t>
            </w:r>
          </w:p>
        </w:tc>
        <w:tc>
          <w:tcPr>
            <w:tcW w:w="1372" w:type="dxa"/>
            <w:shd w:val="clear" w:color="auto" w:fill="auto"/>
            <w:vAlign w:val="bottom"/>
          </w:tcPr>
          <w:p>
            <w:pPr>
              <w:widowControl/>
              <w:jc w:val="both"/>
              <w:rPr>
                <w:rFonts w:hint="eastAsia" w:ascii="宋体" w:hAnsi="宋体" w:eastAsia="宋体" w:cs="宋体"/>
                <w:kern w:val="0"/>
                <w:sz w:val="21"/>
                <w:szCs w:val="21"/>
              </w:rPr>
            </w:pPr>
            <w:r>
              <w:rPr>
                <w:rFonts w:hint="eastAsia" w:ascii="宋体" w:hAnsi="宋体" w:eastAsia="宋体" w:cs="宋体"/>
                <w:kern w:val="0"/>
                <w:sz w:val="21"/>
                <w:szCs w:val="21"/>
              </w:rPr>
              <w:t>石漠化</w:t>
            </w:r>
          </w:p>
        </w:tc>
        <w:tc>
          <w:tcPr>
            <w:tcW w:w="1523" w:type="dxa"/>
            <w:shd w:val="clear" w:color="auto" w:fill="auto"/>
            <w:vAlign w:val="bottom"/>
          </w:tcPr>
          <w:p>
            <w:pPr>
              <w:widowControl/>
              <w:jc w:val="both"/>
              <w:rPr>
                <w:rFonts w:hint="eastAsia" w:ascii="宋体" w:hAnsi="宋体" w:eastAsia="宋体" w:cs="宋体"/>
                <w:kern w:val="0"/>
                <w:sz w:val="21"/>
                <w:szCs w:val="21"/>
              </w:rPr>
            </w:pPr>
            <w:r>
              <w:rPr>
                <w:rFonts w:hint="eastAsia" w:ascii="宋体" w:hAnsi="宋体" w:eastAsia="宋体" w:cs="宋体"/>
                <w:kern w:val="0"/>
                <w:sz w:val="21"/>
                <w:szCs w:val="21"/>
              </w:rPr>
              <w:t>潜在石漠化</w:t>
            </w:r>
          </w:p>
        </w:tc>
        <w:tc>
          <w:tcPr>
            <w:tcW w:w="1254" w:type="dxa"/>
            <w:shd w:val="clear" w:color="auto" w:fill="auto"/>
            <w:vAlign w:val="bottom"/>
          </w:tcPr>
          <w:p>
            <w:pPr>
              <w:widowControl/>
              <w:jc w:val="both"/>
              <w:rPr>
                <w:rFonts w:hint="eastAsia" w:ascii="宋体" w:hAnsi="宋体" w:eastAsia="宋体" w:cs="宋体"/>
                <w:kern w:val="0"/>
                <w:sz w:val="21"/>
                <w:szCs w:val="21"/>
              </w:rPr>
            </w:pPr>
            <w:r>
              <w:rPr>
                <w:rFonts w:hint="eastAsia" w:ascii="宋体" w:hAnsi="宋体" w:eastAsia="宋体" w:cs="宋体"/>
                <w:kern w:val="0"/>
                <w:sz w:val="21"/>
                <w:szCs w:val="21"/>
              </w:rPr>
              <w:t>非石漠化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45" w:type="dxa"/>
            <w:shd w:val="clear" w:color="auto" w:fill="auto"/>
            <w:vAlign w:val="bottom"/>
          </w:tcPr>
          <w:p>
            <w:pPr>
              <w:widowControl/>
              <w:jc w:val="both"/>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第三次调查</w:t>
            </w:r>
          </w:p>
        </w:tc>
        <w:tc>
          <w:tcPr>
            <w:tcW w:w="1525" w:type="dxa"/>
            <w:shd w:val="clear" w:color="auto" w:fill="auto"/>
            <w:vAlign w:val="center"/>
          </w:tcPr>
          <w:p>
            <w:pPr>
              <w:widowControl/>
              <w:jc w:val="both"/>
              <w:textAlignment w:val="center"/>
              <w:rPr>
                <w:rFonts w:hint="eastAsia" w:ascii="宋体" w:hAnsi="宋体" w:eastAsia="宋体" w:cs="宋体"/>
                <w:kern w:val="0"/>
                <w:sz w:val="21"/>
                <w:szCs w:val="21"/>
              </w:rPr>
            </w:pPr>
            <w:r>
              <w:rPr>
                <w:rFonts w:hint="eastAsia" w:ascii="宋体" w:hAnsi="宋体" w:eastAsia="宋体" w:cs="宋体"/>
                <w:kern w:val="0"/>
                <w:sz w:val="21"/>
                <w:szCs w:val="21"/>
              </w:rPr>
              <w:t>126109.32</w:t>
            </w:r>
          </w:p>
        </w:tc>
        <w:tc>
          <w:tcPr>
            <w:tcW w:w="1372" w:type="dxa"/>
            <w:shd w:val="clear" w:color="auto" w:fill="auto"/>
            <w:vAlign w:val="center"/>
          </w:tcPr>
          <w:p>
            <w:pPr>
              <w:widowControl/>
              <w:jc w:val="both"/>
              <w:rPr>
                <w:rFonts w:hint="eastAsia" w:ascii="宋体" w:hAnsi="宋体" w:eastAsia="宋体" w:cs="宋体"/>
                <w:kern w:val="0"/>
                <w:sz w:val="21"/>
                <w:szCs w:val="21"/>
              </w:rPr>
            </w:pPr>
            <w:r>
              <w:rPr>
                <w:rFonts w:hint="eastAsia" w:ascii="宋体" w:hAnsi="宋体" w:eastAsia="宋体" w:cs="宋体"/>
                <w:kern w:val="0"/>
                <w:sz w:val="21"/>
                <w:szCs w:val="21"/>
              </w:rPr>
              <w:t>52180.99</w:t>
            </w:r>
          </w:p>
        </w:tc>
        <w:tc>
          <w:tcPr>
            <w:tcW w:w="1523" w:type="dxa"/>
            <w:shd w:val="clear" w:color="auto" w:fill="auto"/>
            <w:vAlign w:val="center"/>
          </w:tcPr>
          <w:p>
            <w:pPr>
              <w:widowControl/>
              <w:jc w:val="both"/>
              <w:rPr>
                <w:rFonts w:hint="eastAsia" w:ascii="宋体" w:hAnsi="宋体" w:eastAsia="宋体" w:cs="宋体"/>
                <w:kern w:val="0"/>
                <w:sz w:val="21"/>
                <w:szCs w:val="21"/>
              </w:rPr>
            </w:pPr>
            <w:r>
              <w:rPr>
                <w:rFonts w:hint="eastAsia" w:ascii="宋体" w:hAnsi="宋体" w:eastAsia="宋体" w:cs="宋体"/>
                <w:kern w:val="0"/>
                <w:sz w:val="21"/>
                <w:szCs w:val="21"/>
              </w:rPr>
              <w:t>16703.11</w:t>
            </w:r>
          </w:p>
        </w:tc>
        <w:tc>
          <w:tcPr>
            <w:tcW w:w="1254" w:type="dxa"/>
            <w:shd w:val="clear" w:color="auto" w:fill="auto"/>
            <w:vAlign w:val="center"/>
          </w:tcPr>
          <w:p>
            <w:pPr>
              <w:widowControl/>
              <w:jc w:val="both"/>
              <w:rPr>
                <w:rFonts w:hint="eastAsia" w:ascii="宋体" w:hAnsi="宋体" w:eastAsia="宋体" w:cs="宋体"/>
                <w:kern w:val="0"/>
                <w:sz w:val="21"/>
                <w:szCs w:val="21"/>
              </w:rPr>
            </w:pPr>
            <w:r>
              <w:rPr>
                <w:rFonts w:hint="eastAsia" w:ascii="宋体" w:hAnsi="宋体" w:eastAsia="宋体" w:cs="宋体"/>
                <w:kern w:val="0"/>
                <w:sz w:val="21"/>
                <w:szCs w:val="21"/>
              </w:rPr>
              <w:t>57255.22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45" w:type="dxa"/>
            <w:shd w:val="clear" w:color="auto" w:fill="auto"/>
            <w:vAlign w:val="bottom"/>
          </w:tcPr>
          <w:p>
            <w:pPr>
              <w:widowControl/>
              <w:jc w:val="both"/>
              <w:rPr>
                <w:rFonts w:hint="default" w:ascii="宋体" w:hAnsi="宋体" w:eastAsia="宋体" w:cs="宋体"/>
                <w:kern w:val="0"/>
                <w:sz w:val="21"/>
                <w:szCs w:val="21"/>
                <w:lang w:val="en-US"/>
              </w:rPr>
            </w:pPr>
            <w:r>
              <w:rPr>
                <w:rFonts w:hint="eastAsia" w:ascii="宋体" w:hAnsi="宋体" w:eastAsia="宋体" w:cs="宋体"/>
                <w:kern w:val="0"/>
                <w:sz w:val="21"/>
                <w:szCs w:val="21"/>
                <w:lang w:val="en-US" w:eastAsia="zh-CN"/>
              </w:rPr>
              <w:t>第四次调查</w:t>
            </w:r>
          </w:p>
        </w:tc>
        <w:tc>
          <w:tcPr>
            <w:tcW w:w="1525" w:type="dxa"/>
            <w:shd w:val="clear" w:color="auto" w:fill="auto"/>
            <w:vAlign w:val="center"/>
          </w:tcPr>
          <w:p>
            <w:pPr>
              <w:widowControl/>
              <w:jc w:val="both"/>
              <w:textAlignment w:val="center"/>
              <w:rPr>
                <w:rFonts w:hint="eastAsia" w:ascii="宋体" w:hAnsi="宋体" w:eastAsia="宋体" w:cs="宋体"/>
                <w:kern w:val="0"/>
                <w:sz w:val="21"/>
                <w:szCs w:val="21"/>
              </w:rPr>
            </w:pPr>
            <w:r>
              <w:rPr>
                <w:rFonts w:hint="eastAsia" w:ascii="宋体" w:hAnsi="宋体" w:eastAsia="宋体" w:cs="宋体"/>
                <w:kern w:val="0"/>
                <w:sz w:val="21"/>
                <w:szCs w:val="21"/>
              </w:rPr>
              <w:t>127105.51</w:t>
            </w:r>
          </w:p>
        </w:tc>
        <w:tc>
          <w:tcPr>
            <w:tcW w:w="1372" w:type="dxa"/>
            <w:shd w:val="clear" w:color="auto" w:fill="auto"/>
            <w:vAlign w:val="center"/>
          </w:tcPr>
          <w:p>
            <w:pPr>
              <w:widowControl/>
              <w:jc w:val="both"/>
              <w:rPr>
                <w:rFonts w:hint="eastAsia" w:ascii="宋体" w:hAnsi="宋体" w:eastAsia="宋体" w:cs="宋体"/>
                <w:kern w:val="0"/>
                <w:sz w:val="21"/>
                <w:szCs w:val="21"/>
              </w:rPr>
            </w:pPr>
            <w:r>
              <w:rPr>
                <w:rFonts w:hint="eastAsia" w:ascii="宋体" w:hAnsi="宋体" w:eastAsia="宋体" w:cs="宋体"/>
                <w:kern w:val="0"/>
                <w:sz w:val="21"/>
                <w:szCs w:val="21"/>
              </w:rPr>
              <w:t>44415.79</w:t>
            </w:r>
          </w:p>
        </w:tc>
        <w:tc>
          <w:tcPr>
            <w:tcW w:w="1523" w:type="dxa"/>
            <w:shd w:val="clear" w:color="auto" w:fill="auto"/>
            <w:vAlign w:val="center"/>
          </w:tcPr>
          <w:p>
            <w:pPr>
              <w:widowControl/>
              <w:jc w:val="both"/>
              <w:rPr>
                <w:rFonts w:hint="eastAsia" w:ascii="宋体" w:hAnsi="宋体" w:eastAsia="宋体" w:cs="宋体"/>
                <w:kern w:val="0"/>
                <w:sz w:val="21"/>
                <w:szCs w:val="21"/>
              </w:rPr>
            </w:pPr>
            <w:r>
              <w:rPr>
                <w:rFonts w:hint="eastAsia" w:ascii="宋体" w:hAnsi="宋体" w:eastAsia="宋体" w:cs="宋体"/>
                <w:kern w:val="0"/>
                <w:sz w:val="21"/>
                <w:szCs w:val="21"/>
              </w:rPr>
              <w:t>20999.98</w:t>
            </w:r>
          </w:p>
        </w:tc>
        <w:tc>
          <w:tcPr>
            <w:tcW w:w="1254" w:type="dxa"/>
            <w:shd w:val="clear" w:color="auto" w:fill="auto"/>
            <w:vAlign w:val="center"/>
          </w:tcPr>
          <w:p>
            <w:pPr>
              <w:widowControl/>
              <w:jc w:val="both"/>
              <w:rPr>
                <w:rFonts w:hint="eastAsia" w:ascii="宋体" w:hAnsi="宋体" w:eastAsia="宋体" w:cs="宋体"/>
                <w:kern w:val="0"/>
                <w:sz w:val="21"/>
                <w:szCs w:val="21"/>
              </w:rPr>
            </w:pPr>
            <w:r>
              <w:rPr>
                <w:rFonts w:hint="eastAsia" w:ascii="宋体" w:hAnsi="宋体" w:eastAsia="宋体" w:cs="宋体"/>
                <w:kern w:val="0"/>
                <w:sz w:val="21"/>
                <w:szCs w:val="21"/>
              </w:rPr>
              <w:t>61689.74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845" w:type="dxa"/>
            <w:shd w:val="clear" w:color="auto" w:fill="auto"/>
            <w:vAlign w:val="bottom"/>
          </w:tcPr>
          <w:p>
            <w:pPr>
              <w:widowControl/>
              <w:jc w:val="both"/>
              <w:rPr>
                <w:rFonts w:hint="eastAsia" w:ascii="宋体" w:hAnsi="宋体" w:eastAsia="宋体" w:cs="宋体"/>
                <w:kern w:val="0"/>
                <w:sz w:val="21"/>
                <w:szCs w:val="21"/>
              </w:rPr>
            </w:pPr>
            <w:r>
              <w:rPr>
                <w:rFonts w:hint="eastAsia" w:ascii="宋体" w:hAnsi="宋体" w:eastAsia="宋体" w:cs="宋体"/>
                <w:kern w:val="0"/>
                <w:sz w:val="21"/>
                <w:szCs w:val="21"/>
              </w:rPr>
              <w:t>与</w:t>
            </w:r>
            <w:r>
              <w:rPr>
                <w:rFonts w:hint="eastAsia" w:ascii="宋体" w:hAnsi="宋体" w:eastAsia="宋体" w:cs="宋体"/>
                <w:kern w:val="0"/>
                <w:sz w:val="21"/>
                <w:szCs w:val="21"/>
                <w:lang w:val="en-US" w:eastAsia="zh-CN"/>
              </w:rPr>
              <w:t>第三次</w:t>
            </w:r>
            <w:r>
              <w:rPr>
                <w:rFonts w:hint="eastAsia" w:ascii="宋体" w:hAnsi="宋体" w:eastAsia="宋体" w:cs="宋体"/>
                <w:kern w:val="0"/>
                <w:sz w:val="21"/>
                <w:szCs w:val="21"/>
              </w:rPr>
              <w:t>相比</w:t>
            </w:r>
          </w:p>
        </w:tc>
        <w:tc>
          <w:tcPr>
            <w:tcW w:w="1525" w:type="dxa"/>
            <w:shd w:val="clear" w:color="auto" w:fill="auto"/>
            <w:vAlign w:val="center"/>
          </w:tcPr>
          <w:p>
            <w:pPr>
              <w:widowControl/>
              <w:jc w:val="both"/>
              <w:textAlignment w:val="center"/>
              <w:rPr>
                <w:rFonts w:hint="eastAsia" w:ascii="宋体" w:hAnsi="宋体" w:eastAsia="宋体" w:cs="宋体"/>
                <w:kern w:val="0"/>
                <w:sz w:val="21"/>
                <w:szCs w:val="21"/>
              </w:rPr>
            </w:pPr>
            <w:r>
              <w:rPr>
                <w:rFonts w:hint="eastAsia" w:ascii="宋体" w:hAnsi="宋体" w:eastAsia="宋体" w:cs="宋体"/>
                <w:kern w:val="0"/>
                <w:sz w:val="21"/>
                <w:szCs w:val="21"/>
              </w:rPr>
              <w:t>996.19</w:t>
            </w:r>
          </w:p>
        </w:tc>
        <w:tc>
          <w:tcPr>
            <w:tcW w:w="1372" w:type="dxa"/>
            <w:shd w:val="clear" w:color="auto" w:fill="auto"/>
            <w:vAlign w:val="center"/>
          </w:tcPr>
          <w:p>
            <w:pPr>
              <w:widowControl/>
              <w:jc w:val="both"/>
              <w:rPr>
                <w:rFonts w:hint="eastAsia" w:ascii="宋体" w:hAnsi="宋体" w:eastAsia="宋体" w:cs="宋体"/>
                <w:kern w:val="0"/>
                <w:sz w:val="21"/>
                <w:szCs w:val="21"/>
              </w:rPr>
            </w:pPr>
            <w:r>
              <w:rPr>
                <w:rFonts w:hint="eastAsia" w:ascii="宋体" w:hAnsi="宋体" w:eastAsia="宋体" w:cs="宋体"/>
                <w:kern w:val="0"/>
                <w:sz w:val="21"/>
                <w:szCs w:val="21"/>
              </w:rPr>
              <w:t>-7765.20</w:t>
            </w:r>
          </w:p>
        </w:tc>
        <w:tc>
          <w:tcPr>
            <w:tcW w:w="1523" w:type="dxa"/>
            <w:shd w:val="clear" w:color="auto" w:fill="auto"/>
            <w:vAlign w:val="center"/>
          </w:tcPr>
          <w:p>
            <w:pPr>
              <w:widowControl/>
              <w:jc w:val="both"/>
              <w:rPr>
                <w:rFonts w:hint="eastAsia" w:ascii="宋体" w:hAnsi="宋体" w:eastAsia="宋体" w:cs="宋体"/>
                <w:kern w:val="0"/>
                <w:sz w:val="21"/>
                <w:szCs w:val="21"/>
              </w:rPr>
            </w:pPr>
            <w:r>
              <w:rPr>
                <w:rFonts w:hint="eastAsia" w:ascii="宋体" w:hAnsi="宋体" w:eastAsia="宋体" w:cs="宋体"/>
                <w:kern w:val="0"/>
                <w:sz w:val="21"/>
                <w:szCs w:val="21"/>
              </w:rPr>
              <w:t>4296.87</w:t>
            </w:r>
          </w:p>
        </w:tc>
        <w:tc>
          <w:tcPr>
            <w:tcW w:w="1254" w:type="dxa"/>
            <w:shd w:val="clear" w:color="auto" w:fill="auto"/>
            <w:vAlign w:val="center"/>
          </w:tcPr>
          <w:p>
            <w:pPr>
              <w:widowControl/>
              <w:jc w:val="both"/>
              <w:rPr>
                <w:rFonts w:hint="eastAsia" w:ascii="宋体" w:hAnsi="宋体" w:eastAsia="宋体" w:cs="宋体"/>
                <w:kern w:val="0"/>
                <w:sz w:val="21"/>
                <w:szCs w:val="21"/>
              </w:rPr>
            </w:pPr>
            <w:r>
              <w:rPr>
                <w:rFonts w:hint="eastAsia" w:ascii="宋体" w:hAnsi="宋体" w:eastAsia="宋体" w:cs="宋体"/>
                <w:kern w:val="0"/>
                <w:sz w:val="21"/>
                <w:szCs w:val="21"/>
              </w:rPr>
              <w:t>4464.53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45" w:type="dxa"/>
            <w:shd w:val="clear" w:color="auto" w:fill="auto"/>
            <w:vAlign w:val="bottom"/>
          </w:tcPr>
          <w:p>
            <w:pPr>
              <w:widowControl/>
              <w:jc w:val="both"/>
              <w:rPr>
                <w:rFonts w:hint="eastAsia" w:ascii="宋体" w:hAnsi="宋体" w:eastAsia="宋体" w:cs="宋体"/>
                <w:kern w:val="0"/>
                <w:sz w:val="21"/>
                <w:szCs w:val="21"/>
              </w:rPr>
            </w:pPr>
            <w:r>
              <w:rPr>
                <w:rFonts w:hint="eastAsia" w:ascii="宋体" w:hAnsi="宋体" w:eastAsia="宋体" w:cs="宋体"/>
                <w:kern w:val="0"/>
                <w:sz w:val="21"/>
                <w:szCs w:val="21"/>
              </w:rPr>
              <w:t>总变动率%（含技术因素）</w:t>
            </w:r>
          </w:p>
        </w:tc>
        <w:tc>
          <w:tcPr>
            <w:tcW w:w="1525" w:type="dxa"/>
            <w:shd w:val="clear" w:color="auto" w:fill="auto"/>
            <w:vAlign w:val="center"/>
          </w:tcPr>
          <w:p>
            <w:pPr>
              <w:widowControl/>
              <w:jc w:val="both"/>
              <w:textAlignment w:val="center"/>
              <w:rPr>
                <w:rFonts w:hint="eastAsia" w:ascii="宋体" w:hAnsi="宋体" w:eastAsia="宋体" w:cs="宋体"/>
                <w:kern w:val="0"/>
                <w:sz w:val="21"/>
                <w:szCs w:val="21"/>
              </w:rPr>
            </w:pPr>
            <w:r>
              <w:rPr>
                <w:rFonts w:hint="eastAsia" w:ascii="宋体" w:hAnsi="宋体" w:eastAsia="宋体" w:cs="宋体"/>
                <w:kern w:val="0"/>
                <w:sz w:val="21"/>
                <w:szCs w:val="21"/>
              </w:rPr>
              <w:t>0.79</w:t>
            </w:r>
          </w:p>
        </w:tc>
        <w:tc>
          <w:tcPr>
            <w:tcW w:w="1372" w:type="dxa"/>
            <w:shd w:val="clear" w:color="auto" w:fill="auto"/>
            <w:vAlign w:val="center"/>
          </w:tcPr>
          <w:p>
            <w:pPr>
              <w:widowControl/>
              <w:jc w:val="both"/>
              <w:textAlignment w:val="center"/>
              <w:rPr>
                <w:rFonts w:hint="eastAsia" w:ascii="宋体" w:hAnsi="宋体" w:eastAsia="宋体" w:cs="宋体"/>
                <w:kern w:val="0"/>
                <w:sz w:val="21"/>
                <w:szCs w:val="21"/>
              </w:rPr>
            </w:pPr>
            <w:r>
              <w:rPr>
                <w:rFonts w:hint="eastAsia" w:ascii="宋体" w:hAnsi="宋体" w:eastAsia="宋体" w:cs="宋体"/>
                <w:kern w:val="0"/>
                <w:sz w:val="21"/>
                <w:szCs w:val="21"/>
              </w:rPr>
              <w:t>-14.88</w:t>
            </w:r>
          </w:p>
        </w:tc>
        <w:tc>
          <w:tcPr>
            <w:tcW w:w="1523" w:type="dxa"/>
            <w:shd w:val="clear" w:color="auto" w:fill="auto"/>
            <w:vAlign w:val="center"/>
          </w:tcPr>
          <w:p>
            <w:pPr>
              <w:widowControl/>
              <w:jc w:val="both"/>
              <w:textAlignment w:val="center"/>
              <w:rPr>
                <w:rFonts w:hint="eastAsia" w:ascii="宋体" w:hAnsi="宋体" w:eastAsia="宋体" w:cs="宋体"/>
                <w:kern w:val="0"/>
                <w:sz w:val="21"/>
                <w:szCs w:val="21"/>
              </w:rPr>
            </w:pPr>
            <w:r>
              <w:rPr>
                <w:rFonts w:hint="eastAsia" w:ascii="宋体" w:hAnsi="宋体" w:eastAsia="宋体" w:cs="宋体"/>
                <w:kern w:val="0"/>
                <w:sz w:val="21"/>
                <w:szCs w:val="21"/>
              </w:rPr>
              <w:t>25.7</w:t>
            </w:r>
            <w:r>
              <w:rPr>
                <w:rFonts w:hint="eastAsia" w:ascii="宋体" w:hAnsi="宋体" w:eastAsia="宋体" w:cs="宋体"/>
                <w:kern w:val="0"/>
                <w:sz w:val="21"/>
                <w:szCs w:val="21"/>
                <w:lang w:val="en-US" w:eastAsia="zh-CN"/>
              </w:rPr>
              <w:t>3</w:t>
            </w:r>
          </w:p>
        </w:tc>
        <w:tc>
          <w:tcPr>
            <w:tcW w:w="1254" w:type="dxa"/>
            <w:shd w:val="clear" w:color="auto" w:fill="auto"/>
            <w:vAlign w:val="center"/>
          </w:tcPr>
          <w:p>
            <w:pPr>
              <w:widowControl/>
              <w:jc w:val="both"/>
              <w:textAlignment w:val="center"/>
              <w:rPr>
                <w:rFonts w:hint="eastAsia" w:ascii="宋体" w:hAnsi="宋体" w:eastAsia="宋体" w:cs="宋体"/>
                <w:kern w:val="0"/>
                <w:sz w:val="21"/>
                <w:szCs w:val="21"/>
              </w:rPr>
            </w:pPr>
            <w:r>
              <w:rPr>
                <w:rFonts w:hint="eastAsia" w:ascii="宋体" w:hAnsi="宋体" w:eastAsia="宋体" w:cs="宋体"/>
                <w:kern w:val="0"/>
                <w:sz w:val="21"/>
                <w:szCs w:val="21"/>
              </w:rPr>
              <w:t>7.80</w:t>
            </w:r>
          </w:p>
        </w:tc>
      </w:tr>
    </w:tbl>
    <w:p>
      <w:pPr>
        <w:pStyle w:val="34"/>
        <w:spacing w:line="360" w:lineRule="auto"/>
        <w:ind w:firstLine="475" w:firstLineChars="250"/>
        <w:jc w:val="both"/>
        <w:rPr>
          <w:rFonts w:hint="eastAsia" w:ascii="宋体" w:hAnsi="宋体" w:eastAsia="宋体" w:cs="宋体"/>
          <w:b w:val="0"/>
          <w:bCs w:val="0"/>
          <w:snapToGrid w:val="0"/>
          <w:color w:val="000000"/>
          <w:spacing w:val="-12"/>
          <w:kern w:val="0"/>
          <w:sz w:val="21"/>
          <w:szCs w:val="21"/>
          <w:lang w:val="en-US" w:eastAsia="zh-CN" w:bidi="ar-SA"/>
        </w:rPr>
      </w:pPr>
      <w:r>
        <w:rPr>
          <w:rFonts w:hint="eastAsia" w:ascii="宋体" w:hAnsi="宋体" w:eastAsia="宋体" w:cs="宋体"/>
          <w:spacing w:val="-10"/>
          <w:sz w:val="21"/>
          <w:szCs w:val="21"/>
        </w:rPr>
        <w:t>注：总变动率=(2021-2016)/2016*100</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“十四五”期间，师宗县通过采取封山管护、封山育林（草）、造林种草、陡坡耕地退耕还林还草、农村能源结构调整等措施，治理石漠化面积1.18万公顷。</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通过“</w:t>
      </w:r>
      <w:r>
        <w:rPr>
          <w:rFonts w:hint="default" w:ascii="宋体" w:hAnsi="宋体" w:eastAsia="宋体" w:cs="宋体"/>
          <w:b w:val="0"/>
          <w:bCs w:val="0"/>
          <w:snapToGrid w:val="0"/>
          <w:color w:val="000000"/>
          <w:spacing w:val="-12"/>
          <w:kern w:val="0"/>
          <w:sz w:val="28"/>
          <w:szCs w:val="28"/>
          <w:lang w:val="en-US" w:eastAsia="zh-CN" w:bidi="ar-SA"/>
        </w:rPr>
        <w:t>十</w:t>
      </w:r>
      <w:r>
        <w:rPr>
          <w:rFonts w:hint="eastAsia" w:ascii="宋体" w:hAnsi="宋体" w:eastAsia="宋体" w:cs="宋体"/>
          <w:b w:val="0"/>
          <w:bCs w:val="0"/>
          <w:snapToGrid w:val="0"/>
          <w:color w:val="000000"/>
          <w:spacing w:val="-12"/>
          <w:kern w:val="0"/>
          <w:sz w:val="28"/>
          <w:szCs w:val="28"/>
          <w:lang w:val="en-US" w:eastAsia="zh-CN" w:bidi="ar-SA"/>
        </w:rPr>
        <w:t>三</w:t>
      </w:r>
      <w:r>
        <w:rPr>
          <w:rFonts w:hint="default" w:ascii="宋体" w:hAnsi="宋体" w:eastAsia="宋体" w:cs="宋体"/>
          <w:b w:val="0"/>
          <w:bCs w:val="0"/>
          <w:snapToGrid w:val="0"/>
          <w:color w:val="000000"/>
          <w:spacing w:val="-12"/>
          <w:kern w:val="0"/>
          <w:sz w:val="28"/>
          <w:szCs w:val="28"/>
          <w:lang w:val="en-US" w:eastAsia="zh-CN" w:bidi="ar-SA"/>
        </w:rPr>
        <w:t>五</w:t>
      </w:r>
      <w:r>
        <w:rPr>
          <w:rFonts w:hint="eastAsia" w:ascii="宋体" w:hAnsi="宋体" w:eastAsia="宋体" w:cs="宋体"/>
          <w:b w:val="0"/>
          <w:bCs w:val="0"/>
          <w:snapToGrid w:val="0"/>
          <w:color w:val="000000"/>
          <w:spacing w:val="-12"/>
          <w:kern w:val="0"/>
          <w:sz w:val="28"/>
          <w:szCs w:val="28"/>
          <w:lang w:val="en-US" w:eastAsia="zh-CN" w:bidi="ar-SA"/>
        </w:rPr>
        <w:t>”、“十四五”期间的综合治理，促进了师宗县岩溶区域植被恢复，有效遏制了岩溶区石漠化土地的扩张，石漠化土地呈现减少的趋势，石漠化治理成效显现，县域林草植被得到有效恢复，水土流失有所减缓，生态环境得到一定程度的改善。</w:t>
      </w:r>
    </w:p>
    <w:p>
      <w:pPr>
        <w:spacing w:line="360" w:lineRule="auto"/>
        <w:ind w:firstLine="560"/>
        <w:jc w:val="both"/>
        <w:outlineLvl w:val="2"/>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三、森林资源保持稳步增长</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default" w:ascii="宋体" w:hAnsi="宋体" w:eastAsia="宋体" w:cs="宋体"/>
          <w:b w:val="0"/>
          <w:bCs w:val="0"/>
          <w:snapToGrid w:val="0"/>
          <w:color w:val="000000"/>
          <w:spacing w:val="-12"/>
          <w:kern w:val="0"/>
          <w:sz w:val="28"/>
          <w:szCs w:val="28"/>
          <w:lang w:val="en-US" w:eastAsia="zh-CN" w:bidi="ar-SA"/>
        </w:rPr>
        <w:t>“十三五”期间</w:t>
      </w:r>
      <w:r>
        <w:rPr>
          <w:rFonts w:hint="eastAsia" w:ascii="宋体" w:hAnsi="宋体" w:eastAsia="宋体" w:cs="宋体"/>
          <w:b w:val="0"/>
          <w:bCs w:val="0"/>
          <w:snapToGrid w:val="0"/>
          <w:color w:val="000000"/>
          <w:spacing w:val="-12"/>
          <w:kern w:val="0"/>
          <w:sz w:val="28"/>
          <w:szCs w:val="28"/>
          <w:lang w:val="en-US" w:eastAsia="zh-CN" w:bidi="ar-SA"/>
        </w:rPr>
        <w:t>，全县完成营造林10.1万亩，森林培育14万亩，森林抚育16.2万亩，修复退化林1万亩，义务植树</w:t>
      </w:r>
      <w:r>
        <w:rPr>
          <w:rFonts w:hint="default" w:ascii="宋体" w:hAnsi="宋体" w:eastAsia="宋体" w:cs="宋体"/>
          <w:b w:val="0"/>
          <w:bCs w:val="0"/>
          <w:snapToGrid w:val="0"/>
          <w:color w:val="000000"/>
          <w:spacing w:val="-12"/>
          <w:kern w:val="0"/>
          <w:sz w:val="28"/>
          <w:szCs w:val="28"/>
          <w:lang w:val="en-US" w:eastAsia="zh-CN" w:bidi="ar-SA"/>
        </w:rPr>
        <w:t>120</w:t>
      </w:r>
      <w:r>
        <w:rPr>
          <w:rFonts w:hint="eastAsia" w:ascii="宋体" w:hAnsi="宋体" w:eastAsia="宋体" w:cs="宋体"/>
          <w:b w:val="0"/>
          <w:bCs w:val="0"/>
          <w:snapToGrid w:val="0"/>
          <w:color w:val="000000"/>
          <w:spacing w:val="-12"/>
          <w:kern w:val="0"/>
          <w:sz w:val="28"/>
          <w:szCs w:val="28"/>
          <w:lang w:val="en-US" w:eastAsia="zh-CN" w:bidi="ar-SA"/>
        </w:rPr>
        <w:t>余万株，建设防火通道260千米。加大县城周边生态修复治理力度，新建小河水库、东风水库水土涵养林</w:t>
      </w:r>
      <w:r>
        <w:rPr>
          <w:rFonts w:hint="default" w:ascii="宋体" w:hAnsi="宋体" w:eastAsia="宋体" w:cs="宋体"/>
          <w:b w:val="0"/>
          <w:bCs w:val="0"/>
          <w:snapToGrid w:val="0"/>
          <w:color w:val="000000"/>
          <w:spacing w:val="-12"/>
          <w:kern w:val="0"/>
          <w:sz w:val="28"/>
          <w:szCs w:val="28"/>
          <w:lang w:val="en-US" w:eastAsia="zh-CN" w:bidi="ar-SA"/>
        </w:rPr>
        <w:t>1860</w:t>
      </w:r>
      <w:r>
        <w:rPr>
          <w:rFonts w:hint="eastAsia" w:ascii="宋体" w:hAnsi="宋体" w:eastAsia="宋体" w:cs="宋体"/>
          <w:b w:val="0"/>
          <w:bCs w:val="0"/>
          <w:snapToGrid w:val="0"/>
          <w:color w:val="000000"/>
          <w:spacing w:val="-12"/>
          <w:kern w:val="0"/>
          <w:sz w:val="28"/>
          <w:szCs w:val="28"/>
          <w:lang w:val="en-US" w:eastAsia="zh-CN" w:bidi="ar-SA"/>
        </w:rPr>
        <w:t>亩，建成矣腊工业园区减污防护林</w:t>
      </w:r>
      <w:r>
        <w:rPr>
          <w:rFonts w:hint="default" w:ascii="宋体" w:hAnsi="宋体" w:eastAsia="宋体" w:cs="宋体"/>
          <w:b w:val="0"/>
          <w:bCs w:val="0"/>
          <w:snapToGrid w:val="0"/>
          <w:color w:val="000000"/>
          <w:spacing w:val="-12"/>
          <w:kern w:val="0"/>
          <w:sz w:val="28"/>
          <w:szCs w:val="28"/>
          <w:lang w:val="en-US" w:eastAsia="zh-CN" w:bidi="ar-SA"/>
        </w:rPr>
        <w:t>3600</w:t>
      </w:r>
      <w:r>
        <w:rPr>
          <w:rFonts w:hint="eastAsia" w:ascii="宋体" w:hAnsi="宋体" w:eastAsia="宋体" w:cs="宋体"/>
          <w:b w:val="0"/>
          <w:bCs w:val="0"/>
          <w:snapToGrid w:val="0"/>
          <w:color w:val="000000"/>
          <w:spacing w:val="-12"/>
          <w:kern w:val="0"/>
          <w:sz w:val="28"/>
          <w:szCs w:val="28"/>
          <w:lang w:val="en-US" w:eastAsia="zh-CN" w:bidi="ar-SA"/>
        </w:rPr>
        <w:t>亩。全县林地面积由163250.0公顷增长至169911.59公顷，净增6661.59公顷，全县森林覆盖率从44.74%提高到46.84%。全县活立木总蓄积量从7052070立方米（705万立方米）提高到8870130立方米（887万立方米）。</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“十四五”</w:t>
      </w:r>
      <w:r>
        <w:rPr>
          <w:rFonts w:hint="default" w:ascii="宋体" w:hAnsi="宋体" w:eastAsia="宋体" w:cs="宋体"/>
          <w:b w:val="0"/>
          <w:bCs w:val="0"/>
          <w:snapToGrid w:val="0"/>
          <w:color w:val="000000"/>
          <w:spacing w:val="-12"/>
          <w:kern w:val="0"/>
          <w:sz w:val="28"/>
          <w:szCs w:val="28"/>
          <w:lang w:val="en-US" w:eastAsia="zh-CN" w:bidi="ar-SA"/>
        </w:rPr>
        <w:t>期间</w:t>
      </w:r>
      <w:r>
        <w:rPr>
          <w:rFonts w:hint="eastAsia" w:ascii="宋体" w:hAnsi="宋体" w:eastAsia="宋体" w:cs="宋体"/>
          <w:b w:val="0"/>
          <w:bCs w:val="0"/>
          <w:snapToGrid w:val="0"/>
          <w:color w:val="000000"/>
          <w:spacing w:val="-12"/>
          <w:kern w:val="0"/>
          <w:sz w:val="28"/>
          <w:szCs w:val="28"/>
          <w:lang w:val="en-US" w:eastAsia="zh-CN" w:bidi="ar-SA"/>
        </w:rPr>
        <w:t>，全县完成天然林保护工程1万亩，完成人工造林面积3.4万亩，完成义务植树220万株，完成森林抚育2.2万亩，新一轮退耕还林2万亩，中央财政资金补贴造林0.05万亩，低效林改造0.5万亩，修复退化林1万亩。全县森林覆盖率从46.84%提高到49.22%，全县活立木总蓄积量904万立方米。</w:t>
      </w:r>
    </w:p>
    <w:p>
      <w:pPr>
        <w:spacing w:line="360" w:lineRule="auto"/>
        <w:ind w:firstLine="560"/>
        <w:jc w:val="both"/>
        <w:outlineLvl w:val="9"/>
        <w:rPr>
          <w:rFonts w:hint="default"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 xml:space="preserve">总体上，师宗县森林资源保持稳步增长的发展态势，实现了森林面积、蓄积的同步增长。   </w:t>
      </w:r>
    </w:p>
    <w:p>
      <w:pPr>
        <w:keepNext w:val="0"/>
        <w:keepLines w:val="0"/>
        <w:pageBreakBefore w:val="0"/>
        <w:widowControl/>
        <w:kinsoku w:val="0"/>
        <w:wordWrap/>
        <w:overflowPunct/>
        <w:topLinePunct w:val="0"/>
        <w:autoSpaceDE w:val="0"/>
        <w:autoSpaceDN w:val="0"/>
        <w:bidi w:val="0"/>
        <w:adjustRightInd/>
        <w:snapToGrid/>
        <w:spacing w:line="360" w:lineRule="auto"/>
        <w:ind w:firstLine="560"/>
        <w:jc w:val="both"/>
        <w:textAlignment w:val="baseline"/>
        <w:outlineLvl w:val="2"/>
        <w:rPr>
          <w:rFonts w:hint="eastAsia" w:ascii="宋体" w:hAnsi="宋体" w:eastAsia="宋体" w:cs="宋体"/>
          <w:b/>
          <w:bCs/>
          <w:snapToGrid w:val="0"/>
          <w:color w:val="000000"/>
          <w:spacing w:val="-12"/>
          <w:kern w:val="0"/>
          <w:sz w:val="28"/>
          <w:szCs w:val="28"/>
          <w:lang w:val="en-US" w:eastAsia="en-US" w:bidi="ar-SA"/>
        </w:rPr>
      </w:pPr>
      <w:r>
        <w:rPr>
          <w:rFonts w:hint="eastAsia" w:ascii="宋体" w:hAnsi="宋体" w:eastAsia="宋体" w:cs="宋体"/>
          <w:b/>
          <w:bCs/>
          <w:snapToGrid w:val="0"/>
          <w:color w:val="000000"/>
          <w:spacing w:val="-12"/>
          <w:kern w:val="0"/>
          <w:sz w:val="28"/>
          <w:szCs w:val="28"/>
          <w:lang w:val="en-US" w:eastAsia="zh-CN" w:bidi="ar-SA"/>
        </w:rPr>
        <w:t>四</w:t>
      </w:r>
      <w:r>
        <w:rPr>
          <w:rFonts w:hint="eastAsia" w:ascii="宋体" w:hAnsi="宋体" w:eastAsia="宋体" w:cs="宋体"/>
          <w:b/>
          <w:bCs/>
          <w:snapToGrid w:val="0"/>
          <w:color w:val="000000"/>
          <w:spacing w:val="-12"/>
          <w:kern w:val="0"/>
          <w:sz w:val="28"/>
          <w:szCs w:val="28"/>
          <w:lang w:val="en-US" w:eastAsia="en-US" w:bidi="ar-SA"/>
        </w:rPr>
        <w:t>、生物多样性保护不断加强</w:t>
      </w:r>
    </w:p>
    <w:p>
      <w:pPr>
        <w:spacing w:line="360" w:lineRule="auto"/>
        <w:ind w:firstLine="512" w:firstLineChars="20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十三五”期间，师宗县深入开展“森林师宗”建设，森林覆盖率达46.84%，森林蓄积量887万立方米，湿地保护率达55.43%。初步形成了以云南师宗南丹山风景名胜区、云南师宗丁累大箐自然保护区和云南丹凤湿地公园三大自然保护区为核心的保护地网络，总面积463.21平方千米。对自然保护区进行统筹管控，核心保护区原则上禁止人为活动，一般控制区除满足国家特殊战略需要有关活动外，仅允许对生态功能不造成破坏的有限人为活动。保护区在保护典型森林生态系统和物种多样性方面发挥了关键作用。“十三五”末期，全县记录有国家重点保护陆生野生动物22种、国家重点保护野生植物11种，云南省重点保护野生植物2种，国家二级重点保护野生动物10种。</w:t>
      </w:r>
    </w:p>
    <w:p>
      <w:pPr>
        <w:spacing w:line="360" w:lineRule="auto"/>
        <w:ind w:firstLine="512" w:firstLineChars="20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十四五”期间，师宗县积极开展形式多样的宣传教育活动，提升公众的生物多样性保护意识。通过石漠化综合治理、水土保持、矿山生态修复等生态工程，全县森林覆盖率和林木蓄积量稳步增长，为野生动植物提供了广阔的栖息地。</w:t>
      </w:r>
    </w:p>
    <w:p>
      <w:pPr>
        <w:spacing w:line="360" w:lineRule="auto"/>
        <w:ind w:firstLine="560"/>
        <w:jc w:val="both"/>
        <w:outlineLvl w:val="2"/>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六、国土综合整治有序实施</w:t>
      </w:r>
      <w:r>
        <w:rPr>
          <w:rFonts w:hint="eastAsia" w:ascii="宋体" w:hAnsi="宋体" w:eastAsia="宋体" w:cs="宋体"/>
          <w:b w:val="0"/>
          <w:bCs w:val="0"/>
          <w:snapToGrid w:val="0"/>
          <w:color w:val="000000"/>
          <w:spacing w:val="-12"/>
          <w:kern w:val="0"/>
          <w:sz w:val="28"/>
          <w:szCs w:val="28"/>
          <w:lang w:val="en-US" w:eastAsia="zh-CN" w:bidi="ar-SA"/>
        </w:rPr>
        <w:t xml:space="preserve">   </w:t>
      </w:r>
    </w:p>
    <w:p>
      <w:pPr>
        <w:spacing w:line="360" w:lineRule="auto"/>
        <w:ind w:firstLine="512" w:firstLineChars="200"/>
        <w:jc w:val="both"/>
        <w:outlineLvl w:val="9"/>
        <w:rPr>
          <w:rFonts w:hint="default"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w:t>
      </w:r>
      <w:r>
        <w:rPr>
          <w:rFonts w:hint="default" w:ascii="宋体" w:hAnsi="宋体" w:eastAsia="宋体" w:cs="宋体"/>
          <w:b w:val="0"/>
          <w:bCs w:val="0"/>
          <w:snapToGrid w:val="0"/>
          <w:color w:val="000000"/>
          <w:spacing w:val="-12"/>
          <w:kern w:val="0"/>
          <w:sz w:val="28"/>
          <w:szCs w:val="28"/>
          <w:lang w:val="en-US" w:eastAsia="zh-CN" w:bidi="ar-SA"/>
        </w:rPr>
        <w:t>十三五</w:t>
      </w:r>
      <w:r>
        <w:rPr>
          <w:rFonts w:hint="eastAsia" w:ascii="宋体" w:hAnsi="宋体" w:eastAsia="宋体" w:cs="宋体"/>
          <w:b w:val="0"/>
          <w:bCs w:val="0"/>
          <w:snapToGrid w:val="0"/>
          <w:color w:val="000000"/>
          <w:spacing w:val="-12"/>
          <w:kern w:val="0"/>
          <w:sz w:val="28"/>
          <w:szCs w:val="28"/>
          <w:lang w:val="en-US" w:eastAsia="zh-CN" w:bidi="ar-SA"/>
        </w:rPr>
        <w:t>”</w:t>
      </w:r>
      <w:r>
        <w:rPr>
          <w:rFonts w:hint="default" w:ascii="宋体" w:hAnsi="宋体" w:eastAsia="宋体" w:cs="宋体"/>
          <w:b w:val="0"/>
          <w:bCs w:val="0"/>
          <w:snapToGrid w:val="0"/>
          <w:color w:val="000000"/>
          <w:spacing w:val="-12"/>
          <w:kern w:val="0"/>
          <w:sz w:val="28"/>
          <w:szCs w:val="28"/>
          <w:lang w:val="en-US" w:eastAsia="zh-CN" w:bidi="ar-SA"/>
        </w:rPr>
        <w:t>期间</w:t>
      </w:r>
      <w:r>
        <w:rPr>
          <w:rFonts w:hint="eastAsia" w:ascii="宋体" w:hAnsi="宋体" w:eastAsia="宋体" w:cs="宋体"/>
          <w:b w:val="0"/>
          <w:bCs w:val="0"/>
          <w:snapToGrid w:val="0"/>
          <w:color w:val="000000"/>
          <w:spacing w:val="-12"/>
          <w:kern w:val="0"/>
          <w:sz w:val="28"/>
          <w:szCs w:val="28"/>
          <w:lang w:val="en-US" w:eastAsia="zh-CN" w:bidi="ar-SA"/>
        </w:rPr>
        <w:t>，师宗县大力开展土地综合整治工作。重点实施高标准农田建设、土地整治（提质改造）、工矿废弃地复垦、乡村振兴与人居环境提升等综合整治工作。</w:t>
      </w:r>
      <w:r>
        <w:rPr>
          <w:rFonts w:hint="default" w:ascii="宋体" w:hAnsi="宋体" w:eastAsia="宋体" w:cs="宋体"/>
          <w:b w:val="0"/>
          <w:bCs w:val="0"/>
          <w:snapToGrid w:val="0"/>
          <w:color w:val="000000"/>
          <w:spacing w:val="-12"/>
          <w:kern w:val="0"/>
          <w:sz w:val="28"/>
          <w:szCs w:val="28"/>
          <w:lang w:val="en-US" w:eastAsia="zh-CN" w:bidi="ar-SA"/>
        </w:rPr>
        <w:t>至2020年</w:t>
      </w:r>
      <w:r>
        <w:rPr>
          <w:rFonts w:hint="eastAsia" w:ascii="宋体" w:hAnsi="宋体" w:eastAsia="宋体" w:cs="宋体"/>
          <w:b w:val="0"/>
          <w:bCs w:val="0"/>
          <w:snapToGrid w:val="0"/>
          <w:color w:val="000000"/>
          <w:spacing w:val="-12"/>
          <w:kern w:val="0"/>
          <w:sz w:val="28"/>
          <w:szCs w:val="28"/>
          <w:lang w:val="en-US" w:eastAsia="zh-CN" w:bidi="ar-SA"/>
        </w:rPr>
        <w:t>，</w:t>
      </w:r>
      <w:r>
        <w:rPr>
          <w:rFonts w:hint="default" w:ascii="宋体" w:hAnsi="宋体" w:eastAsia="宋体" w:cs="宋体"/>
          <w:b w:val="0"/>
          <w:bCs w:val="0"/>
          <w:snapToGrid w:val="0"/>
          <w:color w:val="000000"/>
          <w:spacing w:val="-12"/>
          <w:kern w:val="0"/>
          <w:sz w:val="28"/>
          <w:szCs w:val="28"/>
          <w:lang w:val="en-US" w:eastAsia="zh-CN" w:bidi="ar-SA"/>
        </w:rPr>
        <w:t>全县</w:t>
      </w:r>
      <w:r>
        <w:rPr>
          <w:rFonts w:hint="eastAsia" w:ascii="宋体" w:hAnsi="宋体" w:eastAsia="宋体" w:cs="宋体"/>
          <w:b w:val="0"/>
          <w:bCs w:val="0"/>
          <w:snapToGrid w:val="0"/>
          <w:color w:val="000000"/>
          <w:spacing w:val="-12"/>
          <w:kern w:val="0"/>
          <w:sz w:val="28"/>
          <w:szCs w:val="28"/>
          <w:lang w:val="en-US" w:eastAsia="zh-CN" w:bidi="ar-SA"/>
        </w:rPr>
        <w:t>已建高标准农田项目33个，</w:t>
      </w:r>
      <w:r>
        <w:rPr>
          <w:rFonts w:hint="default" w:ascii="宋体" w:hAnsi="宋体" w:eastAsia="宋体" w:cs="宋体"/>
          <w:b w:val="0"/>
          <w:bCs w:val="0"/>
          <w:snapToGrid w:val="0"/>
          <w:color w:val="000000"/>
          <w:spacing w:val="-12"/>
          <w:kern w:val="0"/>
          <w:sz w:val="28"/>
          <w:szCs w:val="28"/>
          <w:lang w:val="en-US" w:eastAsia="zh-CN" w:bidi="ar-SA"/>
        </w:rPr>
        <w:t>建成高标准农田24.60万亩，建成高效节水项目2.85万亩</w:t>
      </w:r>
      <w:r>
        <w:rPr>
          <w:rFonts w:hint="eastAsia" w:ascii="宋体" w:hAnsi="宋体" w:eastAsia="宋体" w:cs="宋体"/>
          <w:b w:val="0"/>
          <w:bCs w:val="0"/>
          <w:snapToGrid w:val="0"/>
          <w:color w:val="000000"/>
          <w:spacing w:val="-12"/>
          <w:kern w:val="0"/>
          <w:sz w:val="28"/>
          <w:szCs w:val="28"/>
          <w:lang w:val="en-US" w:eastAsia="zh-CN" w:bidi="ar-SA"/>
        </w:rPr>
        <w:t>，总投资3.5亿元</w:t>
      </w:r>
      <w:r>
        <w:rPr>
          <w:rFonts w:hint="default" w:ascii="宋体" w:hAnsi="宋体" w:eastAsia="宋体" w:cs="宋体"/>
          <w:b w:val="0"/>
          <w:bCs w:val="0"/>
          <w:snapToGrid w:val="0"/>
          <w:color w:val="000000"/>
          <w:spacing w:val="-12"/>
          <w:kern w:val="0"/>
          <w:sz w:val="28"/>
          <w:szCs w:val="28"/>
          <w:lang w:val="en-US" w:eastAsia="zh-CN" w:bidi="ar-SA"/>
        </w:rPr>
        <w:t>。</w:t>
      </w:r>
    </w:p>
    <w:p>
      <w:pPr>
        <w:spacing w:line="360" w:lineRule="auto"/>
        <w:ind w:firstLine="512" w:firstLineChars="20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十四五”期间，师宗县持续开展土地综合整治工作，分别在龙庆乡、彩云镇、大同街道、漾月街道开展高标准农田建设7093公顷、实施师宗县耕地质量提升改造6667公顷，实施师宗县耕地生产障碍修复利用8667公顷。在大同街道开展国土综合整治工程，以打造“生态宜居幸福街道”为重点，实施农民服务中心、丹凤路大同段改扩建、文明路改造等市政工程，并逐步建立完善集镇管理长效机制，集镇承载功能、形象和品位逐步提升。综合整治土地面积816公顷。</w:t>
      </w:r>
    </w:p>
    <w:p>
      <w:pPr>
        <w:spacing w:line="360" w:lineRule="auto"/>
        <w:ind w:firstLine="512" w:firstLineChars="20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总体上，</w:t>
      </w:r>
      <w:r>
        <w:rPr>
          <w:rFonts w:hint="default" w:ascii="宋体" w:hAnsi="宋体" w:eastAsia="宋体" w:cs="宋体"/>
          <w:b w:val="0"/>
          <w:bCs w:val="0"/>
          <w:snapToGrid w:val="0"/>
          <w:color w:val="000000"/>
          <w:spacing w:val="-12"/>
          <w:kern w:val="0"/>
          <w:sz w:val="28"/>
          <w:szCs w:val="28"/>
          <w:lang w:val="en-US" w:eastAsia="zh-CN" w:bidi="ar-SA"/>
        </w:rPr>
        <w:t>通过土地整治项目建设</w:t>
      </w:r>
      <w:r>
        <w:rPr>
          <w:rFonts w:hint="eastAsia" w:ascii="宋体" w:hAnsi="宋体" w:eastAsia="宋体" w:cs="宋体"/>
          <w:b w:val="0"/>
          <w:bCs w:val="0"/>
          <w:snapToGrid w:val="0"/>
          <w:color w:val="000000"/>
          <w:spacing w:val="-12"/>
          <w:kern w:val="0"/>
          <w:sz w:val="28"/>
          <w:szCs w:val="28"/>
          <w:lang w:val="en-US" w:eastAsia="zh-CN" w:bidi="ar-SA"/>
        </w:rPr>
        <w:t>，</w:t>
      </w:r>
      <w:r>
        <w:rPr>
          <w:rFonts w:hint="default" w:ascii="宋体" w:hAnsi="宋体" w:eastAsia="宋体" w:cs="宋体"/>
          <w:b w:val="0"/>
          <w:bCs w:val="0"/>
          <w:snapToGrid w:val="0"/>
          <w:color w:val="000000"/>
          <w:spacing w:val="-12"/>
          <w:kern w:val="0"/>
          <w:sz w:val="28"/>
          <w:szCs w:val="28"/>
          <w:lang w:val="en-US" w:eastAsia="zh-CN" w:bidi="ar-SA"/>
        </w:rPr>
        <w:t>田、水、渠、林、路得到综合治理，实现了农田水利设施大面积覆盖，方便了农业机械作业和农资运输。通过推进高标准农田建设，大力推进集中连片土地平整，有效改善了原有耕地的地形地貌条件和零星状况</w:t>
      </w:r>
      <w:r>
        <w:rPr>
          <w:rFonts w:hint="eastAsia" w:ascii="宋体" w:hAnsi="宋体" w:eastAsia="宋体" w:cs="宋体"/>
          <w:b w:val="0"/>
          <w:bCs w:val="0"/>
          <w:snapToGrid w:val="0"/>
          <w:color w:val="000000"/>
          <w:spacing w:val="-12"/>
          <w:kern w:val="0"/>
          <w:sz w:val="28"/>
          <w:szCs w:val="28"/>
          <w:lang w:val="en-US" w:eastAsia="zh-CN" w:bidi="ar-SA"/>
        </w:rPr>
        <w:t>，</w:t>
      </w:r>
      <w:r>
        <w:rPr>
          <w:rFonts w:hint="default" w:ascii="宋体" w:hAnsi="宋体" w:eastAsia="宋体" w:cs="宋体"/>
          <w:b w:val="0"/>
          <w:bCs w:val="0"/>
          <w:snapToGrid w:val="0"/>
          <w:color w:val="000000"/>
          <w:spacing w:val="-12"/>
          <w:kern w:val="0"/>
          <w:sz w:val="28"/>
          <w:szCs w:val="28"/>
          <w:lang w:val="en-US" w:eastAsia="zh-CN" w:bidi="ar-SA"/>
        </w:rPr>
        <w:t>耕地质量和等级均得到提高。农业基础设施建设水平和水利化程度得到明显改善，农业生产抗御自然灾害的能力明显提高，农业生产健康发展后劲得到明显增强。通过对损毁土地的修复，恢复了</w:t>
      </w:r>
      <w:r>
        <w:rPr>
          <w:rFonts w:hint="eastAsia" w:ascii="宋体" w:hAnsi="宋体" w:eastAsia="宋体" w:cs="宋体"/>
          <w:b w:val="0"/>
          <w:bCs w:val="0"/>
          <w:snapToGrid w:val="0"/>
          <w:color w:val="000000"/>
          <w:spacing w:val="-12"/>
          <w:kern w:val="0"/>
          <w:sz w:val="28"/>
          <w:szCs w:val="28"/>
          <w:lang w:val="en-US" w:eastAsia="zh-CN" w:bidi="ar-SA"/>
        </w:rPr>
        <w:t>原</w:t>
      </w:r>
      <w:r>
        <w:rPr>
          <w:rFonts w:hint="default" w:ascii="宋体" w:hAnsi="宋体" w:eastAsia="宋体" w:cs="宋体"/>
          <w:b w:val="0"/>
          <w:bCs w:val="0"/>
          <w:snapToGrid w:val="0"/>
          <w:color w:val="000000"/>
          <w:spacing w:val="-12"/>
          <w:kern w:val="0"/>
          <w:sz w:val="28"/>
          <w:szCs w:val="28"/>
          <w:lang w:val="en-US" w:eastAsia="zh-CN" w:bidi="ar-SA"/>
        </w:rPr>
        <w:t>区域生态功能。</w:t>
      </w:r>
    </w:p>
    <w:p>
      <w:pPr>
        <w:spacing w:before="156" w:line="360" w:lineRule="auto"/>
        <w:ind w:left="1199"/>
        <w:jc w:val="both"/>
        <w:outlineLvl w:val="0"/>
        <w:rPr>
          <w:rFonts w:hint="eastAsia" w:ascii="宋体" w:hAnsi="宋体" w:eastAsia="宋体" w:cs="宋体"/>
          <w:b/>
          <w:bCs/>
          <w:sz w:val="28"/>
          <w:szCs w:val="28"/>
        </w:rPr>
      </w:pPr>
      <w:bookmarkStart w:id="8" w:name="_Toc29763"/>
      <w:r>
        <w:rPr>
          <w:rFonts w:hint="eastAsia" w:ascii="宋体" w:hAnsi="宋体" w:eastAsia="宋体" w:cs="宋体"/>
          <w:b/>
          <w:bCs/>
          <w:spacing w:val="-1"/>
          <w:sz w:val="32"/>
          <w:szCs w:val="32"/>
        </w:rPr>
        <w:t>第二章</w:t>
      </w:r>
      <w:r>
        <w:rPr>
          <w:rFonts w:hint="eastAsia" w:ascii="宋体" w:hAnsi="宋体" w:eastAsia="宋体" w:cs="宋体"/>
          <w:b/>
          <w:bCs/>
          <w:spacing w:val="-1"/>
          <w:sz w:val="32"/>
          <w:szCs w:val="32"/>
          <w:lang w:val="en-US" w:eastAsia="zh-CN"/>
        </w:rPr>
        <w:t xml:space="preserve">  </w:t>
      </w:r>
      <w:r>
        <w:rPr>
          <w:rFonts w:hint="eastAsia" w:ascii="宋体" w:hAnsi="宋体" w:eastAsia="宋体" w:cs="宋体"/>
          <w:b/>
          <w:bCs/>
          <w:spacing w:val="-1"/>
          <w:sz w:val="32"/>
          <w:szCs w:val="32"/>
        </w:rPr>
        <w:t>规划编制的思路、原则与过程</w:t>
      </w:r>
      <w:bookmarkEnd w:id="8"/>
    </w:p>
    <w:p>
      <w:pPr>
        <w:spacing w:before="100" w:line="360" w:lineRule="auto"/>
        <w:ind w:left="2183"/>
        <w:jc w:val="both"/>
        <w:outlineLvl w:val="1"/>
        <w:rPr>
          <w:rFonts w:hint="eastAsia" w:ascii="宋体" w:hAnsi="宋体" w:eastAsia="宋体" w:cs="宋体"/>
          <w:b/>
          <w:bCs/>
          <w:sz w:val="28"/>
          <w:szCs w:val="28"/>
        </w:rPr>
      </w:pPr>
      <w:bookmarkStart w:id="9" w:name="bookmark31"/>
      <w:bookmarkEnd w:id="9"/>
      <w:bookmarkStart w:id="10" w:name="_Toc12304"/>
      <w:r>
        <w:rPr>
          <w:rFonts w:hint="eastAsia" w:ascii="宋体" w:hAnsi="宋体" w:eastAsia="宋体" w:cs="宋体"/>
          <w:b/>
          <w:bCs/>
          <w:spacing w:val="8"/>
          <w:position w:val="1"/>
          <w:sz w:val="30"/>
          <w:szCs w:val="30"/>
        </w:rPr>
        <w:t>第一节 指导思想与总体思路</w:t>
      </w:r>
      <w:bookmarkEnd w:id="10"/>
    </w:p>
    <w:p>
      <w:pPr>
        <w:spacing w:before="101" w:line="360" w:lineRule="auto"/>
        <w:ind w:left="647"/>
        <w:jc w:val="both"/>
        <w:outlineLvl w:val="2"/>
        <w:rPr>
          <w:rFonts w:hint="eastAsia" w:ascii="宋体" w:hAnsi="宋体" w:eastAsia="宋体" w:cs="宋体"/>
          <w:b/>
          <w:bCs/>
          <w:sz w:val="28"/>
          <w:szCs w:val="28"/>
        </w:rPr>
      </w:pPr>
      <w:r>
        <w:rPr>
          <w:rFonts w:hint="eastAsia" w:ascii="宋体" w:hAnsi="宋体" w:eastAsia="宋体" w:cs="宋体"/>
          <w:b/>
          <w:bCs/>
          <w:spacing w:val="6"/>
          <w:position w:val="1"/>
          <w:sz w:val="28"/>
          <w:szCs w:val="28"/>
        </w:rPr>
        <w:t>一、指导思想</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以习近平新时代中国特色社会主义思想为指导，全面贯彻党的二十大精神，深入落实习近平生态文明思想和习近平总书记考察云南重要讲话精神，践行绿水青山就是金山银山理念，坚持节约优先、保护优先、自然恢复为主的方针，按照自然资源部和省委省政府关于生态修复工作部署，全面落实《曲靖市国土空间生态修复规划（2021—2035年）》，紧密衔接《师宗县国土空间总体规划（2021-2035年）》，以生态、农业、城镇空间为对象，统筹山水林田湖草沙一体化保护和修复，提升生态系统质量和稳定性，筑牢生态安全屏障，提供优质生态产品，深入践行生态强省战略，科学布局和组织实施生态修复重点工程，着力提高生态系统自我修复能力，显著提升生态系统功能，扩大优质生态产品供给，助力碳达峰、碳中和，筑牢珠江上游重要生态屏障。</w:t>
      </w:r>
    </w:p>
    <w:p>
      <w:pPr>
        <w:keepNext w:val="0"/>
        <w:keepLines w:val="0"/>
        <w:pageBreakBefore w:val="0"/>
        <w:widowControl/>
        <w:kinsoku w:val="0"/>
        <w:wordWrap/>
        <w:overflowPunct/>
        <w:topLinePunct w:val="0"/>
        <w:autoSpaceDE w:val="0"/>
        <w:autoSpaceDN w:val="0"/>
        <w:bidi w:val="0"/>
        <w:adjustRightInd/>
        <w:snapToGrid/>
        <w:spacing w:line="360" w:lineRule="auto"/>
        <w:ind w:left="0" w:firstLine="680"/>
        <w:jc w:val="both"/>
        <w:textAlignment w:val="baseline"/>
        <w:outlineLvl w:val="2"/>
        <w:rPr>
          <w:rFonts w:hint="eastAsia" w:ascii="宋体" w:hAnsi="宋体" w:eastAsia="宋体" w:cs="宋体"/>
          <w:b/>
          <w:bCs/>
          <w:spacing w:val="-1"/>
          <w:sz w:val="28"/>
          <w:szCs w:val="28"/>
        </w:rPr>
      </w:pPr>
      <w:r>
        <w:rPr>
          <w:rFonts w:hint="eastAsia" w:ascii="宋体" w:hAnsi="宋体" w:eastAsia="宋体" w:cs="宋体"/>
          <w:b/>
          <w:bCs/>
          <w:spacing w:val="-1"/>
          <w:sz w:val="28"/>
          <w:szCs w:val="28"/>
        </w:rPr>
        <w:t>二、规划思路</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按照“基底分析—目标拟定—总体布局—重大工程—实施保障”的总体思路，以优化国土空间生态安全格局、提升生态系统服务功能 、改善城乡人居环境质量为总体目标，展开师宗县生态保护修复规划编制工作。以生态系统调查和评价为基础，诊断生态系统存在的突出问题和薄弱环节，充分衔接国土空间总体规划及其他相关规划，厘定师宗县生态保护修复总体目标和指标体系。</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以生态保护红线、自然保护地为重点，在统筹考虑生态系统的完整性、地理单元的连续性和经济社会发展的可持续性，并与国土空间规划“ 三线 ”充分衔接的基础上，构建由南盘江生态廊道、丹凤湿地生物多样性保护廊道、黑尔-菌子山-南丹山生态廊道、丁累大箐生物多样性保护廊道，南丹山地方级风景名胜区、云南师宗丁累大箐地方级自然保护区、云南丹凤地方级湿地公园三大自然保护地组成的“ 三点四廊 ”生态保护修复总体格局；最后聚焦重点区域，分区分类部署重大工程，并制定相应的实施计划和规划保障措施。</w:t>
      </w:r>
    </w:p>
    <w:p>
      <w:pPr>
        <w:keepNext w:val="0"/>
        <w:keepLines w:val="0"/>
        <w:pageBreakBefore w:val="0"/>
        <w:widowControl/>
        <w:kinsoku w:val="0"/>
        <w:wordWrap/>
        <w:overflowPunct/>
        <w:topLinePunct w:val="0"/>
        <w:autoSpaceDE w:val="0"/>
        <w:autoSpaceDN w:val="0"/>
        <w:bidi w:val="0"/>
        <w:adjustRightInd/>
        <w:snapToGrid/>
        <w:spacing w:line="360" w:lineRule="auto"/>
        <w:ind w:left="0" w:right="0"/>
        <w:jc w:val="center"/>
        <w:textAlignment w:val="baseline"/>
        <w:outlineLvl w:val="1"/>
        <w:rPr>
          <w:rFonts w:hint="eastAsia" w:ascii="宋体" w:hAnsi="宋体" w:eastAsia="宋体" w:cs="宋体"/>
          <w:b/>
          <w:bCs/>
          <w:sz w:val="28"/>
          <w:szCs w:val="28"/>
        </w:rPr>
      </w:pPr>
      <w:bookmarkStart w:id="11" w:name="_Toc25789"/>
      <w:r>
        <w:rPr>
          <w:rFonts w:hint="eastAsia" w:ascii="宋体" w:hAnsi="宋体" w:eastAsia="宋体" w:cs="宋体"/>
          <w:b/>
          <w:bCs/>
          <w:spacing w:val="8"/>
          <w:position w:val="1"/>
          <w:sz w:val="30"/>
          <w:szCs w:val="30"/>
        </w:rPr>
        <w:t>第二节 规划编制的基本原则</w:t>
      </w:r>
      <w:bookmarkEnd w:id="11"/>
    </w:p>
    <w:p>
      <w:pPr>
        <w:spacing w:line="360" w:lineRule="auto"/>
        <w:ind w:firstLine="560"/>
        <w:jc w:val="both"/>
        <w:outlineLvl w:val="2"/>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一、坚持保护优先，自然恢复为主</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牢固树立和践行绿水青山就是金山银山的理念，坚持人与自然和谐共生，尊重自然、顺应自然、保护自然，遵循自然生态演替规律，倡导自然恢复理论，充分发挥自然生态系统自我恢复能力，以有限的人工修复措施辅助促进已退化、破坏的生态系统走向良性循环 ，遵循自然生态系统演替规律，避免人类对生态系统的过多干预。</w:t>
      </w:r>
    </w:p>
    <w:p>
      <w:pPr>
        <w:spacing w:line="360" w:lineRule="auto"/>
        <w:ind w:firstLine="560"/>
        <w:jc w:val="both"/>
        <w:outlineLvl w:val="2"/>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二、坚持统筹兼顾、突出重点难点</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聚焦重点生态功能区、生态保护红线、自然保护地等重点区域,突出目标导向、问题导向、实施导向,妥善处理保护和开发、全部和局部、当前和长远的关系。</w:t>
      </w:r>
    </w:p>
    <w:p>
      <w:pPr>
        <w:spacing w:line="360" w:lineRule="auto"/>
        <w:ind w:firstLine="560"/>
        <w:jc w:val="both"/>
        <w:outlineLvl w:val="2"/>
        <w:rPr>
          <w:rFonts w:hint="eastAsia" w:ascii="宋体" w:hAnsi="宋体" w:eastAsia="宋体" w:cs="宋体"/>
          <w:b/>
          <w:bCs/>
          <w:snapToGrid w:val="0"/>
          <w:color w:val="000000"/>
          <w:spacing w:val="-12"/>
          <w:kern w:val="0"/>
          <w:sz w:val="28"/>
          <w:szCs w:val="28"/>
          <w:lang w:val="en-US" w:eastAsia="en-US" w:bidi="ar-SA"/>
        </w:rPr>
      </w:pPr>
      <w:bookmarkStart w:id="12" w:name="_Toc16379"/>
      <w:r>
        <w:rPr>
          <w:rFonts w:hint="eastAsia" w:ascii="宋体" w:hAnsi="宋体" w:eastAsia="宋体" w:cs="宋体"/>
          <w:b/>
          <w:bCs/>
          <w:snapToGrid w:val="0"/>
          <w:color w:val="000000"/>
          <w:spacing w:val="-12"/>
          <w:kern w:val="0"/>
          <w:sz w:val="28"/>
          <w:szCs w:val="28"/>
          <w:lang w:val="en-US" w:eastAsia="zh-CN" w:bidi="ar-SA"/>
        </w:rPr>
        <w:t>三、</w:t>
      </w:r>
      <w:r>
        <w:rPr>
          <w:rFonts w:hint="eastAsia" w:ascii="宋体" w:hAnsi="宋体" w:eastAsia="宋体" w:cs="宋体"/>
          <w:b/>
          <w:bCs/>
          <w:snapToGrid w:val="0"/>
          <w:color w:val="000000"/>
          <w:spacing w:val="-12"/>
          <w:kern w:val="0"/>
          <w:sz w:val="28"/>
          <w:szCs w:val="28"/>
          <w:lang w:val="en-US" w:eastAsia="en-US" w:bidi="ar-SA"/>
        </w:rPr>
        <w:t>坚持因地制宜</w:t>
      </w:r>
      <w:r>
        <w:rPr>
          <w:rFonts w:hint="eastAsia" w:ascii="宋体" w:hAnsi="宋体" w:eastAsia="宋体" w:cs="宋体"/>
          <w:b/>
          <w:bCs/>
          <w:snapToGrid w:val="0"/>
          <w:color w:val="000000"/>
          <w:spacing w:val="-12"/>
          <w:kern w:val="0"/>
          <w:sz w:val="28"/>
          <w:szCs w:val="28"/>
          <w:lang w:val="en-US" w:eastAsia="zh-CN" w:bidi="ar-SA"/>
        </w:rPr>
        <w:t>，</w:t>
      </w:r>
      <w:r>
        <w:rPr>
          <w:rFonts w:hint="eastAsia" w:ascii="宋体" w:hAnsi="宋体" w:eastAsia="宋体" w:cs="宋体"/>
          <w:b/>
          <w:bCs/>
          <w:snapToGrid w:val="0"/>
          <w:color w:val="000000"/>
          <w:spacing w:val="-12"/>
          <w:kern w:val="0"/>
          <w:sz w:val="28"/>
          <w:szCs w:val="28"/>
          <w:lang w:val="en-US" w:eastAsia="en-US" w:bidi="ar-SA"/>
        </w:rPr>
        <w:t>科学合理施策</w:t>
      </w:r>
      <w:bookmarkEnd w:id="12"/>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en-US" w:bidi="ar-SA"/>
        </w:rPr>
      </w:pPr>
      <w:r>
        <w:rPr>
          <w:rFonts w:hint="eastAsia" w:ascii="宋体" w:hAnsi="宋体" w:eastAsia="宋体" w:cs="宋体"/>
          <w:b w:val="0"/>
          <w:bCs w:val="0"/>
          <w:snapToGrid w:val="0"/>
          <w:color w:val="000000"/>
          <w:spacing w:val="-12"/>
          <w:kern w:val="0"/>
          <w:sz w:val="28"/>
          <w:szCs w:val="28"/>
          <w:lang w:val="en-US" w:eastAsia="en-US" w:bidi="ar-SA"/>
        </w:rPr>
        <w:t>以生态本底和自然禀赋为基础,关注生态质量提升和生态风险应对,因地制宜、实事求是,合理配置保护和修复、自然和人工、生物和工程等措</w:t>
      </w:r>
      <w:r>
        <w:rPr>
          <w:rFonts w:hint="eastAsia" w:ascii="宋体" w:hAnsi="宋体" w:eastAsia="宋体" w:cs="宋体"/>
          <w:b w:val="0"/>
          <w:bCs w:val="0"/>
          <w:snapToGrid w:val="0"/>
          <w:color w:val="000000"/>
          <w:spacing w:val="-12"/>
          <w:kern w:val="0"/>
          <w:sz w:val="28"/>
          <w:szCs w:val="28"/>
          <w:lang w:val="en-US" w:eastAsia="zh-CN" w:bidi="ar-SA"/>
        </w:rPr>
        <w:t>施</w:t>
      </w:r>
      <w:r>
        <w:rPr>
          <w:rFonts w:hint="eastAsia" w:ascii="宋体" w:hAnsi="宋体" w:eastAsia="宋体" w:cs="宋体"/>
          <w:b w:val="0"/>
          <w:bCs w:val="0"/>
          <w:snapToGrid w:val="0"/>
          <w:color w:val="000000"/>
          <w:spacing w:val="-12"/>
          <w:kern w:val="0"/>
          <w:sz w:val="28"/>
          <w:szCs w:val="28"/>
          <w:lang w:val="en-US" w:eastAsia="en-US" w:bidi="ar-SA"/>
        </w:rPr>
        <w:t>,实施差异化生态保护修复策略,提高修复措施的科学性和针对性,有计划、分步骤科学合理推进一体化生态保护和修复。</w:t>
      </w:r>
    </w:p>
    <w:p>
      <w:pPr>
        <w:spacing w:line="360" w:lineRule="auto"/>
        <w:ind w:firstLine="560"/>
        <w:jc w:val="both"/>
        <w:outlineLvl w:val="2"/>
        <w:rPr>
          <w:rFonts w:hint="eastAsia" w:ascii="宋体" w:hAnsi="宋体" w:eastAsia="宋体" w:cs="宋体"/>
          <w:b/>
          <w:bCs/>
          <w:snapToGrid w:val="0"/>
          <w:color w:val="000000"/>
          <w:spacing w:val="-12"/>
          <w:kern w:val="0"/>
          <w:sz w:val="28"/>
          <w:szCs w:val="28"/>
          <w:lang w:val="en-US" w:eastAsia="en-US" w:bidi="ar-SA"/>
        </w:rPr>
      </w:pPr>
      <w:r>
        <w:rPr>
          <w:rFonts w:hint="eastAsia" w:ascii="宋体" w:hAnsi="宋体" w:eastAsia="宋体" w:cs="宋体"/>
          <w:b/>
          <w:bCs/>
          <w:snapToGrid w:val="0"/>
          <w:color w:val="000000"/>
          <w:spacing w:val="-12"/>
          <w:kern w:val="0"/>
          <w:sz w:val="28"/>
          <w:szCs w:val="28"/>
          <w:lang w:val="en-US" w:eastAsia="zh-CN" w:bidi="ar-SA"/>
        </w:rPr>
        <w:t>四、</w:t>
      </w:r>
      <w:r>
        <w:rPr>
          <w:rFonts w:hint="eastAsia" w:ascii="宋体" w:hAnsi="宋体" w:eastAsia="宋体" w:cs="宋体"/>
          <w:b/>
          <w:bCs/>
          <w:snapToGrid w:val="0"/>
          <w:color w:val="000000"/>
          <w:spacing w:val="-12"/>
          <w:kern w:val="0"/>
          <w:sz w:val="28"/>
          <w:szCs w:val="28"/>
          <w:lang w:val="en-US" w:eastAsia="en-US" w:bidi="ar-SA"/>
        </w:rPr>
        <w:t>坚持以人为本</w:t>
      </w:r>
      <w:r>
        <w:rPr>
          <w:rFonts w:hint="eastAsia" w:ascii="宋体" w:hAnsi="宋体" w:eastAsia="宋体" w:cs="宋体"/>
          <w:b/>
          <w:bCs/>
          <w:snapToGrid w:val="0"/>
          <w:color w:val="000000"/>
          <w:spacing w:val="-12"/>
          <w:kern w:val="0"/>
          <w:sz w:val="28"/>
          <w:szCs w:val="28"/>
          <w:lang w:val="en-US" w:eastAsia="zh-CN" w:bidi="ar-SA"/>
        </w:rPr>
        <w:t>，</w:t>
      </w:r>
      <w:r>
        <w:rPr>
          <w:rFonts w:hint="eastAsia" w:ascii="宋体" w:hAnsi="宋体" w:eastAsia="宋体" w:cs="宋体"/>
          <w:b/>
          <w:bCs/>
          <w:snapToGrid w:val="0"/>
          <w:color w:val="000000"/>
          <w:spacing w:val="-12"/>
          <w:kern w:val="0"/>
          <w:sz w:val="28"/>
          <w:szCs w:val="28"/>
          <w:lang w:val="en-US" w:eastAsia="en-US" w:bidi="ar-SA"/>
        </w:rPr>
        <w:t>多方参与</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en-US" w:bidi="ar-SA"/>
        </w:rPr>
        <w:t>坚持以人民为中心,维护人民根本利益,创新国土空间生态修复的理念和模式</w:t>
      </w:r>
      <w:r>
        <w:rPr>
          <w:rFonts w:hint="eastAsia" w:ascii="宋体" w:hAnsi="宋体" w:eastAsia="宋体" w:cs="宋体"/>
          <w:b w:val="0"/>
          <w:bCs w:val="0"/>
          <w:snapToGrid w:val="0"/>
          <w:color w:val="000000"/>
          <w:spacing w:val="-12"/>
          <w:kern w:val="0"/>
          <w:sz w:val="28"/>
          <w:szCs w:val="28"/>
          <w:lang w:val="en-US" w:eastAsia="zh-CN" w:bidi="ar-SA"/>
        </w:rPr>
        <w:t>，广泛征求专家学者、企事业单位、社团组织、社会公众等意见，在规划编制的各阶段充分论证，确保规划科学合理。</w:t>
      </w:r>
    </w:p>
    <w:p>
      <w:pPr>
        <w:spacing w:line="360" w:lineRule="auto"/>
        <w:ind w:firstLine="560"/>
        <w:jc w:val="both"/>
        <w:outlineLvl w:val="2"/>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五、坚持系统修复、注重实效</w:t>
      </w:r>
    </w:p>
    <w:p>
      <w:pPr>
        <w:spacing w:line="360" w:lineRule="auto"/>
        <w:ind w:firstLine="560"/>
        <w:jc w:val="both"/>
        <w:outlineLvl w:val="9"/>
        <w:rPr>
          <w:rFonts w:hint="eastAsia" w:ascii="宋体" w:hAnsi="宋体" w:eastAsia="宋体" w:cs="宋体"/>
          <w:sz w:val="28"/>
          <w:szCs w:val="28"/>
        </w:rPr>
      </w:pPr>
      <w:r>
        <w:rPr>
          <w:rFonts w:hint="eastAsia" w:ascii="宋体" w:hAnsi="宋体" w:eastAsia="宋体" w:cs="宋体"/>
          <w:b w:val="0"/>
          <w:bCs w:val="0"/>
          <w:snapToGrid w:val="0"/>
          <w:color w:val="000000"/>
          <w:spacing w:val="-12"/>
          <w:kern w:val="0"/>
          <w:sz w:val="28"/>
          <w:szCs w:val="28"/>
          <w:lang w:val="en-US" w:eastAsia="zh-CN" w:bidi="ar-SA"/>
        </w:rPr>
        <w:t>统筹考虑自然生态系统与人工生态系统，注重生态保护修复的整体性、系统性、协同性、关联性，因势利导、因地制宜，实施差别化的修复与保护，努力做到全局和局部相配套、治本和治标相结合、整体推进和重点突破相统一，坚持生态保护修复与城市提升、乡村振兴、生态文明建设相结合，探索生态产业化、产业生态化的可持续发展道路，促进区域经济转型升级。</w:t>
      </w:r>
    </w:p>
    <w:p>
      <w:pPr>
        <w:keepNext w:val="0"/>
        <w:keepLines w:val="0"/>
        <w:pageBreakBefore w:val="0"/>
        <w:widowControl/>
        <w:kinsoku w:val="0"/>
        <w:wordWrap/>
        <w:overflowPunct/>
        <w:topLinePunct w:val="0"/>
        <w:autoSpaceDE w:val="0"/>
        <w:autoSpaceDN w:val="0"/>
        <w:bidi w:val="0"/>
        <w:adjustRightInd/>
        <w:snapToGrid/>
        <w:spacing w:line="360" w:lineRule="auto"/>
        <w:ind w:left="0" w:right="0"/>
        <w:jc w:val="center"/>
        <w:textAlignment w:val="baseline"/>
        <w:outlineLvl w:val="1"/>
        <w:rPr>
          <w:rFonts w:hint="eastAsia" w:ascii="宋体" w:hAnsi="宋体" w:eastAsia="宋体" w:cs="宋体"/>
          <w:b/>
          <w:bCs/>
          <w:sz w:val="30"/>
          <w:szCs w:val="30"/>
        </w:rPr>
      </w:pPr>
      <w:bookmarkStart w:id="13" w:name="bookmark33"/>
      <w:bookmarkEnd w:id="13"/>
      <w:bookmarkStart w:id="14" w:name="_Toc18156"/>
      <w:r>
        <w:rPr>
          <w:rFonts w:hint="eastAsia" w:ascii="宋体" w:hAnsi="宋体" w:eastAsia="宋体" w:cs="宋体"/>
          <w:b/>
          <w:bCs/>
          <w:spacing w:val="7"/>
          <w:position w:val="1"/>
          <w:sz w:val="30"/>
          <w:szCs w:val="30"/>
        </w:rPr>
        <w:t>第三节 规划编制的过程</w:t>
      </w:r>
      <w:bookmarkEnd w:id="14"/>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outlineLvl w:val="2"/>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一、前期准备阶段</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2025年2月，编制《师宗县国土空间生态修复规划（2021—2035年）工作方案》，成立以师宗县自然资源局为牵头单位，县发改、财政、生态环境、住建、水利、农业农村、林草等部门为成员的编制组织管理机构，明确各成员单位职责分工，落实专职工作人员和专项编制经费。随后，会同师宗县规划和自然资源局相关科室，组织县内各相关部门召开规划编制动员会，传达上级规划编制要求，部署师宗县规划编制具体工作，正式启动规划编制工作。</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outlineLvl w:val="2"/>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二、资料收集阶段</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2025年3月，全面开展资料收集、分析和整理工作。收集范围涵盖国土调查、林地保护、环境保护、农业发展、水利设施、交通布局、城镇建设、旅游资源、水文气候等多个领域的基础资料，同时系统梳理国家、省、市及区内相关法律法规、现有规划、政策文件和技术标准。资料收集以县自然资源局为主协调，在曲靖市规划和自然资源局的指导下，由县自然资源局牵头与县直各相关职能部门进行对接，通过“点对点”上门走访、“面对面”座谈交流等方式，详细了解各部门发展规划、核心指标、重点工作内容及重大工程布局等信息，同步收集各部门的规划文本、成果图集、建设项目清单等关键资料（表3-1）。</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outlineLvl w:val="2"/>
        <w:rPr>
          <w:rFonts w:hint="eastAsia" w:ascii="宋体" w:hAnsi="宋体" w:eastAsia="宋体" w:cs="宋体"/>
          <w:spacing w:val="-12"/>
          <w:sz w:val="28"/>
          <w:szCs w:val="28"/>
          <w:lang w:val="en-US" w:eastAsia="zh-CN"/>
        </w:rPr>
      </w:pPr>
      <w:r>
        <w:rPr>
          <w:rFonts w:hint="eastAsia" w:ascii="宋体" w:hAnsi="宋体" w:eastAsia="宋体" w:cs="宋体"/>
          <w:b/>
          <w:bCs/>
          <w:spacing w:val="-12"/>
          <w:sz w:val="28"/>
          <w:szCs w:val="28"/>
          <w:lang w:val="en-US" w:eastAsia="zh-CN"/>
        </w:rPr>
        <w:t>三、踏勘阶段</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在资料收集的基础上，2025年4月，组织专业技术团队对师宗县行政辖区内已开展和拟开展的国土空间生态保护修复区域进行实地踏勘与补充调研。重点踏勘区域包括生态保护红线范围、自然保护地、历史遗留矿山、水土流失易发区、石漠化区域、重要河流及沿岸地带等。通过现场勘查、无人机航拍、走访当地群众等方式，精准掌握各区域生态保护修复存在的突出问题，如矿山地质环境破坏程度、水土流失面积及强度、植被退化状况等，并结合区域发展需求，谋划国土空间生态保护修复重点区域、重大工程和重点项目，对项目的必要性、可行性进行初步分析评估。</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outlineLvl w:val="2"/>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四、成果编制阶段</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2025年4月-2025年7月，在对收集的资料进行数据分析的基础上，开展师宗县生态环境现状研究、本底评价与问题诊断等工作。</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结合上位规划和同级国土空间总体规划的要求，形成规划初步方案，明确师宗县生态保护修复的基本原则、总体目标、总体布局和重大工程，制定包括组织、政策、经济、技术、监督管理手段等保障的规划实施措施，形成《规划（征求意见稿）》。</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2025年5月—2025年6月，在前期资料分析和实地踏勘的基础上，启动规划文本、说明及图件的编制工作。明确师宗县生态保护修复的基本原则，结合区域生态现状和发展目标，制定近期（2025年）、远期（2035年）的总体目标；依据自然地理格局和生态系统特征，规划生态保护修复总体布局，确定矿山生态修复、水土流失治理、生物多样性保护、流域生态修复等重大工程；同时，从组织保障、政策支持、资金筹措、技术支撑、监督管理等方面，制定保障规划实施的具体措施，形成规划初稿。​</w:t>
      </w:r>
    </w:p>
    <w:p>
      <w:pPr>
        <w:pStyle w:val="4"/>
        <w:bidi w:val="0"/>
        <w:spacing w:line="360" w:lineRule="auto"/>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五、成果完善阶段​</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2025年7月，采取多种形式广泛征求意见。组织召开县直相关部门座谈会、专家论证会，邀请生态修复、国土规划、环境科学等领域专家及各部门业务骨干对规划初稿进行评审，重点围绕规划目标的合理性、布局的科学性、工程的可行性等提出意见建议。根据收集到的意见，对规划成果进行系统梳理和修改完善，进一步优化规划内容，提升规划的科学性和可操作性。​</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outlineLvl w:val="2"/>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六、征求意见及成果完善阶段</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2025年8月26日，向师宗县自然资源局提交《规划》征求意见稿，师宗县自然资源局以公函形式征求了曲靖市生态环境局师宗分局、县发展改革局、县住房和城乡建设局、县财政局、县农业农村局、县水务局、县林业和草原局等各个部门的意见。在收到反馈意见后，编制团队逐条响应修改；同时通过县政府门户网站、政务公告栏等渠道面向社会公众征求意见，广泛吸纳群众合理诉求。在充分整合各方面意见的基础上形成《师宗县国土空间生态修复规划（2021—2035年）（专家论证稿）》。</w:t>
      </w:r>
    </w:p>
    <w:p>
      <w:pPr>
        <w:pStyle w:val="4"/>
        <w:bidi w:val="0"/>
        <w:spacing w:line="360" w:lineRule="auto"/>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七、成果审查阶段​</w:t>
      </w:r>
    </w:p>
    <w:p>
      <w:pPr>
        <w:bidi w:val="0"/>
        <w:spacing w:line="360" w:lineRule="auto"/>
        <w:ind w:firstLine="560" w:firstLineChars="200"/>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color w:val="auto"/>
          <w:sz w:val="28"/>
          <w:szCs w:val="28"/>
          <w:highlight w:val="none"/>
          <w:lang w:eastAsia="zh-CN"/>
        </w:rPr>
        <w:t>2</w:t>
      </w:r>
      <w:r>
        <w:rPr>
          <w:rFonts w:hint="eastAsia" w:ascii="宋体" w:hAnsi="宋体" w:eastAsia="宋体" w:cs="宋体"/>
          <w:b w:val="0"/>
          <w:bCs w:val="0"/>
          <w:snapToGrid w:val="0"/>
          <w:color w:val="000000"/>
          <w:spacing w:val="-12"/>
          <w:kern w:val="0"/>
          <w:sz w:val="28"/>
          <w:szCs w:val="28"/>
          <w:lang w:val="en-US" w:eastAsia="zh-CN" w:bidi="ar-SA"/>
        </w:rPr>
        <w:t>025年9月，由曲靖市规划和自然资源局组织相关专家对规划成果进行结题审查。审查通过后，按照审查意见进行最后修改，形成《师宗县国土空间生态修复规划（2021—2035年）》最终成果，为后续报批和实施奠定基础。</w:t>
      </w:r>
    </w:p>
    <w:p>
      <w:pPr>
        <w:spacing w:before="156" w:line="360" w:lineRule="auto"/>
        <w:ind w:left="2459"/>
        <w:jc w:val="both"/>
        <w:outlineLvl w:val="0"/>
        <w:rPr>
          <w:rFonts w:hint="eastAsia" w:ascii="宋体" w:hAnsi="宋体" w:eastAsia="宋体" w:cs="宋体"/>
          <w:b/>
          <w:bCs/>
          <w:sz w:val="28"/>
          <w:szCs w:val="28"/>
        </w:rPr>
      </w:pPr>
      <w:bookmarkStart w:id="15" w:name="_Toc13932"/>
      <w:r>
        <w:rPr>
          <w:rFonts w:hint="eastAsia" w:ascii="宋体" w:hAnsi="宋体" w:eastAsia="宋体" w:cs="宋体"/>
          <w:b/>
          <w:bCs/>
          <w:spacing w:val="-2"/>
          <w:sz w:val="32"/>
          <w:szCs w:val="32"/>
        </w:rPr>
        <w:t>第三章</w:t>
      </w:r>
      <w:r>
        <w:rPr>
          <w:rFonts w:hint="eastAsia" w:ascii="宋体" w:hAnsi="宋体" w:eastAsia="宋体" w:cs="宋体"/>
          <w:b/>
          <w:bCs/>
          <w:spacing w:val="-2"/>
          <w:sz w:val="32"/>
          <w:szCs w:val="32"/>
          <w:lang w:val="en-US" w:eastAsia="zh-CN"/>
        </w:rPr>
        <w:t xml:space="preserve">  </w:t>
      </w:r>
      <w:r>
        <w:rPr>
          <w:rFonts w:hint="eastAsia" w:ascii="宋体" w:hAnsi="宋体" w:eastAsia="宋体" w:cs="宋体"/>
          <w:b/>
          <w:bCs/>
          <w:spacing w:val="-2"/>
          <w:sz w:val="32"/>
          <w:szCs w:val="32"/>
        </w:rPr>
        <w:t>规划数据说明</w:t>
      </w:r>
      <w:bookmarkEnd w:id="15"/>
    </w:p>
    <w:p>
      <w:pPr>
        <w:keepNext w:val="0"/>
        <w:keepLines w:val="0"/>
        <w:pageBreakBefore w:val="0"/>
        <w:widowControl/>
        <w:kinsoku w:val="0"/>
        <w:wordWrap/>
        <w:overflowPunct/>
        <w:topLinePunct w:val="0"/>
        <w:autoSpaceDE w:val="0"/>
        <w:autoSpaceDN w:val="0"/>
        <w:bidi w:val="0"/>
        <w:adjustRightInd/>
        <w:snapToGrid/>
        <w:spacing w:line="360" w:lineRule="auto"/>
        <w:ind w:right="0" w:firstLine="2837" w:firstLineChars="900"/>
        <w:jc w:val="both"/>
        <w:textAlignment w:val="baseline"/>
        <w:outlineLvl w:val="1"/>
        <w:rPr>
          <w:rFonts w:hint="eastAsia" w:ascii="宋体" w:hAnsi="宋体" w:eastAsia="宋体" w:cs="宋体"/>
          <w:b/>
          <w:bCs/>
          <w:sz w:val="30"/>
          <w:szCs w:val="30"/>
        </w:rPr>
      </w:pPr>
      <w:bookmarkStart w:id="16" w:name="bookmark34"/>
      <w:bookmarkEnd w:id="16"/>
      <w:bookmarkStart w:id="17" w:name="_Toc8625"/>
      <w:r>
        <w:rPr>
          <w:rFonts w:hint="eastAsia" w:ascii="宋体" w:hAnsi="宋体" w:eastAsia="宋体" w:cs="宋体"/>
          <w:b/>
          <w:bCs/>
          <w:spacing w:val="7"/>
          <w:position w:val="1"/>
          <w:sz w:val="30"/>
          <w:szCs w:val="30"/>
        </w:rPr>
        <w:t>第一节 基础数据种类</w:t>
      </w:r>
      <w:bookmarkEnd w:id="17"/>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b/>
          <w:bCs/>
          <w:spacing w:val="-12"/>
          <w:sz w:val="28"/>
          <w:szCs w:val="28"/>
          <w:lang w:val="en-US" w:eastAsia="zh-CN"/>
        </w:rPr>
        <w:t>一、自然资源本底数据</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包括第三次全国国土调查成果，年度国土变更调查数据，自然资源监测数据，以及地形地貌、地质、气候、水文、土壤等自然地理基础条件等数据。</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二、生态系统本底数据</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包括县域内历史多期主要生态系统调查监测数据，以及生物多样性、水土流失、矿山地质环境、石漠化、荒漠化等专项调查与研究成果等数据、生态环境监测数据。</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b/>
          <w:bCs/>
          <w:spacing w:val="-12"/>
          <w:sz w:val="28"/>
          <w:szCs w:val="28"/>
          <w:lang w:val="en-US" w:eastAsia="zh-CN"/>
        </w:rPr>
        <w:t>三、经济社会文化数据</w:t>
      </w:r>
    </w:p>
    <w:p>
      <w:pPr>
        <w:spacing w:line="360" w:lineRule="auto"/>
        <w:ind w:firstLine="560"/>
        <w:jc w:val="both"/>
        <w:outlineLvl w:val="9"/>
        <w:rPr>
          <w:rFonts w:hint="eastAsia" w:ascii="宋体" w:hAnsi="宋体" w:eastAsia="宋体" w:cs="宋体"/>
          <w:spacing w:val="-12"/>
          <w:sz w:val="28"/>
          <w:szCs w:val="28"/>
          <w:lang w:val="en-US" w:eastAsia="zh-CN"/>
        </w:rPr>
      </w:pPr>
      <w:r>
        <w:rPr>
          <w:rFonts w:hint="eastAsia" w:ascii="宋体" w:hAnsi="宋体" w:eastAsia="宋体" w:cs="宋体"/>
          <w:b w:val="0"/>
          <w:bCs w:val="0"/>
          <w:snapToGrid w:val="0"/>
          <w:color w:val="000000"/>
          <w:spacing w:val="-12"/>
          <w:kern w:val="0"/>
          <w:sz w:val="28"/>
          <w:szCs w:val="28"/>
          <w:lang w:val="en-US" w:eastAsia="zh-CN" w:bidi="ar-SA"/>
        </w:rPr>
        <w:t>包括人口、经济、历史文化、城镇建设、农业发展、乡村景观风貌、农村人居环境状况等基本情况和历史演变数据等。</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四、相关规划成果数据</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包括国土空间规划及专题研究成果，生态保护红线、永久基本农田、城镇开发边界三条控制线划定成果，自然保护地建设情况，林草、生态环境、矿产、交通、水利、农业、产业等相关领域规划或成果等，城市更新成果，村庄规划成果，省级国土空间生态修复规划成果等。</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1903" w:firstLineChars="600"/>
        <w:jc w:val="both"/>
        <w:textAlignment w:val="baseline"/>
        <w:outlineLvl w:val="1"/>
        <w:rPr>
          <w:rFonts w:hint="eastAsia" w:ascii="宋体" w:hAnsi="宋体" w:eastAsia="宋体" w:cs="宋体"/>
          <w:b/>
          <w:bCs/>
          <w:sz w:val="28"/>
          <w:szCs w:val="28"/>
        </w:rPr>
      </w:pPr>
      <w:bookmarkStart w:id="18" w:name="bookmark35"/>
      <w:bookmarkEnd w:id="18"/>
      <w:bookmarkStart w:id="19" w:name="_Toc32451"/>
      <w:r>
        <w:rPr>
          <w:rFonts w:hint="eastAsia" w:ascii="宋体" w:hAnsi="宋体" w:eastAsia="宋体" w:cs="宋体"/>
          <w:b/>
          <w:bCs/>
          <w:spacing w:val="8"/>
          <w:position w:val="1"/>
          <w:sz w:val="30"/>
          <w:szCs w:val="30"/>
        </w:rPr>
        <w:t>第二节 基础数据来源与转换</w:t>
      </w:r>
      <w:bookmarkEnd w:id="19"/>
    </w:p>
    <w:p>
      <w:pPr>
        <w:pStyle w:val="4"/>
        <w:pageBreakBefore w:val="0"/>
        <w:widowControl/>
        <w:kinsoku w:val="0"/>
        <w:wordWrap/>
        <w:overflowPunct/>
        <w:topLinePunct w:val="0"/>
        <w:autoSpaceDE w:val="0"/>
        <w:autoSpaceDN w:val="0"/>
        <w:bidi w:val="0"/>
        <w:adjustRightInd/>
        <w:snapToGrid/>
        <w:spacing w:line="360" w:lineRule="auto"/>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b/>
          <w:bCs/>
          <w:sz w:val="28"/>
          <w:szCs w:val="28"/>
          <w:lang w:val="en-US" w:eastAsia="zh-CN"/>
        </w:rPr>
        <w:t>一、</w:t>
      </w:r>
      <w:r>
        <w:rPr>
          <w:rFonts w:hint="eastAsia" w:ascii="宋体" w:hAnsi="宋体" w:eastAsia="宋体" w:cs="宋体"/>
          <w:b/>
          <w:bCs/>
          <w:sz w:val="28"/>
          <w:szCs w:val="28"/>
        </w:rPr>
        <w:t>基础数据来源</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基础数据主要来源于自然资源、林业、环保、农业、水利、气象等相关政府部门，包括调查成果、规划成果、研究成果等。主要收集资料见表3-1。</w:t>
      </w:r>
    </w:p>
    <w:tbl>
      <w:tblPr>
        <w:tblStyle w:val="20"/>
        <w:tblW w:w="5156" w:type="pct"/>
        <w:tblInd w:w="0" w:type="dxa"/>
        <w:tblLayout w:type="fixed"/>
        <w:tblCellMar>
          <w:top w:w="0" w:type="dxa"/>
          <w:left w:w="108" w:type="dxa"/>
          <w:bottom w:w="0" w:type="dxa"/>
          <w:right w:w="108" w:type="dxa"/>
        </w:tblCellMar>
      </w:tblPr>
      <w:tblGrid>
        <w:gridCol w:w="657"/>
        <w:gridCol w:w="1259"/>
        <w:gridCol w:w="896"/>
        <w:gridCol w:w="6008"/>
      </w:tblGrid>
      <w:tr>
        <w:tblPrEx>
          <w:tblCellMar>
            <w:top w:w="0" w:type="dxa"/>
            <w:left w:w="108" w:type="dxa"/>
            <w:bottom w:w="0" w:type="dxa"/>
            <w:right w:w="108" w:type="dxa"/>
          </w:tblCellMar>
        </w:tblPrEx>
        <w:trPr>
          <w:trHeight w:val="593" w:hRule="atLeast"/>
          <w:tblHeader/>
        </w:trPr>
        <w:tc>
          <w:tcPr>
            <w:tcW w:w="5000" w:type="pct"/>
            <w:gridSpan w:val="4"/>
            <w:tcBorders>
              <w:top w:val="nil"/>
              <w:left w:val="nil"/>
              <w:bottom w:val="single" w:color="auto" w:sz="4" w:space="0"/>
              <w:right w:val="nil"/>
            </w:tcBorders>
            <w:noWrap/>
            <w:vAlign w:val="center"/>
          </w:tcPr>
          <w:p>
            <w:pPr>
              <w:widowControl/>
              <w:adjustRightInd w:val="0"/>
              <w:snapToGrid w:val="0"/>
              <w:spacing w:line="240" w:lineRule="auto"/>
              <w:ind w:firstLine="440" w:firstLineChars="0"/>
              <w:jc w:val="center"/>
              <w:rPr>
                <w:rFonts w:hint="eastAsia" w:ascii="宋体" w:hAnsi="宋体" w:eastAsia="宋体" w:cs="宋体"/>
                <w:b/>
                <w:kern w:val="0"/>
                <w:sz w:val="21"/>
                <w:szCs w:val="21"/>
              </w:rPr>
            </w:pPr>
            <w:r>
              <w:rPr>
                <w:rFonts w:hint="eastAsia" w:ascii="宋体" w:hAnsi="宋体" w:eastAsia="宋体" w:cs="宋体"/>
                <w:b/>
                <w:bCs w:val="0"/>
                <w:kern w:val="0"/>
                <w:sz w:val="24"/>
                <w:szCs w:val="24"/>
              </w:rPr>
              <w:t>表</w:t>
            </w:r>
            <w:r>
              <w:rPr>
                <w:rFonts w:hint="eastAsia" w:ascii="宋体" w:hAnsi="宋体" w:eastAsia="宋体" w:cs="宋体"/>
                <w:b/>
                <w:bCs w:val="0"/>
                <w:kern w:val="0"/>
                <w:sz w:val="24"/>
                <w:szCs w:val="24"/>
                <w:lang w:val="en-US" w:eastAsia="zh-CN"/>
              </w:rPr>
              <w:t>3</w:t>
            </w:r>
            <w:r>
              <w:rPr>
                <w:rFonts w:hint="eastAsia" w:ascii="宋体" w:hAnsi="宋体" w:eastAsia="宋体" w:cs="宋体"/>
                <w:b/>
                <w:bCs w:val="0"/>
                <w:kern w:val="0"/>
                <w:sz w:val="24"/>
                <w:szCs w:val="24"/>
              </w:rPr>
              <w:t xml:space="preserve">-1  </w:t>
            </w:r>
            <w:r>
              <w:rPr>
                <w:rFonts w:hint="eastAsia" w:ascii="宋体" w:hAnsi="宋体" w:eastAsia="宋体" w:cs="宋体"/>
                <w:b/>
                <w:bCs w:val="0"/>
                <w:kern w:val="0"/>
                <w:sz w:val="24"/>
                <w:szCs w:val="24"/>
                <w:lang w:val="en-US" w:eastAsia="zh-CN"/>
              </w:rPr>
              <w:t>资料收集清单</w:t>
            </w:r>
          </w:p>
        </w:tc>
      </w:tr>
      <w:tr>
        <w:tblPrEx>
          <w:tblCellMar>
            <w:top w:w="0" w:type="dxa"/>
            <w:left w:w="108" w:type="dxa"/>
            <w:bottom w:w="0" w:type="dxa"/>
            <w:right w:w="108" w:type="dxa"/>
          </w:tblCellMar>
        </w:tblPrEx>
        <w:trPr>
          <w:trHeight w:val="20" w:hRule="atLeast"/>
          <w:tblHeader/>
        </w:trPr>
        <w:tc>
          <w:tcPr>
            <w:tcW w:w="372"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序号</w:t>
            </w:r>
          </w:p>
        </w:tc>
        <w:tc>
          <w:tcPr>
            <w:tcW w:w="713"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b/>
                <w:bCs/>
                <w:kern w:val="0"/>
                <w:sz w:val="21"/>
                <w:szCs w:val="21"/>
              </w:rPr>
            </w:pPr>
            <w:r>
              <w:rPr>
                <w:rFonts w:hint="eastAsia" w:ascii="宋体" w:hAnsi="宋体" w:eastAsia="宋体" w:cs="宋体"/>
                <w:b/>
                <w:bCs/>
                <w:kern w:val="0"/>
                <w:sz w:val="21"/>
                <w:szCs w:val="21"/>
              </w:rPr>
              <w:t>部门名称</w:t>
            </w: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顺序号</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资料名称</w:t>
            </w:r>
          </w:p>
        </w:tc>
      </w:tr>
      <w:tr>
        <w:tblPrEx>
          <w:tblCellMar>
            <w:top w:w="0" w:type="dxa"/>
            <w:left w:w="108" w:type="dxa"/>
            <w:bottom w:w="0" w:type="dxa"/>
            <w:right w:w="108" w:type="dxa"/>
          </w:tblCellMar>
        </w:tblPrEx>
        <w:trPr>
          <w:trHeight w:val="20" w:hRule="atLeast"/>
        </w:trPr>
        <w:tc>
          <w:tcPr>
            <w:tcW w:w="372"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713"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lang w:val="en-US" w:eastAsia="zh-CN"/>
              </w:rPr>
            </w:pPr>
            <w:r>
              <w:rPr>
                <w:rFonts w:hint="eastAsia" w:ascii="宋体" w:hAnsi="宋体" w:eastAsia="宋体" w:cs="宋体"/>
                <w:b w:val="0"/>
                <w:bCs w:val="0"/>
                <w:snapToGrid w:val="0"/>
                <w:color w:val="000000"/>
                <w:spacing w:val="-12"/>
                <w:kern w:val="0"/>
                <w:sz w:val="21"/>
                <w:szCs w:val="21"/>
                <w:lang w:val="en-US" w:eastAsia="zh-CN" w:bidi="ar-SA"/>
              </w:rPr>
              <w:t>师宗县自然资源局、曲靖市自然资源和规划局</w:t>
            </w: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1-1</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第三次全国国土调查数据库</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2</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师宗县(530323)2019年度土地变更调查成果（三调）</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3</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师宗县(530323)2021年度土地变更调查成果</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4</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师宗县</w:t>
            </w:r>
            <w:r>
              <w:rPr>
                <w:rFonts w:hint="eastAsia" w:ascii="宋体" w:hAnsi="宋体" w:eastAsia="宋体" w:cs="宋体"/>
                <w:kern w:val="0"/>
                <w:sz w:val="21"/>
                <w:szCs w:val="21"/>
                <w:lang w:eastAsia="en-US"/>
              </w:rPr>
              <w:t>2021年国土变更调查成果数据等</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5</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师宗县永久基本农田核实处置后数据（2024年5月11日）</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6</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云南省师宗县2017年耕地质量等别年度更新评价成果</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7</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师宗县2018年更新评价分析报告</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8</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师宗县2019年耕地质量等别年度更新评价成果</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9</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师宗县2021年国土变更调查影像（第一批）</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10</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全县影像数据库</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11</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永久基本农田划定成果</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12</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生态保护红线划定成果</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13</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城镇开发边界划定成果</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14</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w:t>
            </w:r>
            <w:r>
              <w:rPr>
                <w:rFonts w:hint="eastAsia" w:ascii="宋体" w:hAnsi="宋体" w:eastAsia="宋体" w:cs="宋体"/>
                <w:kern w:val="0"/>
                <w:sz w:val="21"/>
                <w:szCs w:val="21"/>
              </w:rPr>
              <w:t>县2019年耕地质量等别年度更新评价成果</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15</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w:t>
            </w:r>
            <w:r>
              <w:rPr>
                <w:rFonts w:hint="eastAsia" w:ascii="宋体" w:hAnsi="宋体" w:eastAsia="宋体" w:cs="宋体"/>
                <w:kern w:val="0"/>
                <w:sz w:val="21"/>
                <w:szCs w:val="21"/>
              </w:rPr>
              <w:t>县耕地后备资源调查评价成果</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16</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曲靖市国土空间生态修复规划（2021～2035）成果</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1-1</w:t>
            </w:r>
            <w:r>
              <w:rPr>
                <w:rFonts w:hint="eastAsia" w:ascii="宋体" w:hAnsi="宋体" w:eastAsia="宋体" w:cs="宋体"/>
                <w:kern w:val="0"/>
                <w:sz w:val="21"/>
                <w:szCs w:val="21"/>
                <w:lang w:val="en-US" w:eastAsia="zh-CN"/>
              </w:rPr>
              <w:t>7</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w:t>
            </w:r>
            <w:r>
              <w:rPr>
                <w:rFonts w:hint="eastAsia" w:ascii="宋体" w:hAnsi="宋体" w:eastAsia="宋体" w:cs="宋体"/>
                <w:kern w:val="0"/>
                <w:sz w:val="21"/>
                <w:szCs w:val="21"/>
              </w:rPr>
              <w:t>县国土空间总体规划（2021～2035）成果</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1-1</w:t>
            </w:r>
            <w:r>
              <w:rPr>
                <w:rFonts w:hint="eastAsia" w:ascii="宋体" w:hAnsi="宋体" w:eastAsia="宋体" w:cs="宋体"/>
                <w:kern w:val="0"/>
                <w:sz w:val="21"/>
                <w:szCs w:val="21"/>
                <w:lang w:val="en-US" w:eastAsia="zh-CN"/>
              </w:rPr>
              <w:t>8</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w:t>
            </w:r>
            <w:r>
              <w:rPr>
                <w:rFonts w:hint="eastAsia" w:ascii="宋体" w:hAnsi="宋体" w:eastAsia="宋体" w:cs="宋体"/>
                <w:kern w:val="0"/>
                <w:sz w:val="21"/>
                <w:szCs w:val="21"/>
              </w:rPr>
              <w:t>县矿产资源总体规划（2021～2025年）成果</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19</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w:t>
            </w:r>
            <w:r>
              <w:rPr>
                <w:rFonts w:hint="eastAsia" w:ascii="宋体" w:hAnsi="宋体" w:eastAsia="宋体" w:cs="宋体"/>
                <w:kern w:val="0"/>
                <w:sz w:val="21"/>
                <w:szCs w:val="21"/>
              </w:rPr>
              <w:t>县地质灾害防治</w:t>
            </w:r>
            <w:r>
              <w:rPr>
                <w:rFonts w:hint="eastAsia" w:ascii="宋体" w:hAnsi="宋体" w:eastAsia="宋体" w:cs="宋体"/>
                <w:kern w:val="0"/>
                <w:sz w:val="21"/>
                <w:szCs w:val="21"/>
                <w:lang w:eastAsia="zh-CN"/>
              </w:rPr>
              <w:t>“十四五”</w:t>
            </w:r>
            <w:r>
              <w:rPr>
                <w:rFonts w:hint="eastAsia" w:ascii="宋体" w:hAnsi="宋体" w:eastAsia="宋体" w:cs="宋体"/>
                <w:kern w:val="0"/>
                <w:sz w:val="21"/>
                <w:szCs w:val="21"/>
              </w:rPr>
              <w:t>规划（2021～2025）</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20</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云南省师宗县历史遗留矿山生态修复实施方案</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1-</w:t>
            </w:r>
            <w:r>
              <w:rPr>
                <w:rFonts w:hint="eastAsia" w:ascii="宋体" w:hAnsi="宋体" w:eastAsia="宋体" w:cs="宋体"/>
                <w:kern w:val="0"/>
                <w:sz w:val="21"/>
                <w:szCs w:val="21"/>
                <w:lang w:val="en-US" w:eastAsia="zh-CN"/>
              </w:rPr>
              <w:t>21</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曲靖市师宗县重点采煤沉陷区综合治理工程（</w:t>
            </w:r>
            <w:r>
              <w:rPr>
                <w:rFonts w:hint="eastAsia" w:ascii="宋体" w:hAnsi="宋体" w:eastAsia="宋体" w:cs="宋体"/>
                <w:kern w:val="0"/>
                <w:sz w:val="21"/>
                <w:szCs w:val="21"/>
                <w:lang w:val="en-US" w:eastAsia="zh-CN"/>
              </w:rPr>
              <w:t>一期、</w:t>
            </w:r>
            <w:r>
              <w:rPr>
                <w:rFonts w:hint="eastAsia" w:ascii="宋体" w:hAnsi="宋体" w:eastAsia="宋体" w:cs="宋体"/>
                <w:kern w:val="0"/>
                <w:sz w:val="21"/>
                <w:szCs w:val="21"/>
              </w:rPr>
              <w:t>二期）施工图设计报告</w:t>
            </w:r>
          </w:p>
        </w:tc>
      </w:tr>
      <w:tr>
        <w:tblPrEx>
          <w:tblCellMar>
            <w:top w:w="0" w:type="dxa"/>
            <w:left w:w="108" w:type="dxa"/>
            <w:bottom w:w="0" w:type="dxa"/>
            <w:right w:w="108" w:type="dxa"/>
          </w:tblCellMar>
        </w:tblPrEx>
        <w:trPr>
          <w:trHeight w:val="20" w:hRule="atLeast"/>
        </w:trPr>
        <w:tc>
          <w:tcPr>
            <w:tcW w:w="372"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713"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w:t>
            </w:r>
            <w:r>
              <w:rPr>
                <w:rFonts w:hint="eastAsia" w:ascii="宋体" w:hAnsi="宋体" w:eastAsia="宋体" w:cs="宋体"/>
                <w:kern w:val="0"/>
                <w:sz w:val="21"/>
                <w:szCs w:val="21"/>
              </w:rPr>
              <w:t>县发展和改革委员会</w:t>
            </w: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2-1</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师宗县国民经济和社会发展第十四个五年规划和二〇三五年远景目标纲要</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lang w:val="en-US" w:eastAsia="zh-CN"/>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2-</w:t>
            </w:r>
            <w:r>
              <w:rPr>
                <w:rFonts w:hint="eastAsia" w:ascii="宋体" w:hAnsi="宋体" w:eastAsia="宋体" w:cs="宋体"/>
                <w:kern w:val="0"/>
                <w:sz w:val="21"/>
                <w:szCs w:val="21"/>
                <w:lang w:val="en-US" w:eastAsia="zh-CN"/>
              </w:rPr>
              <w:t>2</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师宗县产业发展规划（2013—2020）</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2-</w:t>
            </w:r>
            <w:r>
              <w:rPr>
                <w:rFonts w:hint="eastAsia" w:ascii="宋体" w:hAnsi="宋体" w:eastAsia="宋体" w:cs="宋体"/>
                <w:kern w:val="0"/>
                <w:sz w:val="21"/>
                <w:szCs w:val="21"/>
                <w:lang w:val="en-US" w:eastAsia="zh-CN"/>
              </w:rPr>
              <w:t>3</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lang w:eastAsia="zh-CN"/>
              </w:rPr>
            </w:pPr>
            <w:r>
              <w:rPr>
                <w:rFonts w:hint="eastAsia" w:ascii="宋体" w:hAnsi="宋体" w:eastAsia="宋体" w:cs="宋体"/>
                <w:kern w:val="0"/>
                <w:sz w:val="21"/>
                <w:szCs w:val="21"/>
              </w:rPr>
              <w:t>师宗县石漠化综合治理工程工作总结</w:t>
            </w: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2021年</w:t>
            </w:r>
            <w:r>
              <w:rPr>
                <w:rFonts w:hint="eastAsia" w:ascii="宋体" w:hAnsi="宋体" w:eastAsia="宋体" w:cs="宋体"/>
                <w:kern w:val="0"/>
                <w:sz w:val="21"/>
                <w:szCs w:val="21"/>
                <w:lang w:eastAsia="zh-CN"/>
              </w:rPr>
              <w:t>）</w:t>
            </w:r>
          </w:p>
        </w:tc>
      </w:tr>
      <w:tr>
        <w:tblPrEx>
          <w:tblCellMar>
            <w:top w:w="0" w:type="dxa"/>
            <w:left w:w="108" w:type="dxa"/>
            <w:bottom w:w="0" w:type="dxa"/>
            <w:right w:w="108" w:type="dxa"/>
          </w:tblCellMar>
        </w:tblPrEx>
        <w:trPr>
          <w:trHeight w:val="20" w:hRule="atLeast"/>
        </w:trPr>
        <w:tc>
          <w:tcPr>
            <w:tcW w:w="372"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713"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w:t>
            </w:r>
            <w:r>
              <w:rPr>
                <w:rFonts w:hint="eastAsia" w:ascii="宋体" w:hAnsi="宋体" w:eastAsia="宋体" w:cs="宋体"/>
                <w:kern w:val="0"/>
                <w:sz w:val="21"/>
                <w:szCs w:val="21"/>
              </w:rPr>
              <w:t>县水务局</w:t>
            </w: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3-1</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师宗县“十四五”农村供水保障规划</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3-2</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师宗县县域水资源保护与利用规划</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3-3</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师宗县水土保持规划（2020-2030年）</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3-</w:t>
            </w:r>
            <w:r>
              <w:rPr>
                <w:rFonts w:hint="eastAsia" w:ascii="宋体" w:hAnsi="宋体" w:eastAsia="宋体" w:cs="宋体"/>
                <w:kern w:val="0"/>
                <w:sz w:val="21"/>
                <w:szCs w:val="21"/>
                <w:lang w:val="en-US" w:eastAsia="zh-CN"/>
              </w:rPr>
              <w:t>4</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w:t>
            </w:r>
            <w:r>
              <w:rPr>
                <w:rFonts w:hint="eastAsia" w:ascii="宋体" w:hAnsi="宋体" w:eastAsia="宋体" w:cs="宋体"/>
                <w:kern w:val="0"/>
                <w:sz w:val="21"/>
                <w:szCs w:val="21"/>
              </w:rPr>
              <w:t>县水系图</w:t>
            </w:r>
          </w:p>
        </w:tc>
      </w:tr>
      <w:tr>
        <w:tblPrEx>
          <w:tblCellMar>
            <w:top w:w="0" w:type="dxa"/>
            <w:left w:w="108" w:type="dxa"/>
            <w:bottom w:w="0" w:type="dxa"/>
            <w:right w:w="108" w:type="dxa"/>
          </w:tblCellMar>
        </w:tblPrEx>
        <w:trPr>
          <w:trHeight w:val="20" w:hRule="atLeast"/>
        </w:trPr>
        <w:tc>
          <w:tcPr>
            <w:tcW w:w="372"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713"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w:t>
            </w:r>
            <w:r>
              <w:rPr>
                <w:rFonts w:hint="eastAsia" w:ascii="宋体" w:hAnsi="宋体" w:eastAsia="宋体" w:cs="宋体"/>
                <w:kern w:val="0"/>
                <w:sz w:val="21"/>
                <w:szCs w:val="21"/>
              </w:rPr>
              <w:t>县林业和草原局</w:t>
            </w: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4-1</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云南省曲靖市师宗县森林资源管理“一张图”年度更新成果报告（2019年度）</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4-2</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云南省师宗县森林资源规划设计调查报告</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4-3</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师宗县生物多样性保护实施方案（2018—2030）</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4-4</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师宗县2020年度湿地资源监测报告</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4-</w:t>
            </w:r>
            <w:r>
              <w:rPr>
                <w:rFonts w:hint="eastAsia" w:ascii="宋体" w:hAnsi="宋体" w:eastAsia="宋体" w:cs="宋体"/>
                <w:kern w:val="0"/>
                <w:sz w:val="21"/>
                <w:szCs w:val="21"/>
                <w:lang w:val="en-US" w:eastAsia="zh-CN"/>
              </w:rPr>
              <w:t>5</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w:t>
            </w:r>
            <w:r>
              <w:rPr>
                <w:rFonts w:hint="eastAsia" w:ascii="宋体" w:hAnsi="宋体" w:eastAsia="宋体" w:cs="宋体"/>
                <w:kern w:val="0"/>
                <w:sz w:val="21"/>
                <w:szCs w:val="21"/>
              </w:rPr>
              <w:t>县岩溶地区第四次石漠化调查报告</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rPr>
              <w:t>4-</w:t>
            </w:r>
            <w:r>
              <w:rPr>
                <w:rFonts w:hint="eastAsia" w:ascii="宋体" w:hAnsi="宋体" w:eastAsia="宋体" w:cs="宋体"/>
                <w:kern w:val="0"/>
                <w:sz w:val="21"/>
                <w:szCs w:val="21"/>
                <w:lang w:val="en-US" w:eastAsia="zh-CN"/>
              </w:rPr>
              <w:t>6</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菌子山保护区矢量数据</w:t>
            </w:r>
          </w:p>
        </w:tc>
      </w:tr>
      <w:tr>
        <w:tblPrEx>
          <w:tblCellMar>
            <w:top w:w="0" w:type="dxa"/>
            <w:left w:w="108" w:type="dxa"/>
            <w:bottom w:w="0" w:type="dxa"/>
            <w:right w:w="108" w:type="dxa"/>
          </w:tblCellMar>
        </w:tblPrEx>
        <w:trPr>
          <w:trHeight w:val="771" w:hRule="atLeast"/>
        </w:trPr>
        <w:tc>
          <w:tcPr>
            <w:tcW w:w="372"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5</w:t>
            </w:r>
          </w:p>
        </w:tc>
        <w:tc>
          <w:tcPr>
            <w:tcW w:w="713"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曲靖市生态环境局</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曲靖市生态环境局</w:t>
            </w:r>
            <w:r>
              <w:rPr>
                <w:rFonts w:hint="eastAsia" w:ascii="宋体" w:hAnsi="宋体" w:eastAsia="宋体" w:cs="宋体"/>
                <w:kern w:val="0"/>
                <w:sz w:val="21"/>
                <w:szCs w:val="21"/>
                <w:lang w:val="en-US" w:eastAsia="zh-CN"/>
              </w:rPr>
              <w:t>师宗</w:t>
            </w:r>
            <w:r>
              <w:rPr>
                <w:rFonts w:hint="eastAsia" w:ascii="宋体" w:hAnsi="宋体" w:eastAsia="宋体" w:cs="宋体"/>
                <w:kern w:val="0"/>
                <w:sz w:val="21"/>
                <w:szCs w:val="21"/>
              </w:rPr>
              <w:t>分局</w:t>
            </w: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6-1</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曲靖市生态环境保护</w:t>
            </w:r>
            <w:r>
              <w:rPr>
                <w:rFonts w:hint="eastAsia" w:ascii="宋体" w:hAnsi="宋体" w:eastAsia="宋体" w:cs="宋体"/>
                <w:kern w:val="0"/>
                <w:sz w:val="21"/>
                <w:szCs w:val="21"/>
                <w:lang w:eastAsia="zh-CN"/>
              </w:rPr>
              <w:t>“十四五”</w:t>
            </w:r>
            <w:r>
              <w:rPr>
                <w:rFonts w:hint="eastAsia" w:ascii="宋体" w:hAnsi="宋体" w:eastAsia="宋体" w:cs="宋体"/>
                <w:kern w:val="0"/>
                <w:sz w:val="21"/>
                <w:szCs w:val="21"/>
              </w:rPr>
              <w:t>规划</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6-2</w:t>
            </w:r>
          </w:p>
        </w:tc>
        <w:tc>
          <w:tcPr>
            <w:tcW w:w="3406"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师宗县县级集中式饮用水水源地环境保护规划</w:t>
            </w:r>
          </w:p>
        </w:tc>
      </w:tr>
      <w:tr>
        <w:tblPrEx>
          <w:tblCellMar>
            <w:top w:w="0" w:type="dxa"/>
            <w:left w:w="108" w:type="dxa"/>
            <w:bottom w:w="0" w:type="dxa"/>
            <w:right w:w="108" w:type="dxa"/>
          </w:tblCellMar>
        </w:tblPrEx>
        <w:trPr>
          <w:trHeight w:val="20" w:hRule="atLeast"/>
        </w:trPr>
        <w:tc>
          <w:tcPr>
            <w:tcW w:w="372"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6</w:t>
            </w:r>
          </w:p>
        </w:tc>
        <w:tc>
          <w:tcPr>
            <w:tcW w:w="713" w:type="pct"/>
            <w:vMerge w:val="restar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w:t>
            </w:r>
            <w:r>
              <w:rPr>
                <w:rFonts w:hint="eastAsia" w:ascii="宋体" w:hAnsi="宋体" w:eastAsia="宋体" w:cs="宋体"/>
                <w:kern w:val="0"/>
                <w:sz w:val="21"/>
                <w:szCs w:val="21"/>
              </w:rPr>
              <w:t>县住房和城乡建设局</w:t>
            </w: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rPr>
              <w:t>-1</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师宗县排水（雨水）防涝建设项目可行性研究报告</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lang w:val="en-US" w:eastAsia="zh-CN"/>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6-2</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排水（污水）城乡供水一体化</w:t>
            </w:r>
            <w:r>
              <w:rPr>
                <w:rFonts w:hint="eastAsia" w:ascii="宋体" w:hAnsi="宋体" w:eastAsia="宋体" w:cs="宋体"/>
                <w:kern w:val="0"/>
                <w:sz w:val="21"/>
                <w:szCs w:val="21"/>
                <w:lang w:val="en-US" w:eastAsia="zh-CN"/>
              </w:rPr>
              <w:t>设计</w:t>
            </w:r>
          </w:p>
        </w:tc>
      </w:tr>
      <w:tr>
        <w:tblPrEx>
          <w:tblCellMar>
            <w:top w:w="0" w:type="dxa"/>
            <w:left w:w="108" w:type="dxa"/>
            <w:bottom w:w="0" w:type="dxa"/>
            <w:right w:w="108" w:type="dxa"/>
          </w:tblCellMar>
        </w:tblPrEx>
        <w:trPr>
          <w:trHeight w:val="20"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3</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rPr>
              <w:t>师宗县</w:t>
            </w:r>
            <w:r>
              <w:rPr>
                <w:rFonts w:hint="eastAsia" w:ascii="宋体" w:hAnsi="宋体" w:eastAsia="宋体" w:cs="宋体"/>
                <w:kern w:val="0"/>
                <w:sz w:val="21"/>
                <w:szCs w:val="21"/>
                <w:lang w:val="en-US" w:eastAsia="zh-CN"/>
              </w:rPr>
              <w:t>城</w:t>
            </w:r>
            <w:r>
              <w:rPr>
                <w:rFonts w:hint="eastAsia" w:ascii="宋体" w:hAnsi="宋体" w:eastAsia="宋体" w:cs="宋体"/>
                <w:kern w:val="0"/>
                <w:sz w:val="21"/>
                <w:szCs w:val="21"/>
              </w:rPr>
              <w:t>供水、人口现状</w:t>
            </w:r>
          </w:p>
        </w:tc>
      </w:tr>
      <w:tr>
        <w:tblPrEx>
          <w:tblCellMar>
            <w:top w:w="0" w:type="dxa"/>
            <w:left w:w="108" w:type="dxa"/>
            <w:bottom w:w="0" w:type="dxa"/>
            <w:right w:w="108" w:type="dxa"/>
          </w:tblCellMar>
        </w:tblPrEx>
        <w:trPr>
          <w:trHeight w:val="331" w:hRule="atLeast"/>
        </w:trPr>
        <w:tc>
          <w:tcPr>
            <w:tcW w:w="372"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7</w:t>
            </w:r>
          </w:p>
        </w:tc>
        <w:tc>
          <w:tcPr>
            <w:tcW w:w="713" w:type="pct"/>
            <w:vMerge w:val="restar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b w:val="0"/>
                <w:bCs w:val="0"/>
                <w:spacing w:val="5"/>
                <w:sz w:val="21"/>
                <w:szCs w:val="21"/>
              </w:rPr>
              <w:t>从相关网站公布和相关部门提供</w:t>
            </w: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-1</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lang w:eastAsia="zh-CN"/>
              </w:rPr>
            </w:pPr>
            <w:r>
              <w:rPr>
                <w:rFonts w:hint="eastAsia" w:ascii="宋体" w:hAnsi="宋体" w:eastAsia="宋体" w:cs="宋体"/>
                <w:kern w:val="0"/>
                <w:sz w:val="21"/>
                <w:szCs w:val="21"/>
              </w:rPr>
              <w:t>全国水土保持规划</w:t>
            </w: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2015-2030年</w:t>
            </w:r>
            <w:r>
              <w:rPr>
                <w:rFonts w:hint="eastAsia" w:ascii="宋体" w:hAnsi="宋体" w:eastAsia="宋体" w:cs="宋体"/>
                <w:kern w:val="0"/>
                <w:sz w:val="21"/>
                <w:szCs w:val="21"/>
                <w:lang w:eastAsia="zh-CN"/>
              </w:rPr>
              <w:t>）</w:t>
            </w:r>
          </w:p>
        </w:tc>
      </w:tr>
      <w:tr>
        <w:tblPrEx>
          <w:tblCellMar>
            <w:top w:w="0" w:type="dxa"/>
            <w:left w:w="108" w:type="dxa"/>
            <w:bottom w:w="0" w:type="dxa"/>
            <w:right w:w="108" w:type="dxa"/>
          </w:tblCellMar>
        </w:tblPrEx>
        <w:trPr>
          <w:trHeight w:val="295"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-2</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云南省水土保持规划（2016—2030年）</w:t>
            </w:r>
          </w:p>
        </w:tc>
      </w:tr>
      <w:tr>
        <w:tblPrEx>
          <w:tblCellMar>
            <w:top w:w="0" w:type="dxa"/>
            <w:left w:w="108" w:type="dxa"/>
            <w:bottom w:w="0" w:type="dxa"/>
            <w:right w:w="108" w:type="dxa"/>
          </w:tblCellMar>
        </w:tblPrEx>
        <w:trPr>
          <w:trHeight w:val="295"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-3</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lang w:eastAsia="zh-CN"/>
              </w:rPr>
            </w:pPr>
            <w:r>
              <w:rPr>
                <w:rFonts w:hint="eastAsia" w:ascii="宋体" w:hAnsi="宋体" w:eastAsia="宋体" w:cs="宋体"/>
                <w:kern w:val="0"/>
                <w:sz w:val="21"/>
                <w:szCs w:val="21"/>
              </w:rPr>
              <w:t>云南省</w:t>
            </w:r>
            <w:r>
              <w:rPr>
                <w:rFonts w:hint="eastAsia" w:ascii="宋体" w:hAnsi="宋体" w:eastAsia="宋体" w:cs="宋体"/>
                <w:kern w:val="0"/>
                <w:sz w:val="21"/>
                <w:szCs w:val="21"/>
                <w:lang w:eastAsia="zh-CN"/>
              </w:rPr>
              <w:t>“十四五”</w:t>
            </w:r>
            <w:r>
              <w:rPr>
                <w:rFonts w:hint="eastAsia" w:ascii="宋体" w:hAnsi="宋体" w:eastAsia="宋体" w:cs="宋体"/>
                <w:kern w:val="0"/>
                <w:sz w:val="21"/>
                <w:szCs w:val="21"/>
              </w:rPr>
              <w:t>林业和草原保护发展规划</w:t>
            </w:r>
          </w:p>
        </w:tc>
      </w:tr>
      <w:tr>
        <w:tblPrEx>
          <w:tblCellMar>
            <w:top w:w="0" w:type="dxa"/>
            <w:left w:w="108" w:type="dxa"/>
            <w:bottom w:w="0" w:type="dxa"/>
            <w:right w:w="108" w:type="dxa"/>
          </w:tblCellMar>
        </w:tblPrEx>
        <w:trPr>
          <w:trHeight w:val="295"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-4</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lang w:eastAsia="zh-CN"/>
              </w:rPr>
            </w:pPr>
            <w:r>
              <w:rPr>
                <w:rFonts w:hint="eastAsia" w:ascii="宋体" w:hAnsi="宋体" w:eastAsia="宋体" w:cs="宋体"/>
                <w:kern w:val="0"/>
                <w:sz w:val="21"/>
                <w:szCs w:val="21"/>
              </w:rPr>
              <w:t>师宗县农村生活污水治理专项规划（2019-2035）</w:t>
            </w:r>
          </w:p>
        </w:tc>
      </w:tr>
      <w:tr>
        <w:tblPrEx>
          <w:tblCellMar>
            <w:top w:w="0" w:type="dxa"/>
            <w:left w:w="108" w:type="dxa"/>
            <w:bottom w:w="0" w:type="dxa"/>
            <w:right w:w="108" w:type="dxa"/>
          </w:tblCellMar>
        </w:tblPrEx>
        <w:trPr>
          <w:trHeight w:val="295"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5</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r>
              <w:rPr>
                <w:rFonts w:hint="eastAsia" w:ascii="宋体" w:hAnsi="宋体" w:eastAsia="宋体" w:cs="宋体"/>
                <w:kern w:val="0"/>
                <w:sz w:val="21"/>
                <w:szCs w:val="21"/>
                <w:lang w:eastAsia="zh-CN"/>
              </w:rPr>
              <w:t>曲靖市师宗县高标准农田建设规划（2021—2030年）</w:t>
            </w:r>
          </w:p>
        </w:tc>
      </w:tr>
      <w:tr>
        <w:tblPrEx>
          <w:tblCellMar>
            <w:top w:w="0" w:type="dxa"/>
            <w:left w:w="108" w:type="dxa"/>
            <w:bottom w:w="0" w:type="dxa"/>
            <w:right w:w="108" w:type="dxa"/>
          </w:tblCellMar>
        </w:tblPrEx>
        <w:trPr>
          <w:trHeight w:val="295" w:hRule="atLeast"/>
        </w:trPr>
        <w:tc>
          <w:tcPr>
            <w:tcW w:w="372"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713" w:type="pct"/>
            <w:vMerge w:val="continue"/>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rPr>
            </w:pPr>
          </w:p>
        </w:tc>
        <w:tc>
          <w:tcPr>
            <w:tcW w:w="507" w:type="pct"/>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240" w:lineRule="auto"/>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7</w:t>
            </w: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6</w:t>
            </w:r>
          </w:p>
        </w:tc>
        <w:tc>
          <w:tcPr>
            <w:tcW w:w="3406"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240" w:lineRule="auto"/>
              <w:ind w:firstLine="0" w:firstLineChars="0"/>
              <w:jc w:val="both"/>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云南省岩溶地区石漠化状况公报</w:t>
            </w:r>
          </w:p>
        </w:tc>
      </w:tr>
    </w:tbl>
    <w:p>
      <w:pPr>
        <w:pStyle w:val="4"/>
        <w:spacing w:line="360" w:lineRule="auto"/>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二、基础数据转换</w:t>
      </w:r>
    </w:p>
    <w:p>
      <w:pPr>
        <w:pStyle w:val="5"/>
        <w:tabs>
          <w:tab w:val="left" w:pos="420"/>
        </w:tabs>
        <w:spacing w:line="360" w:lineRule="auto"/>
        <w:ind w:firstLine="562" w:firstLineChars="200"/>
        <w:jc w:val="both"/>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一</w:t>
      </w:r>
      <w:r>
        <w:rPr>
          <w:rFonts w:hint="eastAsia" w:ascii="宋体" w:hAnsi="宋体" w:eastAsia="宋体" w:cs="宋体"/>
          <w:sz w:val="28"/>
          <w:szCs w:val="28"/>
          <w:lang w:eastAsia="zh-CN"/>
        </w:rPr>
        <w:t>）</w:t>
      </w:r>
      <w:r>
        <w:rPr>
          <w:rFonts w:hint="eastAsia" w:ascii="宋体" w:hAnsi="宋体" w:eastAsia="宋体" w:cs="宋体"/>
          <w:sz w:val="28"/>
          <w:szCs w:val="28"/>
        </w:rPr>
        <w:t>坐标转换</w:t>
      </w:r>
    </w:p>
    <w:p>
      <w:pPr>
        <w:spacing w:line="360" w:lineRule="auto"/>
        <w:ind w:firstLine="560"/>
        <w:jc w:val="both"/>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根据《云南省市县级国土空间生态修复规划编制指南（试行）》，统一采用2000国家大地坐标系和1985国家高程基准作为空间定位基础。为使规划编制过程中，能充分利用已有成果，必须将坐标为1980西安坐标系的基础数据全部转换为2000国家大地坐标系。</w:t>
      </w:r>
    </w:p>
    <w:p>
      <w:pPr>
        <w:pStyle w:val="5"/>
        <w:tabs>
          <w:tab w:val="left" w:pos="420"/>
        </w:tabs>
        <w:spacing w:line="360" w:lineRule="auto"/>
        <w:ind w:firstLine="562" w:firstLineChars="200"/>
        <w:jc w:val="both"/>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二</w:t>
      </w:r>
      <w:r>
        <w:rPr>
          <w:rFonts w:hint="eastAsia" w:ascii="宋体" w:hAnsi="宋体" w:eastAsia="宋体" w:cs="宋体"/>
          <w:sz w:val="28"/>
          <w:szCs w:val="28"/>
          <w:lang w:eastAsia="zh-CN"/>
        </w:rPr>
        <w:t>）</w:t>
      </w:r>
      <w:r>
        <w:rPr>
          <w:rFonts w:hint="eastAsia" w:ascii="宋体" w:hAnsi="宋体" w:eastAsia="宋体" w:cs="宋体"/>
          <w:sz w:val="28"/>
          <w:szCs w:val="28"/>
        </w:rPr>
        <w:t>格式转换</w:t>
      </w:r>
    </w:p>
    <w:p>
      <w:pPr>
        <w:spacing w:line="360" w:lineRule="auto"/>
        <w:ind w:firstLine="560"/>
        <w:jc w:val="both"/>
        <w:rPr>
          <w:rFonts w:hint="eastAsia" w:ascii="宋体" w:hAnsi="宋体" w:eastAsia="宋体" w:cs="宋体"/>
          <w:sz w:val="28"/>
          <w:szCs w:val="28"/>
        </w:rPr>
      </w:pPr>
      <w:r>
        <w:rPr>
          <w:rFonts w:hint="eastAsia" w:ascii="宋体" w:hAnsi="宋体" w:eastAsia="宋体" w:cs="宋体"/>
          <w:b w:val="0"/>
          <w:bCs w:val="0"/>
          <w:snapToGrid w:val="0"/>
          <w:color w:val="000000"/>
          <w:spacing w:val="-12"/>
          <w:kern w:val="0"/>
          <w:sz w:val="28"/>
          <w:szCs w:val="28"/>
          <w:lang w:val="en-US" w:eastAsia="zh-CN" w:bidi="ar-SA"/>
        </w:rPr>
        <w:t>收集的资料格式为文本、栅格和矢量数据三类。为能充分利用已有成果，进行空间分析，部分文本和栅格数据需要进行处理和转化，包括图件矢量化、文本数据矢量化。</w:t>
      </w:r>
    </w:p>
    <w:p>
      <w:pPr>
        <w:pStyle w:val="5"/>
        <w:pageBreakBefore w:val="0"/>
        <w:widowControl/>
        <w:tabs>
          <w:tab w:val="left" w:pos="420"/>
        </w:tabs>
        <w:kinsoku w:val="0"/>
        <w:wordWrap/>
        <w:overflowPunct/>
        <w:topLinePunct w:val="0"/>
        <w:autoSpaceDE w:val="0"/>
        <w:autoSpaceDN w:val="0"/>
        <w:bidi w:val="0"/>
        <w:adjustRightInd/>
        <w:snapToGrid/>
        <w:spacing w:beforeLines="0" w:afterLines="0" w:line="360" w:lineRule="auto"/>
        <w:ind w:firstLine="562" w:firstLineChars="200"/>
        <w:jc w:val="both"/>
        <w:textAlignment w:val="baseline"/>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三</w:t>
      </w:r>
      <w:r>
        <w:rPr>
          <w:rFonts w:hint="eastAsia" w:ascii="宋体" w:hAnsi="宋体" w:eastAsia="宋体" w:cs="宋体"/>
          <w:sz w:val="28"/>
          <w:szCs w:val="28"/>
          <w:lang w:eastAsia="zh-CN"/>
        </w:rPr>
        <w:t>）</w:t>
      </w:r>
      <w:r>
        <w:rPr>
          <w:rFonts w:hint="eastAsia" w:ascii="宋体" w:hAnsi="宋体" w:eastAsia="宋体" w:cs="宋体"/>
          <w:sz w:val="28"/>
          <w:szCs w:val="28"/>
        </w:rPr>
        <w:t>类型转换</w:t>
      </w:r>
    </w:p>
    <w:p>
      <w:pPr>
        <w:spacing w:line="360" w:lineRule="auto"/>
        <w:ind w:firstLine="560"/>
        <w:jc w:val="both"/>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在第三次全国国土调查成果数据基础上，按照土地利用分类体系、分类释义和转换对应关系进行了调整，得到各类用地转换结果。</w:t>
      </w:r>
    </w:p>
    <w:p>
      <w:pPr>
        <w:pStyle w:val="6"/>
        <w:pageBreakBefore w:val="0"/>
        <w:widowControl/>
        <w:kinsoku w:val="0"/>
        <w:wordWrap/>
        <w:overflowPunct/>
        <w:topLinePunct w:val="0"/>
        <w:autoSpaceDE w:val="0"/>
        <w:autoSpaceDN w:val="0"/>
        <w:bidi w:val="0"/>
        <w:adjustRightInd/>
        <w:snapToGrid/>
        <w:spacing w:before="0" w:beforeLines="0" w:after="0" w:afterLines="0" w:line="360" w:lineRule="auto"/>
        <w:ind w:firstLine="562"/>
        <w:jc w:val="both"/>
        <w:textAlignment w:val="baseline"/>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lang w:eastAsia="zh-CN"/>
        </w:rPr>
        <w:t>、</w:t>
      </w:r>
      <w:r>
        <w:rPr>
          <w:rFonts w:hint="eastAsia" w:ascii="宋体" w:hAnsi="宋体" w:eastAsia="宋体" w:cs="宋体"/>
          <w:sz w:val="28"/>
          <w:szCs w:val="28"/>
        </w:rPr>
        <w:t>生态系统与“三调”用地分类转换</w:t>
      </w:r>
    </w:p>
    <w:p>
      <w:pPr>
        <w:spacing w:line="360" w:lineRule="auto"/>
        <w:ind w:firstLine="560"/>
        <w:jc w:val="both"/>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依据“全国生态状况调查评估技术规范——生态系统遥感解译与野外核查”，参考《中国生态系统》的分类方法，作进一步改进，师宗县生态系统划分为：森林生态系统、草地生态系统、湿地生态系统、城镇生态系统、农田生态系统和其他生态系统共6类。依据第三次全国国土调查工作分类，“三调”将用地分类分为12个一级地类与42个二级地类。师宗县生态系统与“三调”用地分类对应关系见表3-2。</w:t>
      </w:r>
    </w:p>
    <w:tbl>
      <w:tblPr>
        <w:tblStyle w:val="20"/>
        <w:tblW w:w="5000" w:type="pct"/>
        <w:tblInd w:w="0" w:type="dxa"/>
        <w:tblLayout w:type="autofit"/>
        <w:tblCellMar>
          <w:top w:w="0" w:type="dxa"/>
          <w:left w:w="108" w:type="dxa"/>
          <w:bottom w:w="0" w:type="dxa"/>
          <w:right w:w="108" w:type="dxa"/>
        </w:tblCellMar>
      </w:tblPr>
      <w:tblGrid>
        <w:gridCol w:w="1676"/>
        <w:gridCol w:w="6877"/>
      </w:tblGrid>
      <w:tr>
        <w:tblPrEx>
          <w:tblCellMar>
            <w:top w:w="0" w:type="dxa"/>
            <w:left w:w="108" w:type="dxa"/>
            <w:bottom w:w="0" w:type="dxa"/>
            <w:right w:w="108" w:type="dxa"/>
          </w:tblCellMar>
        </w:tblPrEx>
        <w:trPr>
          <w:trHeight w:val="23" w:hRule="atLeast"/>
        </w:trPr>
        <w:tc>
          <w:tcPr>
            <w:tcW w:w="5000" w:type="pct"/>
            <w:gridSpan w:val="2"/>
            <w:tcBorders>
              <w:top w:val="nil"/>
              <w:left w:val="nil"/>
              <w:bottom w:val="single" w:color="auto" w:sz="4" w:space="0"/>
              <w:right w:val="nil"/>
            </w:tcBorders>
            <w:noWrap w:val="0"/>
            <w:vAlign w:val="center"/>
          </w:tcPr>
          <w:p>
            <w:pPr>
              <w:widowControl/>
              <w:spacing w:line="240" w:lineRule="auto"/>
              <w:ind w:firstLine="440" w:firstLineChars="0"/>
              <w:jc w:val="center"/>
              <w:rPr>
                <w:rFonts w:hint="eastAsia" w:ascii="宋体" w:hAnsi="宋体" w:eastAsia="宋体" w:cs="宋体"/>
                <w:b/>
                <w:kern w:val="0"/>
                <w:sz w:val="24"/>
                <w:szCs w:val="24"/>
              </w:rPr>
            </w:pPr>
            <w:r>
              <w:rPr>
                <w:rFonts w:hint="eastAsia" w:ascii="宋体" w:hAnsi="宋体" w:eastAsia="宋体" w:cs="宋体"/>
                <w:b/>
                <w:kern w:val="0"/>
                <w:sz w:val="24"/>
                <w:szCs w:val="24"/>
              </w:rPr>
              <w:t>表3-2  生态系统类型与“三调”对应关系表</w:t>
            </w:r>
          </w:p>
        </w:tc>
      </w:tr>
      <w:tr>
        <w:tblPrEx>
          <w:tblCellMar>
            <w:top w:w="0" w:type="dxa"/>
            <w:left w:w="108" w:type="dxa"/>
            <w:bottom w:w="0" w:type="dxa"/>
            <w:right w:w="108" w:type="dxa"/>
          </w:tblCellMar>
        </w:tblPrEx>
        <w:trPr>
          <w:trHeight w:val="23" w:hRule="atLeast"/>
        </w:trPr>
        <w:tc>
          <w:tcPr>
            <w:tcW w:w="980" w:type="pct"/>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生态系统类型</w:t>
            </w:r>
          </w:p>
        </w:tc>
        <w:tc>
          <w:tcPr>
            <w:tcW w:w="4019" w:type="pct"/>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三调地类</w:t>
            </w:r>
          </w:p>
        </w:tc>
      </w:tr>
      <w:tr>
        <w:tblPrEx>
          <w:tblCellMar>
            <w:top w:w="0" w:type="dxa"/>
            <w:left w:w="108" w:type="dxa"/>
            <w:bottom w:w="0" w:type="dxa"/>
            <w:right w:w="108" w:type="dxa"/>
          </w:tblCellMar>
        </w:tblPrEx>
        <w:trPr>
          <w:trHeight w:val="23" w:hRule="atLeast"/>
        </w:trPr>
        <w:tc>
          <w:tcPr>
            <w:tcW w:w="980" w:type="pct"/>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森林生态系统</w:t>
            </w:r>
          </w:p>
        </w:tc>
        <w:tc>
          <w:tcPr>
            <w:tcW w:w="4019" w:type="pct"/>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乔木林地、竹林地、灌木林地、其他林地</w:t>
            </w:r>
          </w:p>
        </w:tc>
      </w:tr>
      <w:tr>
        <w:tblPrEx>
          <w:tblCellMar>
            <w:top w:w="0" w:type="dxa"/>
            <w:left w:w="108" w:type="dxa"/>
            <w:bottom w:w="0" w:type="dxa"/>
            <w:right w:w="108" w:type="dxa"/>
          </w:tblCellMar>
        </w:tblPrEx>
        <w:trPr>
          <w:trHeight w:val="23" w:hRule="atLeast"/>
        </w:trPr>
        <w:tc>
          <w:tcPr>
            <w:tcW w:w="980" w:type="pct"/>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草地生态系统</w:t>
            </w:r>
          </w:p>
        </w:tc>
        <w:tc>
          <w:tcPr>
            <w:tcW w:w="4019" w:type="pct"/>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天然牧草地</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其他草地</w:t>
            </w:r>
          </w:p>
        </w:tc>
      </w:tr>
      <w:tr>
        <w:tblPrEx>
          <w:tblCellMar>
            <w:top w:w="0" w:type="dxa"/>
            <w:left w:w="108" w:type="dxa"/>
            <w:bottom w:w="0" w:type="dxa"/>
            <w:right w:w="108" w:type="dxa"/>
          </w:tblCellMar>
        </w:tblPrEx>
        <w:trPr>
          <w:trHeight w:val="23" w:hRule="atLeast"/>
        </w:trPr>
        <w:tc>
          <w:tcPr>
            <w:tcW w:w="980" w:type="pct"/>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湿地生态系统</w:t>
            </w:r>
          </w:p>
        </w:tc>
        <w:tc>
          <w:tcPr>
            <w:tcW w:w="4019" w:type="pct"/>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内陆滩涂、河流水面、水库水面、坑塘水面、沟渠、干渠</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养殖坑塘</w:t>
            </w:r>
          </w:p>
        </w:tc>
      </w:tr>
      <w:tr>
        <w:tblPrEx>
          <w:tblCellMar>
            <w:top w:w="0" w:type="dxa"/>
            <w:left w:w="108" w:type="dxa"/>
            <w:bottom w:w="0" w:type="dxa"/>
            <w:right w:w="108" w:type="dxa"/>
          </w:tblCellMar>
        </w:tblPrEx>
        <w:trPr>
          <w:trHeight w:val="23" w:hRule="atLeast"/>
        </w:trPr>
        <w:tc>
          <w:tcPr>
            <w:tcW w:w="980" w:type="pct"/>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农田生态系统</w:t>
            </w:r>
          </w:p>
        </w:tc>
        <w:tc>
          <w:tcPr>
            <w:tcW w:w="4019" w:type="pct"/>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水田、水浇地、旱地、果园、茶园、其他园地、村庄、农村道路、村庄</w:t>
            </w:r>
          </w:p>
        </w:tc>
      </w:tr>
      <w:tr>
        <w:tblPrEx>
          <w:tblCellMar>
            <w:top w:w="0" w:type="dxa"/>
            <w:left w:w="108" w:type="dxa"/>
            <w:bottom w:w="0" w:type="dxa"/>
            <w:right w:w="108" w:type="dxa"/>
          </w:tblCellMar>
        </w:tblPrEx>
        <w:trPr>
          <w:trHeight w:val="23" w:hRule="atLeast"/>
        </w:trPr>
        <w:tc>
          <w:tcPr>
            <w:tcW w:w="980" w:type="pct"/>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城镇生态系统</w:t>
            </w:r>
          </w:p>
        </w:tc>
        <w:tc>
          <w:tcPr>
            <w:tcW w:w="4019" w:type="pct"/>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建制镇、建制镇独立工业用地、采矿用地、公路用地、铁路用地、设施农用地、管道运输用地、风景名胜及特殊用地、水工建筑用地</w:t>
            </w:r>
          </w:p>
        </w:tc>
      </w:tr>
      <w:tr>
        <w:tblPrEx>
          <w:tblCellMar>
            <w:top w:w="0" w:type="dxa"/>
            <w:left w:w="108" w:type="dxa"/>
            <w:bottom w:w="0" w:type="dxa"/>
            <w:right w:w="108" w:type="dxa"/>
          </w:tblCellMar>
        </w:tblPrEx>
        <w:trPr>
          <w:trHeight w:val="23" w:hRule="atLeast"/>
        </w:trPr>
        <w:tc>
          <w:tcPr>
            <w:tcW w:w="980" w:type="pct"/>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其他生态系统</w:t>
            </w:r>
          </w:p>
        </w:tc>
        <w:tc>
          <w:tcPr>
            <w:tcW w:w="4019" w:type="pct"/>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裸土地、裸岩石砾地</w:t>
            </w:r>
          </w:p>
        </w:tc>
      </w:tr>
    </w:tbl>
    <w:p>
      <w:pPr>
        <w:pStyle w:val="6"/>
        <w:spacing w:before="163" w:after="163" w:line="360" w:lineRule="auto"/>
        <w:ind w:firstLine="562"/>
        <w:jc w:val="both"/>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w:t>
      </w:r>
      <w:r>
        <w:rPr>
          <w:rFonts w:hint="eastAsia" w:ascii="宋体" w:hAnsi="宋体" w:eastAsia="宋体" w:cs="宋体"/>
          <w:sz w:val="28"/>
          <w:szCs w:val="28"/>
        </w:rPr>
        <w:t>三大地类与“三调”用地分类转换</w:t>
      </w:r>
    </w:p>
    <w:p>
      <w:pPr>
        <w:spacing w:line="360" w:lineRule="auto"/>
        <w:ind w:firstLine="560"/>
        <w:jc w:val="both"/>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中华人民共和国土地管理法》将土地分为农用地、建设用地和未利用地三大地类。其中，农用地是指直接用于农业生产的土地，包括耕地、林地、草地、农田水利用地、养殖水域等；建设用地是指建造建筑物、构筑物的土地，包括城乡住宅和公共设施用地、工矿用地、交通水利设施用地、旅游用地、军事设施用地等；未利用地指农用地和建设用地以外的土地。由于三大地类与“三调”用地类型的分类标准不同，需对二者进行转换。三大地类与“三调”用地类型对应关系见表3-3。</w:t>
      </w:r>
    </w:p>
    <w:p>
      <w:pPr>
        <w:spacing w:line="240" w:lineRule="auto"/>
        <w:ind w:firstLine="1602" w:firstLineChars="665"/>
        <w:jc w:val="both"/>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bCs/>
          <w:kern w:val="0"/>
          <w:sz w:val="24"/>
          <w:szCs w:val="24"/>
        </w:rPr>
        <w:t>表3-3  第三次全国国土调查工作分类与三大地类对照表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2408"/>
        <w:gridCol w:w="1520"/>
        <w:gridCol w:w="3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71" w:type="pct"/>
            <w:noWrap/>
            <w:vAlign w:val="center"/>
          </w:tcPr>
          <w:p>
            <w:pPr>
              <w:widowControl/>
              <w:spacing w:line="240" w:lineRule="auto"/>
              <w:ind w:firstLine="0" w:firstLineChars="0"/>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三大地类</w:t>
            </w:r>
          </w:p>
        </w:tc>
        <w:tc>
          <w:tcPr>
            <w:tcW w:w="1407" w:type="pct"/>
            <w:noWrap/>
            <w:vAlign w:val="center"/>
          </w:tcPr>
          <w:p>
            <w:pPr>
              <w:widowControl/>
              <w:spacing w:line="240" w:lineRule="auto"/>
              <w:ind w:firstLine="0" w:firstLineChars="0"/>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三调地类</w:t>
            </w:r>
          </w:p>
        </w:tc>
        <w:tc>
          <w:tcPr>
            <w:tcW w:w="888" w:type="pct"/>
            <w:noWrap w:val="0"/>
            <w:vAlign w:val="center"/>
          </w:tcPr>
          <w:p>
            <w:pPr>
              <w:widowControl/>
              <w:spacing w:line="240" w:lineRule="auto"/>
              <w:ind w:firstLine="0" w:firstLineChars="0"/>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三大地类</w:t>
            </w:r>
          </w:p>
        </w:tc>
        <w:tc>
          <w:tcPr>
            <w:tcW w:w="1832" w:type="pct"/>
            <w:noWrap w:val="0"/>
            <w:vAlign w:val="center"/>
          </w:tcPr>
          <w:p>
            <w:pPr>
              <w:widowControl/>
              <w:spacing w:line="240" w:lineRule="auto"/>
              <w:ind w:firstLine="0" w:firstLineChars="0"/>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三调地类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水田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广场用地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水浇地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机关团体新闻出版用地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旱地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科教文卫用地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果园</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高教用地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可调整果园</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特殊用地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茶园</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铁路用地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其他园地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公路用地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可调整其他园地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城镇村道路用地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乔木林地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交通服务场站用地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可调整乔木林地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农村道路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竹林地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机场用地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灌木林地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管道运输用地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其他林地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未利用地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河流水面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可调整其他林地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未利用地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湖泊水面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天然牧草地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水库水面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沼泽草地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坑塘水面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人工牧草地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养殖坑塘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未利用地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其他草地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未利用地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内陆滩涂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物流仓储用地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沟渠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商业服务业设施用地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干渠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工业用地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未利用地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沼泽地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采矿用地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水工建筑用地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城镇住宅用地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空闲地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农村宅基地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农用地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设施农用地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公用设施用地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未利用地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裸土地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1"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建设用地</w:t>
            </w:r>
          </w:p>
        </w:tc>
        <w:tc>
          <w:tcPr>
            <w:tcW w:w="1407" w:type="pct"/>
            <w:noWrap/>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公园与绿地</w:t>
            </w:r>
          </w:p>
        </w:tc>
        <w:tc>
          <w:tcPr>
            <w:tcW w:w="888"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未利用地</w:t>
            </w:r>
          </w:p>
        </w:tc>
        <w:tc>
          <w:tcPr>
            <w:tcW w:w="1832" w:type="pct"/>
            <w:noWrap w:val="0"/>
            <w:vAlign w:val="center"/>
          </w:tcPr>
          <w:p>
            <w:pPr>
              <w:widowControl/>
              <w:spacing w:line="240" w:lineRule="auto"/>
              <w:ind w:firstLine="0" w:firstLineChars="0"/>
              <w:jc w:val="center"/>
              <w:rPr>
                <w:rFonts w:hint="eastAsia" w:ascii="宋体" w:hAnsi="宋体" w:eastAsia="宋体" w:cs="宋体"/>
                <w:kern w:val="0"/>
                <w:sz w:val="24"/>
                <w:szCs w:val="24"/>
              </w:rPr>
            </w:pPr>
            <w:r>
              <w:rPr>
                <w:rFonts w:hint="eastAsia" w:ascii="宋体" w:hAnsi="宋体" w:eastAsia="宋体" w:cs="宋体"/>
                <w:kern w:val="0"/>
                <w:sz w:val="24"/>
                <w:szCs w:val="24"/>
              </w:rPr>
              <w:t>裸岩石砾地</w:t>
            </w:r>
          </w:p>
        </w:tc>
      </w:tr>
    </w:tbl>
    <w:p>
      <w:pPr>
        <w:widowControl/>
        <w:spacing w:line="240" w:lineRule="auto"/>
        <w:ind w:firstLine="643" w:firstLineChars="0"/>
        <w:jc w:val="center"/>
        <w:rPr>
          <w:rFonts w:hint="eastAsia" w:ascii="宋体" w:hAnsi="宋体" w:eastAsia="宋体" w:cs="宋体"/>
          <w:b/>
          <w:bCs/>
          <w:kern w:val="0"/>
          <w:sz w:val="28"/>
          <w:szCs w:val="28"/>
        </w:rPr>
      </w:pPr>
    </w:p>
    <w:p>
      <w:pPr>
        <w:pStyle w:val="6"/>
        <w:pageBreakBefore w:val="0"/>
        <w:widowControl/>
        <w:kinsoku w:val="0"/>
        <w:wordWrap/>
        <w:overflowPunct/>
        <w:topLinePunct w:val="0"/>
        <w:autoSpaceDE w:val="0"/>
        <w:autoSpaceDN w:val="0"/>
        <w:bidi w:val="0"/>
        <w:adjustRightInd/>
        <w:snapToGrid/>
        <w:spacing w:before="0" w:beforeLines="0" w:after="0" w:afterLines="0" w:line="360" w:lineRule="auto"/>
        <w:ind w:firstLine="562"/>
        <w:jc w:val="both"/>
        <w:textAlignment w:val="baseline"/>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lang w:eastAsia="zh-CN"/>
        </w:rPr>
        <w:t>、</w:t>
      </w:r>
      <w:r>
        <w:rPr>
          <w:rFonts w:hint="eastAsia" w:ascii="宋体" w:hAnsi="宋体" w:eastAsia="宋体" w:cs="宋体"/>
          <w:sz w:val="28"/>
          <w:szCs w:val="28"/>
        </w:rPr>
        <w:t>用地用海分类与“三调”用地分类转换</w:t>
      </w:r>
    </w:p>
    <w:p>
      <w:pPr>
        <w:spacing w:line="360" w:lineRule="auto"/>
        <w:ind w:firstLine="560"/>
        <w:jc w:val="both"/>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在“三调”及2020年变更调查成果（城镇、村庄不打开统计）的基础上，按照《国土空间调查、规划、用途管制用地用海分类指南了试行等有关标准规范的要求，形成符合规定的工作底数，全域采用一级分类。本次直接采用国土空间总体规划转换基数。</w:t>
      </w:r>
    </w:p>
    <w:p>
      <w:pPr>
        <w:pStyle w:val="6"/>
        <w:pageBreakBefore w:val="0"/>
        <w:widowControl/>
        <w:kinsoku w:val="0"/>
        <w:wordWrap/>
        <w:overflowPunct/>
        <w:topLinePunct w:val="0"/>
        <w:autoSpaceDE w:val="0"/>
        <w:autoSpaceDN w:val="0"/>
        <w:bidi w:val="0"/>
        <w:adjustRightInd/>
        <w:snapToGrid/>
        <w:spacing w:before="0" w:beforeLines="0" w:after="0" w:afterLines="0" w:line="360" w:lineRule="auto"/>
        <w:ind w:firstLine="562"/>
        <w:jc w:val="both"/>
        <w:textAlignment w:val="baseline"/>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eastAsia="zh-CN"/>
        </w:rPr>
        <w:t>、</w:t>
      </w:r>
      <w:r>
        <w:rPr>
          <w:rFonts w:hint="eastAsia" w:ascii="宋体" w:hAnsi="宋体" w:eastAsia="宋体" w:cs="宋体"/>
          <w:sz w:val="28"/>
          <w:szCs w:val="28"/>
        </w:rPr>
        <w:t>数据应用</w:t>
      </w:r>
    </w:p>
    <w:p>
      <w:pPr>
        <w:spacing w:line="360" w:lineRule="auto"/>
        <w:ind w:firstLine="560"/>
        <w:jc w:val="both"/>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规划编制收集的数据涉及自然资源、林业、水利、生态环境、农业农村、发改等各个部门，包括规划成果、年度报告等，同类数据可能在多个部门报告中出现，本报告应用数据以各数据主管部门提供数据为准，2020年土地利用变更调查数据作为规划现状底数和底图基础。</w:t>
      </w:r>
    </w:p>
    <w:p>
      <w:pPr>
        <w:keepNext w:val="0"/>
        <w:keepLines w:val="0"/>
        <w:pageBreakBefore w:val="0"/>
        <w:widowControl/>
        <w:kinsoku w:val="0"/>
        <w:wordWrap/>
        <w:overflowPunct/>
        <w:topLinePunct w:val="0"/>
        <w:autoSpaceDE w:val="0"/>
        <w:autoSpaceDN w:val="0"/>
        <w:bidi w:val="0"/>
        <w:adjustRightInd/>
        <w:snapToGrid/>
        <w:spacing w:line="360" w:lineRule="auto"/>
        <w:ind w:left="0"/>
        <w:jc w:val="center"/>
        <w:textAlignment w:val="baseline"/>
        <w:outlineLvl w:val="0"/>
        <w:rPr>
          <w:rFonts w:hint="eastAsia" w:ascii="宋体" w:hAnsi="宋体" w:eastAsia="宋体" w:cs="宋体"/>
          <w:b/>
          <w:bCs/>
          <w:sz w:val="32"/>
          <w:szCs w:val="32"/>
        </w:rPr>
      </w:pPr>
      <w:bookmarkStart w:id="20" w:name="_Toc26204"/>
      <w:r>
        <w:rPr>
          <w:rFonts w:hint="eastAsia" w:ascii="宋体" w:hAnsi="宋体" w:eastAsia="宋体" w:cs="宋体"/>
          <w:b/>
          <w:bCs/>
          <w:spacing w:val="-1"/>
          <w:sz w:val="32"/>
          <w:szCs w:val="32"/>
        </w:rPr>
        <w:t>第四章</w:t>
      </w:r>
      <w:r>
        <w:rPr>
          <w:rFonts w:hint="eastAsia" w:ascii="宋体" w:hAnsi="宋体" w:eastAsia="宋体" w:cs="宋体"/>
          <w:b/>
          <w:bCs/>
          <w:spacing w:val="-1"/>
          <w:sz w:val="32"/>
          <w:szCs w:val="32"/>
          <w:lang w:val="en-US" w:eastAsia="zh-CN"/>
        </w:rPr>
        <w:t xml:space="preserve">  </w:t>
      </w:r>
      <w:r>
        <w:rPr>
          <w:rFonts w:hint="eastAsia" w:ascii="宋体" w:hAnsi="宋体" w:eastAsia="宋体" w:cs="宋体"/>
          <w:b/>
          <w:bCs/>
          <w:spacing w:val="-1"/>
          <w:sz w:val="32"/>
          <w:szCs w:val="32"/>
        </w:rPr>
        <w:t>分析评价</w:t>
      </w:r>
      <w:bookmarkEnd w:id="20"/>
    </w:p>
    <w:p>
      <w:pPr>
        <w:keepNext w:val="0"/>
        <w:keepLines w:val="0"/>
        <w:pageBreakBefore w:val="0"/>
        <w:widowControl/>
        <w:kinsoku w:val="0"/>
        <w:wordWrap/>
        <w:overflowPunct/>
        <w:topLinePunct w:val="0"/>
        <w:autoSpaceDE w:val="0"/>
        <w:autoSpaceDN w:val="0"/>
        <w:bidi w:val="0"/>
        <w:adjustRightInd/>
        <w:snapToGrid/>
        <w:spacing w:line="360" w:lineRule="auto"/>
        <w:ind w:left="0"/>
        <w:jc w:val="center"/>
        <w:textAlignment w:val="baseline"/>
        <w:outlineLvl w:val="1"/>
        <w:rPr>
          <w:rFonts w:hint="eastAsia" w:ascii="宋体" w:hAnsi="宋体" w:eastAsia="宋体" w:cs="宋体"/>
          <w:sz w:val="28"/>
          <w:szCs w:val="28"/>
        </w:rPr>
      </w:pPr>
      <w:bookmarkStart w:id="21" w:name="bookmark36"/>
      <w:bookmarkEnd w:id="21"/>
      <w:bookmarkStart w:id="22" w:name="_Toc24786"/>
      <w:r>
        <w:rPr>
          <w:rFonts w:hint="eastAsia" w:ascii="宋体" w:hAnsi="宋体" w:eastAsia="宋体" w:cs="宋体"/>
          <w:b/>
          <w:bCs/>
          <w:spacing w:val="7"/>
          <w:position w:val="1"/>
          <w:sz w:val="30"/>
          <w:szCs w:val="30"/>
        </w:rPr>
        <w:t>第一节 生态本底分析</w:t>
      </w:r>
      <w:bookmarkEnd w:id="22"/>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outlineLvl w:val="2"/>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一、自然本底</w:t>
      </w:r>
    </w:p>
    <w:p>
      <w:pPr>
        <w:pStyle w:val="5"/>
        <w:tabs>
          <w:tab w:val="left" w:pos="420"/>
        </w:tabs>
        <w:spacing w:line="360" w:lineRule="auto"/>
        <w:ind w:firstLine="562"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（一）生态系统类型</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本次规划生态系统分类方法主要根据第三次全国国土调查，结合师宗县植被类型进行分类。将师宗县生态系统分为森林生态系统、草地生态系统、湿地生态系统、农田生态系统、城镇生态系统和其他生态系统6个生态系统。其中森林生态系统、草地生态系统和湿地生态系统属于自然生态系统，农田生态系统、城镇生态系统和其他生态系统属于人工生态系统。详见表4-1。</w:t>
      </w:r>
    </w:p>
    <w:p>
      <w:pPr>
        <w:spacing w:line="360" w:lineRule="auto"/>
        <w:ind w:firstLine="512" w:firstLineChars="20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全县生态系统类型以森林生态系统和农田生态系统类型为主，分别占县域国土面积的61.02%、31.71%，两者之和超县域土地面积的92.73%。</w:t>
      </w:r>
    </w:p>
    <w:p>
      <w:pPr>
        <w:spacing w:line="360" w:lineRule="auto"/>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森林生态系统主要分布在县域南部、南东部等地区；农田生态系统主要分布于县域北部、中部坝子地区；城镇生态系统主要分布在县城建成区，其余建设用地以块状或点状分布于各个乡镇；湿地、草地及其他生态系统面积占比较低。见图4-1。</w:t>
      </w:r>
    </w:p>
    <w:p>
      <w:pPr>
        <w:keepNext w:val="0"/>
        <w:keepLines w:val="0"/>
        <w:pageBreakBefore w:val="0"/>
        <w:widowControl/>
        <w:kinsoku w:val="0"/>
        <w:wordWrap/>
        <w:overflowPunct/>
        <w:topLinePunct w:val="0"/>
        <w:autoSpaceDE w:val="0"/>
        <w:autoSpaceDN w:val="0"/>
        <w:bidi w:val="0"/>
        <w:adjustRightInd/>
        <w:snapToGrid/>
        <w:spacing w:line="240" w:lineRule="auto"/>
        <w:ind w:right="0" w:firstLine="723" w:firstLineChars="300"/>
        <w:jc w:val="center"/>
        <w:textAlignment w:val="baseline"/>
        <w:rPr>
          <w:rFonts w:hint="eastAsia" w:ascii="宋体" w:hAnsi="宋体" w:eastAsia="宋体" w:cs="宋体"/>
          <w:b/>
          <w:bCs/>
          <w:kern w:val="0"/>
          <w:sz w:val="24"/>
          <w:szCs w:val="24"/>
        </w:rPr>
      </w:pPr>
    </w:p>
    <w:p>
      <w:pPr>
        <w:keepNext w:val="0"/>
        <w:keepLines w:val="0"/>
        <w:pageBreakBefore w:val="0"/>
        <w:widowControl/>
        <w:kinsoku w:val="0"/>
        <w:wordWrap/>
        <w:overflowPunct/>
        <w:topLinePunct w:val="0"/>
        <w:autoSpaceDE w:val="0"/>
        <w:autoSpaceDN w:val="0"/>
        <w:bidi w:val="0"/>
        <w:adjustRightInd/>
        <w:snapToGrid/>
        <w:spacing w:line="240" w:lineRule="auto"/>
        <w:ind w:right="0" w:firstLine="723" w:firstLineChars="300"/>
        <w:jc w:val="center"/>
        <w:textAlignment w:val="baseline"/>
        <w:rPr>
          <w:rFonts w:hint="eastAsia" w:ascii="宋体" w:hAnsi="宋体" w:eastAsia="宋体" w:cs="宋体"/>
          <w:b/>
          <w:bCs/>
          <w:kern w:val="0"/>
          <w:sz w:val="24"/>
          <w:szCs w:val="24"/>
        </w:rPr>
      </w:pPr>
    </w:p>
    <w:p>
      <w:pPr>
        <w:keepNext w:val="0"/>
        <w:keepLines w:val="0"/>
        <w:pageBreakBefore w:val="0"/>
        <w:widowControl/>
        <w:kinsoku w:val="0"/>
        <w:wordWrap/>
        <w:overflowPunct/>
        <w:topLinePunct w:val="0"/>
        <w:autoSpaceDE w:val="0"/>
        <w:autoSpaceDN w:val="0"/>
        <w:bidi w:val="0"/>
        <w:adjustRightInd/>
        <w:snapToGrid/>
        <w:spacing w:line="240" w:lineRule="auto"/>
        <w:ind w:right="0" w:firstLine="723" w:firstLineChars="300"/>
        <w:jc w:val="center"/>
        <w:textAlignment w:val="baseline"/>
        <w:rPr>
          <w:rFonts w:hint="eastAsia" w:ascii="宋体" w:hAnsi="宋体" w:eastAsia="宋体" w:cs="宋体"/>
          <w:b/>
          <w:bCs/>
          <w:kern w:val="0"/>
          <w:sz w:val="24"/>
          <w:szCs w:val="24"/>
        </w:rPr>
      </w:pPr>
    </w:p>
    <w:p>
      <w:pPr>
        <w:keepNext w:val="0"/>
        <w:keepLines w:val="0"/>
        <w:pageBreakBefore w:val="0"/>
        <w:widowControl/>
        <w:kinsoku w:val="0"/>
        <w:wordWrap/>
        <w:overflowPunct/>
        <w:topLinePunct w:val="0"/>
        <w:autoSpaceDE w:val="0"/>
        <w:autoSpaceDN w:val="0"/>
        <w:bidi w:val="0"/>
        <w:adjustRightInd/>
        <w:snapToGrid/>
        <w:spacing w:line="240" w:lineRule="auto"/>
        <w:ind w:right="0" w:firstLine="723" w:firstLineChars="300"/>
        <w:jc w:val="center"/>
        <w:textAlignment w:val="baseline"/>
        <w:rPr>
          <w:rFonts w:hint="eastAsia" w:ascii="宋体" w:hAnsi="宋体" w:eastAsia="宋体" w:cs="宋体"/>
          <w:b/>
          <w:bCs/>
          <w:kern w:val="0"/>
          <w:sz w:val="24"/>
          <w:szCs w:val="24"/>
        </w:rPr>
      </w:pPr>
    </w:p>
    <w:p>
      <w:pPr>
        <w:keepNext w:val="0"/>
        <w:keepLines w:val="0"/>
        <w:pageBreakBefore w:val="0"/>
        <w:widowControl/>
        <w:kinsoku w:val="0"/>
        <w:wordWrap/>
        <w:overflowPunct/>
        <w:topLinePunct w:val="0"/>
        <w:autoSpaceDE w:val="0"/>
        <w:autoSpaceDN w:val="0"/>
        <w:bidi w:val="0"/>
        <w:adjustRightInd/>
        <w:snapToGrid/>
        <w:spacing w:line="240" w:lineRule="auto"/>
        <w:ind w:right="0" w:firstLine="723" w:firstLineChars="300"/>
        <w:jc w:val="center"/>
        <w:textAlignment w:val="baseline"/>
        <w:rPr>
          <w:rFonts w:hint="eastAsia" w:ascii="宋体" w:hAnsi="宋体" w:eastAsia="宋体" w:cs="宋体"/>
          <w:spacing w:val="-12"/>
          <w:sz w:val="24"/>
          <w:szCs w:val="24"/>
          <w:lang w:val="en-US" w:eastAsia="zh-CN"/>
        </w:rPr>
      </w:pPr>
      <w:r>
        <w:rPr>
          <w:rFonts w:hint="eastAsia" w:ascii="宋体" w:hAnsi="宋体" w:eastAsia="宋体" w:cs="宋体"/>
          <w:b/>
          <w:bCs/>
          <w:kern w:val="0"/>
          <w:sz w:val="24"/>
          <w:szCs w:val="24"/>
        </w:rPr>
        <w:t xml:space="preserve">表4-1 </w:t>
      </w:r>
      <w:r>
        <w:rPr>
          <w:rFonts w:hint="eastAsia" w:ascii="宋体" w:hAnsi="宋体" w:eastAsia="宋体" w:cs="宋体"/>
          <w:b/>
          <w:bCs/>
          <w:kern w:val="0"/>
          <w:sz w:val="24"/>
          <w:szCs w:val="24"/>
          <w:lang w:val="en-US" w:eastAsia="zh-CN"/>
        </w:rPr>
        <w:t xml:space="preserve">      </w:t>
      </w:r>
      <w:r>
        <w:rPr>
          <w:rFonts w:hint="eastAsia" w:ascii="宋体" w:hAnsi="宋体" w:eastAsia="宋体" w:cs="宋体"/>
          <w:b/>
          <w:bCs/>
          <w:kern w:val="0"/>
          <w:sz w:val="24"/>
          <w:szCs w:val="24"/>
        </w:rPr>
        <w:t xml:space="preserve"> </w:t>
      </w:r>
      <w:r>
        <w:rPr>
          <w:rFonts w:hint="eastAsia" w:ascii="宋体" w:hAnsi="宋体" w:eastAsia="宋体" w:cs="宋体"/>
          <w:b/>
          <w:bCs/>
          <w:kern w:val="0"/>
          <w:sz w:val="24"/>
          <w:szCs w:val="24"/>
          <w:lang w:val="en-US" w:eastAsia="zh-CN"/>
        </w:rPr>
        <w:t>师宗县</w:t>
      </w:r>
      <w:r>
        <w:rPr>
          <w:rFonts w:hint="eastAsia" w:ascii="宋体" w:hAnsi="宋体" w:eastAsia="宋体" w:cs="宋体"/>
          <w:b/>
          <w:bCs/>
          <w:kern w:val="0"/>
          <w:sz w:val="24"/>
          <w:szCs w:val="24"/>
        </w:rPr>
        <w:t>生态系统类型面积及占比</w:t>
      </w:r>
    </w:p>
    <w:tbl>
      <w:tblPr>
        <w:tblStyle w:val="20"/>
        <w:tblW w:w="498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26"/>
        <w:gridCol w:w="2277"/>
        <w:gridCol w:w="2001"/>
        <w:gridCol w:w="1319"/>
        <w:gridCol w:w="13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 w:hRule="exact"/>
        </w:trPr>
        <w:tc>
          <w:tcPr>
            <w:tcW w:w="9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Ⅰ级分类</w:t>
            </w: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Ⅱ级分类</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面积（公顷）</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合计</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9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草地生态系统</w:t>
            </w: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草地</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2731.73</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2731.73</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0.98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exact"/>
        </w:trPr>
        <w:tc>
          <w:tcPr>
            <w:tcW w:w="9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湿地生态系统</w:t>
            </w: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i w:val="0"/>
                <w:iCs w:val="0"/>
                <w:snapToGrid w:val="0"/>
                <w:color w:val="000000"/>
                <w:kern w:val="0"/>
                <w:sz w:val="21"/>
                <w:szCs w:val="21"/>
                <w:u w:val="none"/>
                <w:lang w:val="en-US" w:eastAsia="zh-CN" w:bidi="ar"/>
              </w:rPr>
              <w:t>河流水面</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1121.49</w:t>
            </w:r>
          </w:p>
        </w:tc>
        <w:tc>
          <w:tcPr>
            <w:tcW w:w="7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2651.93</w:t>
            </w:r>
          </w:p>
        </w:tc>
        <w:tc>
          <w:tcPr>
            <w:tcW w:w="7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8" w:hRule="exact"/>
        </w:trPr>
        <w:tc>
          <w:tcPr>
            <w:tcW w:w="9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1"/>
                <w:szCs w:val="21"/>
                <w:u w:val="none"/>
              </w:rPr>
            </w:pP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i w:val="0"/>
                <w:iCs w:val="0"/>
                <w:snapToGrid w:val="0"/>
                <w:color w:val="000000"/>
                <w:kern w:val="0"/>
                <w:sz w:val="21"/>
                <w:szCs w:val="21"/>
                <w:u w:val="none"/>
                <w:lang w:val="en-US" w:eastAsia="zh-CN" w:bidi="ar"/>
              </w:rPr>
              <w:t>水库水面、养殖坑塘、坑塘水面</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1427.79</w:t>
            </w:r>
          </w:p>
        </w:tc>
        <w:tc>
          <w:tcPr>
            <w:tcW w:w="7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9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1"/>
                <w:szCs w:val="21"/>
                <w:u w:val="none"/>
              </w:rPr>
            </w:pP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湿地滩涂</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102.65</w:t>
            </w:r>
          </w:p>
        </w:tc>
        <w:tc>
          <w:tcPr>
            <w:tcW w:w="7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9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森林生态系统</w:t>
            </w: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乔木林地</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129570.10</w:t>
            </w:r>
          </w:p>
        </w:tc>
        <w:tc>
          <w:tcPr>
            <w:tcW w:w="7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169911.59</w:t>
            </w:r>
          </w:p>
        </w:tc>
        <w:tc>
          <w:tcPr>
            <w:tcW w:w="7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61.02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9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1"/>
                <w:szCs w:val="21"/>
                <w:u w:val="none"/>
              </w:rPr>
            </w:pP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灌木林地</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26610.12</w:t>
            </w:r>
          </w:p>
        </w:tc>
        <w:tc>
          <w:tcPr>
            <w:tcW w:w="7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9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1"/>
                <w:szCs w:val="21"/>
                <w:u w:val="none"/>
              </w:rPr>
            </w:pP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竹林地</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133.33</w:t>
            </w:r>
          </w:p>
        </w:tc>
        <w:tc>
          <w:tcPr>
            <w:tcW w:w="7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9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1"/>
                <w:szCs w:val="21"/>
                <w:u w:val="none"/>
              </w:rPr>
            </w:pP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其他林地</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13598.04</w:t>
            </w:r>
          </w:p>
        </w:tc>
        <w:tc>
          <w:tcPr>
            <w:tcW w:w="7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9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农田生态系统</w:t>
            </w: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耕地</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84066.61</w:t>
            </w:r>
          </w:p>
        </w:tc>
        <w:tc>
          <w:tcPr>
            <w:tcW w:w="7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88285.94</w:t>
            </w:r>
          </w:p>
        </w:tc>
        <w:tc>
          <w:tcPr>
            <w:tcW w:w="7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31.71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9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1"/>
                <w:szCs w:val="21"/>
                <w:u w:val="none"/>
              </w:rPr>
            </w:pP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园地</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4219.33</w:t>
            </w:r>
          </w:p>
        </w:tc>
        <w:tc>
          <w:tcPr>
            <w:tcW w:w="7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9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城镇生态系统</w:t>
            </w: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交通用地</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5214.61</w:t>
            </w:r>
          </w:p>
        </w:tc>
        <w:tc>
          <w:tcPr>
            <w:tcW w:w="7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14518.47</w:t>
            </w:r>
          </w:p>
        </w:tc>
        <w:tc>
          <w:tcPr>
            <w:tcW w:w="7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5.21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exact"/>
        </w:trPr>
        <w:tc>
          <w:tcPr>
            <w:tcW w:w="9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1"/>
                <w:szCs w:val="21"/>
                <w:u w:val="none"/>
              </w:rPr>
            </w:pP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居住地</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6261.82</w:t>
            </w:r>
          </w:p>
        </w:tc>
        <w:tc>
          <w:tcPr>
            <w:tcW w:w="7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9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1"/>
                <w:szCs w:val="21"/>
                <w:u w:val="none"/>
              </w:rPr>
            </w:pP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商业用地</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283.21</w:t>
            </w:r>
          </w:p>
        </w:tc>
        <w:tc>
          <w:tcPr>
            <w:tcW w:w="7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9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1"/>
                <w:szCs w:val="21"/>
                <w:u w:val="none"/>
              </w:rPr>
            </w:pP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基础设施用地</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1199.66</w:t>
            </w:r>
          </w:p>
        </w:tc>
        <w:tc>
          <w:tcPr>
            <w:tcW w:w="7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9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1"/>
                <w:szCs w:val="21"/>
                <w:u w:val="none"/>
              </w:rPr>
            </w:pP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其他用地</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1559.17</w:t>
            </w:r>
          </w:p>
        </w:tc>
        <w:tc>
          <w:tcPr>
            <w:tcW w:w="7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c>
          <w:tcPr>
            <w:tcW w:w="7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9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其他生态系统</w:t>
            </w: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裸地等</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349.45</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349.45</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exact"/>
        </w:trPr>
        <w:tc>
          <w:tcPr>
            <w:tcW w:w="9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合计</w:t>
            </w:r>
          </w:p>
        </w:tc>
        <w:tc>
          <w:tcPr>
            <w:tcW w:w="13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1"/>
                <w:szCs w:val="21"/>
                <w:u w:val="none"/>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278449.11</w:t>
            </w:r>
          </w:p>
        </w:tc>
        <w:tc>
          <w:tcPr>
            <w:tcW w:w="7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278449.11</w:t>
            </w:r>
          </w:p>
        </w:tc>
        <w:tc>
          <w:tcPr>
            <w:tcW w:w="7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100</w:t>
            </w:r>
          </w:p>
        </w:tc>
      </w:tr>
    </w:tbl>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default" w:ascii="宋体" w:hAnsi="宋体" w:eastAsia="宋体" w:cs="宋体"/>
          <w:b w:val="0"/>
          <w:bCs w:val="0"/>
          <w:snapToGrid w:val="0"/>
          <w:color w:val="000000"/>
          <w:spacing w:val="-12"/>
          <w:kern w:val="0"/>
          <w:sz w:val="28"/>
          <w:szCs w:val="28"/>
          <w:lang w:val="en-US" w:eastAsia="zh-CN" w:bidi="ar-SA"/>
        </w:rPr>
      </w:pPr>
    </w:p>
    <w:p>
      <w:pPr>
        <w:keepNext w:val="0"/>
        <w:keepLines w:val="0"/>
        <w:pageBreakBefore w:val="0"/>
        <w:widowControl/>
        <w:kinsoku w:val="0"/>
        <w:wordWrap/>
        <w:overflowPunct/>
        <w:topLinePunct w:val="0"/>
        <w:autoSpaceDE w:val="0"/>
        <w:autoSpaceDN w:val="0"/>
        <w:bidi w:val="0"/>
        <w:adjustRightInd/>
        <w:snapToGrid/>
        <w:spacing w:line="360" w:lineRule="auto"/>
        <w:ind w:right="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 xml:space="preserve">  </w:t>
      </w:r>
      <w:r>
        <w:rPr>
          <w:rFonts w:hint="eastAsia" w:ascii="宋体" w:hAnsi="宋体" w:eastAsia="宋体" w:cs="宋体"/>
          <w:spacing w:val="-12"/>
          <w:sz w:val="28"/>
          <w:szCs w:val="28"/>
          <w:lang w:val="en-US" w:eastAsia="zh-CN"/>
        </w:rPr>
        <w:drawing>
          <wp:inline distT="0" distB="0" distL="114300" distR="114300">
            <wp:extent cx="5106035" cy="3388995"/>
            <wp:effectExtent l="0" t="0" r="12065" b="1905"/>
            <wp:docPr id="8" name="图片 8" descr="1-8 生态系统特征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8 生态系统特征分布图"/>
                    <pic:cNvPicPr>
                      <a:picLocks noChangeAspect="1"/>
                    </pic:cNvPicPr>
                  </pic:nvPicPr>
                  <pic:blipFill>
                    <a:blip r:embed="rId10"/>
                    <a:srcRect l="6611" t="9441" r="6306" b="9636"/>
                    <a:stretch>
                      <a:fillRect/>
                    </a:stretch>
                  </pic:blipFill>
                  <pic:spPr>
                    <a:xfrm>
                      <a:off x="0" y="0"/>
                      <a:ext cx="5106035" cy="338899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snapToGrid/>
        <w:spacing w:line="360" w:lineRule="auto"/>
        <w:ind w:right="0" w:firstLine="482" w:firstLineChars="200"/>
        <w:jc w:val="center"/>
        <w:textAlignment w:val="baseline"/>
        <w:rPr>
          <w:rFonts w:hint="eastAsia" w:ascii="宋体" w:hAnsi="宋体" w:eastAsia="宋体" w:cs="宋体"/>
          <w:b/>
          <w:sz w:val="24"/>
          <w:szCs w:val="24"/>
        </w:rPr>
      </w:pPr>
      <w:r>
        <w:rPr>
          <w:rFonts w:hint="eastAsia" w:ascii="宋体" w:hAnsi="宋体" w:eastAsia="宋体" w:cs="宋体"/>
          <w:b/>
          <w:sz w:val="24"/>
          <w:szCs w:val="24"/>
        </w:rPr>
        <w:t xml:space="preserve">图4-1   </w:t>
      </w:r>
      <w:r>
        <w:rPr>
          <w:rFonts w:hint="eastAsia" w:ascii="宋体" w:hAnsi="宋体" w:eastAsia="宋体" w:cs="宋体"/>
          <w:b/>
          <w:sz w:val="24"/>
          <w:szCs w:val="24"/>
          <w:lang w:val="en-US" w:eastAsia="zh-CN"/>
        </w:rPr>
        <w:t>师宗县</w:t>
      </w:r>
      <w:r>
        <w:rPr>
          <w:rFonts w:hint="eastAsia" w:ascii="宋体" w:hAnsi="宋体" w:eastAsia="宋体" w:cs="宋体"/>
          <w:b/>
          <w:sz w:val="24"/>
          <w:szCs w:val="24"/>
        </w:rPr>
        <w:t>生态系统特征分布图</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482" w:firstLineChars="200"/>
        <w:jc w:val="center"/>
        <w:textAlignment w:val="baseline"/>
        <w:rPr>
          <w:rFonts w:hint="eastAsia" w:ascii="宋体" w:hAnsi="宋体" w:eastAsia="宋体" w:cs="宋体"/>
          <w:b/>
          <w:sz w:val="24"/>
          <w:szCs w:val="24"/>
        </w:rPr>
      </w:pPr>
    </w:p>
    <w:p>
      <w:pPr>
        <w:keepNext w:val="0"/>
        <w:keepLines w:val="0"/>
        <w:pageBreakBefore w:val="0"/>
        <w:widowControl/>
        <w:kinsoku w:val="0"/>
        <w:wordWrap/>
        <w:overflowPunct/>
        <w:topLinePunct w:val="0"/>
        <w:autoSpaceDE w:val="0"/>
        <w:autoSpaceDN w:val="0"/>
        <w:bidi w:val="0"/>
        <w:adjustRightInd/>
        <w:snapToGrid/>
        <w:spacing w:line="360" w:lineRule="auto"/>
        <w:ind w:right="0" w:firstLine="482" w:firstLineChars="200"/>
        <w:jc w:val="center"/>
        <w:textAlignment w:val="baseline"/>
        <w:rPr>
          <w:rFonts w:hint="eastAsia" w:ascii="宋体" w:hAnsi="宋体" w:eastAsia="宋体" w:cs="宋体"/>
          <w:b/>
          <w:sz w:val="24"/>
          <w:szCs w:val="24"/>
        </w:rPr>
      </w:pPr>
    </w:p>
    <w:p>
      <w:pPr>
        <w:keepNext w:val="0"/>
        <w:keepLines w:val="0"/>
        <w:pageBreakBefore w:val="0"/>
        <w:widowControl/>
        <w:kinsoku w:val="0"/>
        <w:wordWrap/>
        <w:overflowPunct/>
        <w:topLinePunct w:val="0"/>
        <w:autoSpaceDE w:val="0"/>
        <w:autoSpaceDN w:val="0"/>
        <w:bidi w:val="0"/>
        <w:adjustRightInd/>
        <w:snapToGrid/>
        <w:spacing w:line="360" w:lineRule="auto"/>
        <w:ind w:right="0" w:firstLine="482" w:firstLineChars="200"/>
        <w:jc w:val="center"/>
        <w:textAlignment w:val="baseline"/>
        <w:rPr>
          <w:rFonts w:hint="eastAsia" w:ascii="宋体" w:hAnsi="宋体" w:eastAsia="宋体" w:cs="宋体"/>
          <w:b/>
          <w:sz w:val="24"/>
          <w:szCs w:val="24"/>
        </w:rPr>
      </w:pPr>
    </w:p>
    <w:p>
      <w:pPr>
        <w:pStyle w:val="5"/>
        <w:pageBreakBefore w:val="0"/>
        <w:widowControl/>
        <w:tabs>
          <w:tab w:val="left" w:pos="420"/>
        </w:tabs>
        <w:kinsoku w:val="0"/>
        <w:wordWrap/>
        <w:overflowPunct/>
        <w:topLinePunct w:val="0"/>
        <w:autoSpaceDE w:val="0"/>
        <w:autoSpaceDN w:val="0"/>
        <w:bidi w:val="0"/>
        <w:adjustRightInd/>
        <w:snapToGrid/>
        <w:spacing w:beforeLines="0" w:afterLines="0" w:line="360" w:lineRule="auto"/>
        <w:ind w:firstLine="562" w:firstLineChars="200"/>
        <w:jc w:val="both"/>
        <w:textAlignment w:val="baseline"/>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（二）生态系统本底分析</w:t>
      </w:r>
    </w:p>
    <w:p>
      <w:pPr>
        <w:pStyle w:val="6"/>
        <w:pageBreakBefore w:val="0"/>
        <w:widowControl/>
        <w:kinsoku w:val="0"/>
        <w:wordWrap/>
        <w:overflowPunct/>
        <w:topLinePunct w:val="0"/>
        <w:autoSpaceDE w:val="0"/>
        <w:autoSpaceDN w:val="0"/>
        <w:bidi w:val="0"/>
        <w:adjustRightInd/>
        <w:snapToGrid/>
        <w:spacing w:before="0" w:beforeLines="0" w:after="0" w:afterLines="0" w:line="360" w:lineRule="auto"/>
        <w:ind w:firstLine="562"/>
        <w:jc w:val="both"/>
        <w:textAlignment w:val="baseline"/>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bCs w:val="0"/>
          <w:snapToGrid w:val="0"/>
          <w:color w:val="000000"/>
          <w:spacing w:val="-12"/>
          <w:kern w:val="0"/>
          <w:sz w:val="28"/>
          <w:szCs w:val="28"/>
          <w:lang w:val="en-US" w:eastAsia="zh-CN" w:bidi="ar-SA"/>
        </w:rPr>
        <w:t>1、生态脆弱性分析</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考虑到师宗县生态环境的主要威胁来自于水土流失、石漠化、矿山生态环境破坏和动植物栖息地威胁情况，并根据相关评估指标的可获得性，本次评估参考省级评价体系，最终选择水土流失、石漠化、矿山生态环境、生物多样性保护敏感性评价师宗县的生态系统脆弱性。</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[生态脆弱性]=Max([水土流失脆弱性],[石漠化脆弱性]，[生物多样性维护脆弱性]，[矿山脆弱性])</w:t>
      </w:r>
    </w:p>
    <w:p>
      <w:pPr>
        <w:spacing w:line="360" w:lineRule="auto"/>
        <w:ind w:firstLine="560"/>
        <w:jc w:val="both"/>
        <w:outlineLvl w:val="9"/>
        <w:rPr>
          <w:rFonts w:hint="default"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取水土流失、石漠化、生物多样性维护、矿山生态环境中脆弱性最高的等级，作为生态脆弱性等级，划分为极脆弱、脆弱及一般三个等级。通过ArcGIS进行图层叠加分析可得生态脆弱性评价图，见图4-2。评价结果见表4-2。</w:t>
      </w:r>
    </w:p>
    <w:p>
      <w:pPr>
        <w:spacing w:line="360" w:lineRule="auto"/>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drawing>
          <wp:inline distT="0" distB="0" distL="114300" distR="114300">
            <wp:extent cx="5499100" cy="3616960"/>
            <wp:effectExtent l="0" t="0" r="0" b="2540"/>
            <wp:docPr id="7" name="图片 7" descr="2-2-生态脆弱性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2-生态脆弱性分布图"/>
                    <pic:cNvPicPr>
                      <a:picLocks noChangeAspect="1"/>
                    </pic:cNvPicPr>
                  </pic:nvPicPr>
                  <pic:blipFill>
                    <a:blip r:embed="rId11"/>
                    <a:srcRect l="6397" t="9310" r="6431" b="9658"/>
                    <a:stretch>
                      <a:fillRect/>
                    </a:stretch>
                  </pic:blipFill>
                  <pic:spPr>
                    <a:xfrm>
                      <a:off x="0" y="0"/>
                      <a:ext cx="5499100" cy="3616960"/>
                    </a:xfrm>
                    <a:prstGeom prst="rect">
                      <a:avLst/>
                    </a:prstGeom>
                  </pic:spPr>
                </pic:pic>
              </a:graphicData>
            </a:graphic>
          </wp:inline>
        </w:drawing>
      </w:r>
    </w:p>
    <w:p>
      <w:pPr>
        <w:spacing w:line="240" w:lineRule="auto"/>
        <w:ind w:firstLine="1843" w:firstLineChars="765"/>
        <w:jc w:val="both"/>
        <w:outlineLvl w:val="9"/>
        <w:rPr>
          <w:rFonts w:hint="eastAsia" w:ascii="宋体" w:hAnsi="宋体" w:eastAsia="宋体" w:cs="宋体"/>
          <w:b/>
          <w:sz w:val="24"/>
          <w:szCs w:val="24"/>
          <w:lang w:bidi="ar"/>
        </w:rPr>
      </w:pPr>
      <w:r>
        <w:rPr>
          <w:rFonts w:hint="eastAsia" w:ascii="宋体" w:hAnsi="宋体" w:eastAsia="宋体" w:cs="宋体"/>
          <w:b/>
          <w:kern w:val="0"/>
          <w:sz w:val="24"/>
          <w:szCs w:val="24"/>
          <w:lang w:bidi="ar"/>
        </w:rPr>
        <w:t>图4-</w:t>
      </w:r>
      <w:r>
        <w:rPr>
          <w:rFonts w:hint="eastAsia" w:ascii="宋体" w:hAnsi="宋体" w:eastAsia="宋体" w:cs="宋体"/>
          <w:b/>
          <w:kern w:val="0"/>
          <w:sz w:val="24"/>
          <w:szCs w:val="24"/>
          <w:lang w:val="en-US" w:eastAsia="zh-CN" w:bidi="ar"/>
        </w:rPr>
        <w:t xml:space="preserve">2  </w:t>
      </w:r>
      <w:r>
        <w:rPr>
          <w:rFonts w:hint="eastAsia" w:ascii="宋体" w:hAnsi="宋体" w:eastAsia="宋体" w:cs="宋体"/>
          <w:b/>
          <w:kern w:val="0"/>
          <w:sz w:val="24"/>
          <w:szCs w:val="24"/>
          <w:lang w:bidi="ar"/>
        </w:rPr>
        <w:t xml:space="preserve"> </w:t>
      </w:r>
      <w:r>
        <w:rPr>
          <w:rFonts w:hint="eastAsia" w:ascii="宋体" w:hAnsi="宋体" w:eastAsia="宋体" w:cs="宋体"/>
          <w:b/>
          <w:kern w:val="0"/>
          <w:sz w:val="24"/>
          <w:szCs w:val="24"/>
          <w:lang w:val="en-US" w:eastAsia="zh-CN" w:bidi="ar"/>
        </w:rPr>
        <w:t>师宗</w:t>
      </w:r>
      <w:r>
        <w:rPr>
          <w:rFonts w:hint="eastAsia" w:ascii="宋体" w:hAnsi="宋体" w:eastAsia="宋体" w:cs="宋体"/>
          <w:b/>
          <w:kern w:val="0"/>
          <w:sz w:val="24"/>
          <w:szCs w:val="24"/>
          <w:lang w:bidi="ar"/>
        </w:rPr>
        <w:t>县</w:t>
      </w:r>
      <w:r>
        <w:rPr>
          <w:rFonts w:hint="eastAsia" w:ascii="宋体" w:hAnsi="宋体" w:eastAsia="宋体" w:cs="宋体"/>
          <w:b/>
          <w:kern w:val="0"/>
          <w:sz w:val="24"/>
          <w:szCs w:val="24"/>
          <w:lang w:val="en-US" w:eastAsia="zh-CN" w:bidi="ar"/>
        </w:rPr>
        <w:t>生态</w:t>
      </w:r>
      <w:r>
        <w:rPr>
          <w:rFonts w:hint="eastAsia" w:ascii="宋体" w:hAnsi="宋体" w:eastAsia="宋体" w:cs="宋体"/>
          <w:b/>
          <w:kern w:val="0"/>
          <w:sz w:val="24"/>
          <w:szCs w:val="24"/>
          <w:lang w:bidi="ar"/>
        </w:rPr>
        <w:t>脆弱性</w:t>
      </w:r>
      <w:r>
        <w:rPr>
          <w:rFonts w:hint="eastAsia" w:ascii="宋体" w:hAnsi="宋体" w:eastAsia="宋体" w:cs="宋体"/>
          <w:b/>
          <w:kern w:val="0"/>
          <w:sz w:val="24"/>
          <w:szCs w:val="24"/>
          <w:lang w:val="en-US" w:eastAsia="zh-CN" w:bidi="ar"/>
        </w:rPr>
        <w:t>评价</w:t>
      </w:r>
      <w:r>
        <w:rPr>
          <w:rFonts w:hint="eastAsia" w:ascii="宋体" w:hAnsi="宋体" w:eastAsia="宋体" w:cs="宋体"/>
          <w:b/>
          <w:kern w:val="0"/>
          <w:sz w:val="24"/>
          <w:szCs w:val="24"/>
          <w:lang w:bidi="ar"/>
        </w:rPr>
        <w:t>图</w:t>
      </w:r>
    </w:p>
    <w:p>
      <w:pPr>
        <w:spacing w:line="240" w:lineRule="auto"/>
        <w:ind w:left="1287"/>
        <w:jc w:val="both"/>
        <w:rPr>
          <w:rFonts w:hint="eastAsia" w:ascii="宋体" w:hAnsi="宋体" w:eastAsia="宋体" w:cs="宋体"/>
          <w:b/>
          <w:bCs/>
          <w:color w:val="auto"/>
          <w:spacing w:val="-3"/>
          <w:sz w:val="28"/>
          <w:szCs w:val="28"/>
        </w:rPr>
      </w:pPr>
    </w:p>
    <w:p>
      <w:pPr>
        <w:spacing w:line="240" w:lineRule="auto"/>
        <w:ind w:left="1287"/>
        <w:jc w:val="both"/>
        <w:rPr>
          <w:rFonts w:hint="eastAsia" w:ascii="宋体" w:hAnsi="宋体" w:eastAsia="宋体" w:cs="宋体"/>
          <w:b/>
          <w:bCs/>
          <w:color w:val="auto"/>
          <w:spacing w:val="-3"/>
          <w:sz w:val="24"/>
          <w:szCs w:val="24"/>
        </w:rPr>
      </w:pPr>
    </w:p>
    <w:p>
      <w:pPr>
        <w:spacing w:line="240" w:lineRule="auto"/>
        <w:ind w:left="1287"/>
        <w:jc w:val="both"/>
        <w:rPr>
          <w:rFonts w:hint="eastAsia" w:ascii="宋体" w:hAnsi="宋体" w:eastAsia="宋体" w:cs="宋体"/>
          <w:b/>
          <w:bCs/>
          <w:color w:val="auto"/>
          <w:spacing w:val="-3"/>
          <w:sz w:val="24"/>
          <w:szCs w:val="24"/>
        </w:rPr>
      </w:pPr>
    </w:p>
    <w:p>
      <w:pPr>
        <w:spacing w:line="240" w:lineRule="auto"/>
        <w:ind w:left="1287"/>
        <w:jc w:val="both"/>
        <w:rPr>
          <w:rFonts w:hint="eastAsia" w:ascii="宋体" w:hAnsi="宋体" w:eastAsia="宋体" w:cs="宋体"/>
          <w:b/>
          <w:bCs/>
          <w:color w:val="auto"/>
          <w:spacing w:val="-4"/>
          <w:sz w:val="24"/>
          <w:szCs w:val="24"/>
        </w:rPr>
      </w:pPr>
      <w:r>
        <w:rPr>
          <w:rFonts w:hint="eastAsia" w:ascii="宋体" w:hAnsi="宋体" w:eastAsia="宋体" w:cs="宋体"/>
          <w:b/>
          <w:bCs/>
          <w:color w:val="auto"/>
          <w:spacing w:val="-3"/>
          <w:sz w:val="24"/>
          <w:szCs w:val="24"/>
        </w:rPr>
        <w:t>表 4-</w:t>
      </w:r>
      <w:r>
        <w:rPr>
          <w:rFonts w:hint="eastAsia" w:ascii="宋体" w:hAnsi="宋体" w:eastAsia="宋体" w:cs="宋体"/>
          <w:b/>
          <w:bCs/>
          <w:color w:val="auto"/>
          <w:spacing w:val="-3"/>
          <w:sz w:val="24"/>
          <w:szCs w:val="24"/>
          <w:lang w:val="en-US" w:eastAsia="zh-CN"/>
        </w:rPr>
        <w:t>2</w:t>
      </w:r>
      <w:r>
        <w:rPr>
          <w:rFonts w:hint="eastAsia" w:ascii="宋体" w:hAnsi="宋体" w:eastAsia="宋体" w:cs="宋体"/>
          <w:b/>
          <w:bCs/>
          <w:color w:val="auto"/>
          <w:spacing w:val="22"/>
          <w:sz w:val="24"/>
          <w:szCs w:val="24"/>
        </w:rPr>
        <w:t xml:space="preserve">   </w:t>
      </w:r>
      <w:r>
        <w:rPr>
          <w:rFonts w:hint="eastAsia" w:ascii="宋体" w:hAnsi="宋体" w:eastAsia="宋体" w:cs="宋体"/>
          <w:b/>
          <w:bCs/>
          <w:color w:val="auto"/>
          <w:spacing w:val="-3"/>
          <w:sz w:val="24"/>
          <w:szCs w:val="24"/>
          <w:lang w:val="en-US" w:eastAsia="zh-CN"/>
        </w:rPr>
        <w:t>师宗县</w:t>
      </w:r>
      <w:r>
        <w:rPr>
          <w:rFonts w:hint="eastAsia" w:ascii="宋体" w:hAnsi="宋体" w:eastAsia="宋体" w:cs="宋体"/>
          <w:b/>
          <w:bCs/>
          <w:color w:val="auto"/>
          <w:spacing w:val="-3"/>
          <w:sz w:val="24"/>
          <w:szCs w:val="24"/>
        </w:rPr>
        <w:t>生态系统</w:t>
      </w:r>
      <w:r>
        <w:rPr>
          <w:rFonts w:hint="eastAsia" w:ascii="宋体" w:hAnsi="宋体" w:eastAsia="宋体" w:cs="宋体"/>
          <w:b/>
          <w:bCs/>
          <w:i w:val="0"/>
          <w:iCs w:val="0"/>
          <w:snapToGrid w:val="0"/>
          <w:color w:val="auto"/>
          <w:kern w:val="0"/>
          <w:sz w:val="24"/>
          <w:szCs w:val="24"/>
          <w:u w:val="none"/>
          <w:lang w:val="en-US" w:eastAsia="zh-CN" w:bidi="ar"/>
        </w:rPr>
        <w:t>脆弱性</w:t>
      </w:r>
      <w:r>
        <w:rPr>
          <w:rFonts w:hint="eastAsia" w:ascii="宋体" w:hAnsi="宋体" w:eastAsia="宋体" w:cs="宋体"/>
          <w:b/>
          <w:bCs/>
          <w:color w:val="auto"/>
          <w:spacing w:val="-3"/>
          <w:sz w:val="24"/>
          <w:szCs w:val="24"/>
        </w:rPr>
        <w:t>综合</w:t>
      </w:r>
      <w:r>
        <w:rPr>
          <w:rFonts w:hint="eastAsia" w:ascii="宋体" w:hAnsi="宋体" w:eastAsia="宋体" w:cs="宋体"/>
          <w:b/>
          <w:bCs/>
          <w:color w:val="auto"/>
          <w:spacing w:val="-4"/>
          <w:sz w:val="24"/>
          <w:szCs w:val="24"/>
        </w:rPr>
        <w:t>评价结果表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579"/>
        <w:gridCol w:w="2448"/>
        <w:gridCol w:w="3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508"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snapToGrid w:val="0"/>
                <w:color w:val="auto"/>
                <w:kern w:val="0"/>
                <w:sz w:val="21"/>
                <w:szCs w:val="21"/>
                <w:u w:val="none"/>
                <w:lang w:val="en-US" w:eastAsia="zh-CN" w:bidi="ar"/>
              </w:rPr>
              <w:t>脆弱性等级</w:t>
            </w:r>
          </w:p>
        </w:tc>
        <w:tc>
          <w:tcPr>
            <w:tcW w:w="143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snapToGrid w:val="0"/>
                <w:color w:val="auto"/>
                <w:kern w:val="0"/>
                <w:sz w:val="21"/>
                <w:szCs w:val="21"/>
                <w:u w:val="none"/>
                <w:lang w:val="en-US" w:eastAsia="zh-CN" w:bidi="ar"/>
              </w:rPr>
              <w:t>面积（公顷）</w:t>
            </w:r>
          </w:p>
        </w:tc>
        <w:tc>
          <w:tcPr>
            <w:tcW w:w="2060"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snapToGrid w:val="0"/>
                <w:color w:val="auto"/>
                <w:kern w:val="0"/>
                <w:sz w:val="21"/>
                <w:szCs w:val="21"/>
                <w:u w:val="none"/>
                <w:lang w:val="en-US" w:eastAsia="zh-CN" w:bidi="ar"/>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5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极脆弱区</w:t>
            </w:r>
          </w:p>
        </w:tc>
        <w:tc>
          <w:tcPr>
            <w:tcW w:w="1431"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000000"/>
                <w:kern w:val="0"/>
                <w:sz w:val="21"/>
                <w:szCs w:val="21"/>
                <w:u w:val="none"/>
                <w:lang w:val="en-US" w:eastAsia="zh-CN" w:bidi="ar"/>
              </w:rPr>
              <w:t>25313.56</w:t>
            </w:r>
          </w:p>
        </w:tc>
        <w:tc>
          <w:tcPr>
            <w:tcW w:w="206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000000"/>
                <w:kern w:val="0"/>
                <w:sz w:val="21"/>
                <w:szCs w:val="21"/>
                <w:u w:val="none"/>
                <w:lang w:val="en-US" w:eastAsia="zh-CN" w:bidi="ar"/>
              </w:rPr>
              <w:t>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5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auto"/>
                <w:kern w:val="0"/>
                <w:sz w:val="21"/>
                <w:szCs w:val="21"/>
                <w:u w:val="none"/>
                <w:lang w:val="en-US" w:eastAsia="zh-CN" w:bidi="ar"/>
              </w:rPr>
              <w:t>脆弱区</w:t>
            </w:r>
          </w:p>
        </w:tc>
        <w:tc>
          <w:tcPr>
            <w:tcW w:w="1431"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000000"/>
                <w:kern w:val="0"/>
                <w:sz w:val="21"/>
                <w:szCs w:val="21"/>
                <w:u w:val="none"/>
                <w:lang w:val="en-US" w:eastAsia="zh-CN" w:bidi="ar"/>
              </w:rPr>
              <w:t>167069.47</w:t>
            </w:r>
          </w:p>
        </w:tc>
        <w:tc>
          <w:tcPr>
            <w:tcW w:w="206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000000"/>
                <w:kern w:val="0"/>
                <w:sz w:val="21"/>
                <w:szCs w:val="21"/>
                <w:u w:val="none"/>
                <w:lang w:val="en-US" w:eastAsia="zh-CN" w:bidi="ar"/>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5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auto"/>
                <w:kern w:val="0"/>
                <w:sz w:val="21"/>
                <w:szCs w:val="21"/>
                <w:u w:val="none"/>
                <w:lang w:val="en-US" w:eastAsia="zh-CN" w:bidi="ar"/>
              </w:rPr>
              <w:t>一般脆弱区</w:t>
            </w:r>
          </w:p>
        </w:tc>
        <w:tc>
          <w:tcPr>
            <w:tcW w:w="1431"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000000"/>
                <w:kern w:val="0"/>
                <w:sz w:val="21"/>
                <w:szCs w:val="21"/>
                <w:u w:val="none"/>
                <w:lang w:val="en-US" w:eastAsia="zh-CN" w:bidi="ar"/>
              </w:rPr>
              <w:t>86066.08</w:t>
            </w:r>
          </w:p>
        </w:tc>
        <w:tc>
          <w:tcPr>
            <w:tcW w:w="206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000000"/>
                <w:kern w:val="0"/>
                <w:sz w:val="21"/>
                <w:szCs w:val="21"/>
                <w:u w:val="none"/>
                <w:lang w:val="en-US" w:eastAsia="zh-CN" w:bidi="ar"/>
              </w:rPr>
              <w:t>30.91%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5" w:hRule="atLeast"/>
        </w:trPr>
        <w:tc>
          <w:tcPr>
            <w:tcW w:w="15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合计</w:t>
            </w:r>
          </w:p>
        </w:tc>
        <w:tc>
          <w:tcPr>
            <w:tcW w:w="143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278449.11</w:t>
            </w:r>
          </w:p>
        </w:tc>
        <w:tc>
          <w:tcPr>
            <w:tcW w:w="206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000000"/>
                <w:kern w:val="0"/>
                <w:sz w:val="21"/>
                <w:szCs w:val="21"/>
                <w:u w:val="none"/>
                <w:lang w:val="en-US" w:eastAsia="zh-CN" w:bidi="ar"/>
              </w:rPr>
              <w:t>100%</w:t>
            </w:r>
          </w:p>
        </w:tc>
      </w:tr>
    </w:tbl>
    <w:p>
      <w:pPr>
        <w:pStyle w:val="6"/>
        <w:pageBreakBefore w:val="0"/>
        <w:widowControl/>
        <w:kinsoku w:val="0"/>
        <w:wordWrap/>
        <w:overflowPunct/>
        <w:topLinePunct w:val="0"/>
        <w:autoSpaceDE w:val="0"/>
        <w:autoSpaceDN w:val="0"/>
        <w:bidi w:val="0"/>
        <w:adjustRightInd/>
        <w:snapToGrid/>
        <w:spacing w:before="0" w:beforeLines="0" w:after="0" w:afterLines="0" w:line="360" w:lineRule="auto"/>
        <w:ind w:firstLine="562"/>
        <w:jc w:val="both"/>
        <w:textAlignment w:val="baseline"/>
        <w:rPr>
          <w:rFonts w:hint="eastAsia" w:ascii="宋体" w:hAnsi="宋体" w:eastAsia="宋体" w:cs="宋体"/>
          <w:b/>
          <w:bCs w:val="0"/>
          <w:spacing w:val="8"/>
          <w:position w:val="1"/>
          <w:sz w:val="28"/>
          <w:szCs w:val="28"/>
          <w:lang w:val="en-US" w:eastAsia="zh-CN"/>
        </w:rPr>
      </w:pPr>
      <w:r>
        <w:rPr>
          <w:rFonts w:hint="eastAsia" w:ascii="宋体" w:hAnsi="宋体" w:eastAsia="宋体" w:cs="宋体"/>
          <w:b/>
          <w:bCs w:val="0"/>
          <w:snapToGrid w:val="0"/>
          <w:color w:val="000000"/>
          <w:spacing w:val="-12"/>
          <w:kern w:val="0"/>
          <w:sz w:val="28"/>
          <w:szCs w:val="28"/>
          <w:lang w:val="en-US" w:eastAsia="zh-CN" w:bidi="ar-SA"/>
        </w:rPr>
        <w:t>2、生态系统综合性评价</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62" w:firstLineChars="200"/>
        <w:jc w:val="both"/>
        <w:textAlignment w:val="baseline"/>
        <w:rPr>
          <w:rFonts w:hint="eastAsia" w:ascii="宋体" w:hAnsi="宋体" w:eastAsia="宋体" w:cs="宋体"/>
          <w:snapToGrid/>
          <w:color w:val="auto"/>
          <w:kern w:val="2"/>
          <w:sz w:val="28"/>
          <w:szCs w:val="28"/>
          <w:lang w:val="en-US" w:eastAsia="zh-CN" w:bidi="ar-SA"/>
        </w:rPr>
      </w:pPr>
      <w:r>
        <w:rPr>
          <w:rFonts w:hint="eastAsia" w:ascii="宋体" w:hAnsi="宋体" w:eastAsia="宋体" w:cs="宋体"/>
          <w:b/>
          <w:bCs/>
          <w:snapToGrid/>
          <w:color w:val="auto"/>
          <w:kern w:val="2"/>
          <w:sz w:val="28"/>
          <w:szCs w:val="28"/>
          <w:lang w:val="en-US" w:eastAsia="zh-CN" w:bidi="ar-SA"/>
        </w:rPr>
        <w:t>（1）生态系统服务功能综合评价</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通过ArcGIS进行图层叠加分析可得，生态系统服务功能极重要的区域主要分布在南部龙庆乡、五龙乡和高良乡的师宗南丹山风景名胜区、丁累大箐自然保护区、北部丹凤湿地公园自然保护区及周边区域，总面积156180.22公顷，占全县国土总面积的56.09%；生态系统服务功能重要区总面积16504.26公顷，占全县国土总面积的5.93%，零星分布于全县各个乡镇街道；生态系统服务功能一般区总面积105764.63公顷，占全县国土总面积的37.98%，零星分布于全县各个乡镇街道。详见图4-3、表4-3。</w:t>
      </w:r>
    </w:p>
    <w:p>
      <w:pPr>
        <w:spacing w:line="360" w:lineRule="auto"/>
        <w:jc w:val="both"/>
        <w:rPr>
          <w:rFonts w:hint="eastAsia" w:ascii="宋体" w:hAnsi="宋体" w:eastAsia="宋体" w:cs="宋体"/>
          <w:snapToGrid/>
          <w:color w:val="auto"/>
          <w:kern w:val="2"/>
          <w:sz w:val="28"/>
          <w:szCs w:val="28"/>
          <w:lang w:val="en-US" w:eastAsia="zh-CN" w:bidi="ar-SA"/>
        </w:rPr>
      </w:pPr>
      <w:r>
        <w:rPr>
          <w:rFonts w:hint="eastAsia" w:ascii="宋体" w:hAnsi="宋体" w:eastAsia="宋体" w:cs="宋体"/>
          <w:snapToGrid/>
          <w:color w:val="auto"/>
          <w:kern w:val="2"/>
          <w:sz w:val="28"/>
          <w:szCs w:val="28"/>
          <w:lang w:val="en-US" w:eastAsia="zh-CN" w:bidi="ar-SA"/>
        </w:rPr>
        <w:drawing>
          <wp:inline distT="0" distB="0" distL="114300" distR="114300">
            <wp:extent cx="5320030" cy="3352165"/>
            <wp:effectExtent l="0" t="0" r="1270" b="635"/>
            <wp:docPr id="9" name="图片 9" descr="2-1-生态系统服务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1-生态系统服务功能"/>
                    <pic:cNvPicPr>
                      <a:picLocks noChangeAspect="1"/>
                    </pic:cNvPicPr>
                  </pic:nvPicPr>
                  <pic:blipFill>
                    <a:blip r:embed="rId12"/>
                    <a:srcRect l="6531" t="9183" r="6688" b="9516"/>
                    <a:stretch>
                      <a:fillRect/>
                    </a:stretch>
                  </pic:blipFill>
                  <pic:spPr>
                    <a:xfrm>
                      <a:off x="0" y="0"/>
                      <a:ext cx="5320030" cy="335216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snapToGrid/>
        <w:spacing w:line="240" w:lineRule="auto"/>
        <w:ind w:left="1117" w:leftChars="532" w:right="0" w:firstLine="482" w:firstLineChars="200"/>
        <w:jc w:val="both"/>
        <w:textAlignment w:val="baseline"/>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snapToGrid/>
          <w:color w:val="auto"/>
          <w:kern w:val="2"/>
          <w:sz w:val="24"/>
          <w:szCs w:val="24"/>
          <w:lang w:val="en-US" w:eastAsia="zh-CN" w:bidi="ar-SA"/>
        </w:rPr>
        <w:t>图4-3   师宗县</w:t>
      </w:r>
      <w:r>
        <w:rPr>
          <w:rFonts w:hint="eastAsia" w:ascii="宋体" w:hAnsi="宋体" w:eastAsia="宋体" w:cs="宋体"/>
          <w:b/>
          <w:bCs/>
          <w:color w:val="000000"/>
          <w:kern w:val="0"/>
          <w:sz w:val="24"/>
          <w:szCs w:val="24"/>
          <w:lang w:val="en-US" w:eastAsia="zh-CN" w:bidi="ar"/>
        </w:rPr>
        <w:t>生态系统服务功能重要性评价图</w:t>
      </w:r>
      <w:r>
        <w:rPr>
          <w:rFonts w:hint="eastAsia" w:ascii="宋体" w:hAnsi="宋体" w:eastAsia="宋体" w:cs="宋体"/>
          <w:b/>
          <w:bCs/>
          <w:color w:val="000000"/>
          <w:kern w:val="0"/>
          <w:sz w:val="28"/>
          <w:szCs w:val="28"/>
          <w:lang w:val="en-US" w:eastAsia="zh-CN" w:bidi="ar"/>
        </w:rPr>
        <w:t xml:space="preserve"> </w:t>
      </w:r>
    </w:p>
    <w:p>
      <w:pPr>
        <w:keepNext w:val="0"/>
        <w:keepLines w:val="0"/>
        <w:pageBreakBefore w:val="0"/>
        <w:widowControl/>
        <w:kinsoku w:val="0"/>
        <w:wordWrap/>
        <w:overflowPunct/>
        <w:topLinePunct w:val="0"/>
        <w:autoSpaceDE w:val="0"/>
        <w:autoSpaceDN w:val="0"/>
        <w:bidi w:val="0"/>
        <w:adjustRightInd/>
        <w:snapToGrid/>
        <w:spacing w:line="240" w:lineRule="auto"/>
        <w:ind w:left="1117" w:leftChars="532" w:right="0" w:firstLine="562" w:firstLineChars="200"/>
        <w:jc w:val="both"/>
        <w:textAlignment w:val="baseline"/>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 xml:space="preserve">   </w:t>
      </w:r>
    </w:p>
    <w:tbl>
      <w:tblPr>
        <w:tblStyle w:val="20"/>
        <w:tblW w:w="859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40"/>
        <w:gridCol w:w="2580"/>
        <w:gridCol w:w="34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15" w:hRule="atLeast"/>
        </w:trPr>
        <w:tc>
          <w:tcPr>
            <w:tcW w:w="8590" w:type="dxa"/>
            <w:gridSpan w:val="3"/>
            <w:tcBorders>
              <w:top w:val="nil"/>
              <w:left w:val="nil"/>
              <w:bottom w:val="single" w:color="auto" w:sz="4" w:space="0"/>
              <w:right w:val="nil"/>
            </w:tcBorders>
            <w:shd w:val="clear" w:color="auto" w:fill="auto"/>
            <w:noWrap/>
            <w:vAlign w:val="center"/>
          </w:tcPr>
          <w:p>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8"/>
                <w:szCs w:val="28"/>
                <w:u w:val="none"/>
              </w:rPr>
            </w:pPr>
            <w:r>
              <w:rPr>
                <w:rFonts w:hint="eastAsia" w:ascii="宋体" w:hAnsi="宋体" w:eastAsia="宋体" w:cs="宋体"/>
                <w:b/>
                <w:bCs/>
                <w:i w:val="0"/>
                <w:iCs w:val="0"/>
                <w:snapToGrid w:val="0"/>
                <w:color w:val="auto"/>
                <w:kern w:val="0"/>
                <w:sz w:val="24"/>
                <w:szCs w:val="24"/>
                <w:u w:val="none"/>
                <w:lang w:val="en-US" w:eastAsia="zh-CN" w:bidi="ar"/>
              </w:rPr>
              <w:t>表4-3       师宗县生态系统服务功能评价结果表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snapToGrid w:val="0"/>
                <w:color w:val="auto"/>
                <w:kern w:val="0"/>
                <w:sz w:val="21"/>
                <w:szCs w:val="21"/>
                <w:u w:val="none"/>
                <w:lang w:val="en-US" w:eastAsia="zh-CN" w:bidi="ar"/>
              </w:rPr>
              <w:t>重要性等级</w:t>
            </w:r>
          </w:p>
        </w:tc>
        <w:tc>
          <w:tcPr>
            <w:tcW w:w="2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snapToGrid w:val="0"/>
                <w:color w:val="auto"/>
                <w:kern w:val="0"/>
                <w:sz w:val="21"/>
                <w:szCs w:val="21"/>
                <w:u w:val="none"/>
                <w:lang w:val="en-US" w:eastAsia="zh-CN" w:bidi="ar"/>
              </w:rPr>
              <w:t>面积（公顷）</w:t>
            </w:r>
          </w:p>
        </w:tc>
        <w:tc>
          <w:tcPr>
            <w:tcW w:w="34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snapToGrid w:val="0"/>
                <w:color w:val="auto"/>
                <w:kern w:val="0"/>
                <w:sz w:val="21"/>
                <w:szCs w:val="21"/>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一般重要性</w:t>
            </w:r>
          </w:p>
        </w:tc>
        <w:tc>
          <w:tcPr>
            <w:tcW w:w="2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auto"/>
                <w:kern w:val="0"/>
                <w:sz w:val="21"/>
                <w:szCs w:val="21"/>
                <w:u w:val="none"/>
                <w:lang w:val="en-US" w:eastAsia="zh-CN" w:bidi="ar"/>
              </w:rPr>
              <w:t>105764.63</w:t>
            </w:r>
          </w:p>
        </w:tc>
        <w:tc>
          <w:tcPr>
            <w:tcW w:w="34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37.98%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重要</w:t>
            </w:r>
          </w:p>
        </w:tc>
        <w:tc>
          <w:tcPr>
            <w:tcW w:w="2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auto"/>
                <w:kern w:val="0"/>
                <w:sz w:val="21"/>
                <w:szCs w:val="21"/>
                <w:u w:val="none"/>
                <w:lang w:val="en-US" w:eastAsia="zh-CN" w:bidi="ar"/>
              </w:rPr>
              <w:t>16504.26</w:t>
            </w:r>
          </w:p>
        </w:tc>
        <w:tc>
          <w:tcPr>
            <w:tcW w:w="34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5.93%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极重要</w:t>
            </w:r>
          </w:p>
        </w:tc>
        <w:tc>
          <w:tcPr>
            <w:tcW w:w="2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auto"/>
                <w:kern w:val="0"/>
                <w:sz w:val="21"/>
                <w:szCs w:val="21"/>
                <w:u w:val="none"/>
                <w:lang w:val="en-US" w:eastAsia="zh-CN" w:bidi="ar"/>
              </w:rPr>
              <w:t>156180.22</w:t>
            </w:r>
          </w:p>
        </w:tc>
        <w:tc>
          <w:tcPr>
            <w:tcW w:w="34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56.09%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合计</w:t>
            </w:r>
          </w:p>
        </w:tc>
        <w:tc>
          <w:tcPr>
            <w:tcW w:w="2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278449.11</w:t>
            </w:r>
          </w:p>
        </w:tc>
        <w:tc>
          <w:tcPr>
            <w:tcW w:w="34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100%</w:t>
            </w:r>
          </w:p>
        </w:tc>
      </w:tr>
    </w:tbl>
    <w:p>
      <w:pPr>
        <w:keepNext w:val="0"/>
        <w:keepLines w:val="0"/>
        <w:pageBreakBefore w:val="0"/>
        <w:widowControl/>
        <w:kinsoku w:val="0"/>
        <w:wordWrap/>
        <w:overflowPunct/>
        <w:topLinePunct w:val="0"/>
        <w:autoSpaceDE w:val="0"/>
        <w:autoSpaceDN w:val="0"/>
        <w:bidi w:val="0"/>
        <w:adjustRightInd/>
        <w:snapToGrid/>
        <w:spacing w:line="360" w:lineRule="auto"/>
        <w:ind w:right="0"/>
        <w:jc w:val="both"/>
        <w:textAlignment w:val="baseline"/>
        <w:rPr>
          <w:rFonts w:hint="eastAsia" w:ascii="宋体" w:hAnsi="宋体" w:eastAsia="宋体" w:cs="宋体"/>
          <w:snapToGrid/>
          <w:color w:val="auto"/>
          <w:kern w:val="2"/>
          <w:sz w:val="28"/>
          <w:szCs w:val="28"/>
          <w:lang w:val="en-US" w:eastAsia="zh-CN" w:bidi="ar-SA"/>
        </w:rPr>
      </w:pPr>
    </w:p>
    <w:p>
      <w:pPr>
        <w:keepNext w:val="0"/>
        <w:keepLines w:val="0"/>
        <w:pageBreakBefore w:val="0"/>
        <w:widowControl/>
        <w:kinsoku w:val="0"/>
        <w:wordWrap/>
        <w:overflowPunct/>
        <w:topLinePunct w:val="0"/>
        <w:autoSpaceDE w:val="0"/>
        <w:autoSpaceDN w:val="0"/>
        <w:bidi w:val="0"/>
        <w:adjustRightInd/>
        <w:snapToGrid/>
        <w:spacing w:line="360" w:lineRule="auto"/>
        <w:ind w:right="0" w:firstLine="562" w:firstLineChars="200"/>
        <w:jc w:val="both"/>
        <w:textAlignment w:val="baseline"/>
        <w:rPr>
          <w:rFonts w:hint="eastAsia" w:ascii="宋体" w:hAnsi="宋体" w:eastAsia="宋体" w:cs="宋体"/>
          <w:b/>
          <w:bCs/>
          <w:snapToGrid/>
          <w:color w:val="auto"/>
          <w:kern w:val="2"/>
          <w:sz w:val="28"/>
          <w:szCs w:val="28"/>
          <w:lang w:val="en-US" w:eastAsia="zh-CN" w:bidi="ar-SA"/>
        </w:rPr>
      </w:pPr>
      <w:r>
        <w:rPr>
          <w:rFonts w:hint="eastAsia" w:ascii="宋体" w:hAnsi="宋体" w:eastAsia="宋体" w:cs="宋体"/>
          <w:b/>
          <w:bCs/>
          <w:snapToGrid/>
          <w:color w:val="auto"/>
          <w:kern w:val="2"/>
          <w:sz w:val="28"/>
          <w:szCs w:val="28"/>
          <w:lang w:val="en-US" w:eastAsia="zh-CN" w:bidi="ar-SA"/>
        </w:rPr>
        <w:t>（2）生态保护重要性评价</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在ArcGIS中，叠加生态系统服务功能重要性评价结果、生态脆弱性评价结果，以及各类生态要素分布图层，取生态系统服务功能重要性</w:t>
      </w:r>
    </w:p>
    <w:p>
      <w:pPr>
        <w:spacing w:line="360" w:lineRule="auto"/>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和生态脆弱性评价结果的较高等级，作为生态保护重要性等级的结果。公式如下：</w:t>
      </w:r>
    </w:p>
    <w:p>
      <w:pPr>
        <w:spacing w:line="360" w:lineRule="auto"/>
        <w:ind w:firstLine="512" w:firstLineChars="20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[生态保护重要性等级]=Max([生态系统服务功能重要性]，[生态脆弱性])</w:t>
      </w:r>
    </w:p>
    <w:p>
      <w:pPr>
        <w:keepNext w:val="0"/>
        <w:keepLines w:val="0"/>
        <w:pageBreakBefore w:val="0"/>
        <w:widowControl/>
        <w:kinsoku w:val="0"/>
        <w:wordWrap/>
        <w:overflowPunct/>
        <w:topLinePunct w:val="0"/>
        <w:autoSpaceDE w:val="0"/>
        <w:autoSpaceDN w:val="0"/>
        <w:bidi w:val="0"/>
        <w:adjustRightInd/>
        <w:snapToGrid/>
        <w:spacing w:line="360" w:lineRule="auto"/>
        <w:ind w:right="0"/>
        <w:jc w:val="both"/>
        <w:textAlignment w:val="baseline"/>
        <w:rPr>
          <w:rFonts w:hint="eastAsia" w:ascii="宋体" w:hAnsi="宋体" w:eastAsia="宋体" w:cs="宋体"/>
          <w:snapToGrid/>
          <w:color w:val="auto"/>
          <w:kern w:val="2"/>
          <w:sz w:val="28"/>
          <w:szCs w:val="28"/>
          <w:lang w:val="en-US" w:eastAsia="zh-CN" w:bidi="ar-SA"/>
        </w:rPr>
      </w:pPr>
      <w:r>
        <w:rPr>
          <w:rFonts w:hint="eastAsia" w:ascii="宋体" w:hAnsi="宋体" w:eastAsia="宋体" w:cs="宋体"/>
          <w:snapToGrid/>
          <w:color w:val="auto"/>
          <w:kern w:val="2"/>
          <w:sz w:val="28"/>
          <w:szCs w:val="28"/>
          <w:lang w:val="en-US" w:eastAsia="zh-CN" w:bidi="ar-SA"/>
        </w:rPr>
        <w:drawing>
          <wp:inline distT="0" distB="0" distL="114300" distR="114300">
            <wp:extent cx="5346700" cy="3442335"/>
            <wp:effectExtent l="0" t="0" r="0" b="12065"/>
            <wp:docPr id="18" name="图片 18" descr="2-3-生态保护重要性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3-生态保护重要性分布图"/>
                    <pic:cNvPicPr>
                      <a:picLocks noChangeAspect="1"/>
                    </pic:cNvPicPr>
                  </pic:nvPicPr>
                  <pic:blipFill>
                    <a:blip r:embed="rId13"/>
                    <a:srcRect l="6700" t="9747" r="6554" b="9531"/>
                    <a:stretch>
                      <a:fillRect/>
                    </a:stretch>
                  </pic:blipFill>
                  <pic:spPr>
                    <a:xfrm>
                      <a:off x="0" y="0"/>
                      <a:ext cx="5346700" cy="3442335"/>
                    </a:xfrm>
                    <a:prstGeom prst="rect">
                      <a:avLst/>
                    </a:prstGeom>
                  </pic:spPr>
                </pic:pic>
              </a:graphicData>
            </a:graphic>
          </wp:inline>
        </w:drawing>
      </w:r>
    </w:p>
    <w:p>
      <w:pPr>
        <w:keepNext w:val="0"/>
        <w:keepLines w:val="0"/>
        <w:pageBreakBefore w:val="0"/>
        <w:widowControl/>
        <w:kinsoku w:val="0"/>
        <w:wordWrap/>
        <w:overflowPunct/>
        <w:topLinePunct w:val="0"/>
        <w:autoSpaceDE w:val="0"/>
        <w:autoSpaceDN w:val="0"/>
        <w:bidi w:val="0"/>
        <w:adjustRightInd/>
        <w:snapToGrid/>
        <w:spacing w:line="240" w:lineRule="auto"/>
        <w:ind w:right="0" w:firstLine="1928" w:firstLineChars="800"/>
        <w:jc w:val="both"/>
        <w:textAlignment w:val="baseline"/>
        <w:rPr>
          <w:rFonts w:hint="eastAsia" w:ascii="宋体" w:hAnsi="宋体" w:eastAsia="宋体" w:cs="宋体"/>
          <w:b/>
          <w:bCs/>
          <w:i w:val="0"/>
          <w:iCs w:val="0"/>
          <w:snapToGrid w:val="0"/>
          <w:color w:val="000000"/>
          <w:kern w:val="0"/>
          <w:sz w:val="24"/>
          <w:szCs w:val="24"/>
          <w:u w:val="none"/>
          <w:lang w:val="en-US" w:eastAsia="zh-CN" w:bidi="ar"/>
        </w:rPr>
      </w:pPr>
      <w:r>
        <w:rPr>
          <w:rFonts w:hint="eastAsia" w:ascii="宋体" w:hAnsi="宋体" w:eastAsia="宋体" w:cs="宋体"/>
          <w:b/>
          <w:bCs/>
          <w:i w:val="0"/>
          <w:iCs w:val="0"/>
          <w:snapToGrid w:val="0"/>
          <w:color w:val="000000"/>
          <w:kern w:val="0"/>
          <w:sz w:val="24"/>
          <w:szCs w:val="24"/>
          <w:u w:val="none"/>
          <w:lang w:val="en-US" w:eastAsia="zh-CN" w:bidi="ar"/>
        </w:rPr>
        <w:t>图4-4   师宗县生态保护重要性评价图</w:t>
      </w:r>
    </w:p>
    <w:p>
      <w:pPr>
        <w:spacing w:line="360" w:lineRule="auto"/>
        <w:ind w:firstLine="560"/>
        <w:jc w:val="both"/>
        <w:outlineLvl w:val="9"/>
        <w:rPr>
          <w:rFonts w:hint="eastAsia" w:ascii="宋体" w:hAnsi="宋体" w:eastAsia="宋体" w:cs="宋体"/>
          <w:b/>
          <w:bCs/>
          <w:i w:val="0"/>
          <w:iCs w:val="0"/>
          <w:snapToGrid w:val="0"/>
          <w:color w:val="000000"/>
          <w:kern w:val="0"/>
          <w:sz w:val="24"/>
          <w:szCs w:val="24"/>
          <w:u w:val="none"/>
          <w:lang w:val="en-US" w:eastAsia="zh-CN" w:bidi="ar"/>
        </w:rPr>
      </w:pPr>
      <w:r>
        <w:rPr>
          <w:rFonts w:hint="eastAsia" w:ascii="宋体" w:hAnsi="宋体" w:eastAsia="宋体" w:cs="宋体"/>
          <w:b w:val="0"/>
          <w:bCs w:val="0"/>
          <w:snapToGrid w:val="0"/>
          <w:color w:val="000000"/>
          <w:spacing w:val="-12"/>
          <w:kern w:val="0"/>
          <w:sz w:val="28"/>
          <w:szCs w:val="28"/>
          <w:lang w:val="en-US" w:eastAsia="zh-CN" w:bidi="ar-SA"/>
        </w:rPr>
        <w:t>生态保护极重要区域主要分布在南部龙庆乡、五龙乡、高良乡、漾月街道、丹凤街道和雄壁镇北部。包括师宗南丹山风景名胜区、丁累大箐自然保护区、丹凤湿地公园三个自然保护区，总面积180991.92公顷，占全县国土总面积的65%；生态保护重要区总面积55689.82公顷，占全县国土总面积的20%，零星分布于全县各个乡镇街道；生态保护重要性一般区总面积41767.37公顷，占全县国土总面积的15%，主要分布于县域中部。详见图4-4、表4-4。</w:t>
      </w:r>
    </w:p>
    <w:tbl>
      <w:tblPr>
        <w:tblStyle w:val="20"/>
        <w:tblW w:w="859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40"/>
        <w:gridCol w:w="2580"/>
        <w:gridCol w:w="34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8590" w:type="dxa"/>
            <w:gridSpan w:val="3"/>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snapToGrid w:val="0"/>
                <w:color w:val="auto"/>
                <w:kern w:val="0"/>
                <w:sz w:val="24"/>
                <w:szCs w:val="24"/>
                <w:u w:val="none"/>
                <w:lang w:val="en-US" w:eastAsia="zh-CN" w:bidi="ar"/>
              </w:rPr>
              <w:t>表4-4       师宗县生态保护重要性评价结果表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snapToGrid w:val="0"/>
                <w:color w:val="auto"/>
                <w:kern w:val="0"/>
                <w:sz w:val="21"/>
                <w:szCs w:val="21"/>
                <w:u w:val="none"/>
                <w:lang w:val="en-US" w:eastAsia="zh-CN" w:bidi="ar"/>
              </w:rPr>
              <w:t>重要性等级</w:t>
            </w:r>
          </w:p>
        </w:tc>
        <w:tc>
          <w:tcPr>
            <w:tcW w:w="2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snapToGrid w:val="0"/>
                <w:color w:val="auto"/>
                <w:kern w:val="0"/>
                <w:sz w:val="21"/>
                <w:szCs w:val="21"/>
                <w:u w:val="none"/>
                <w:lang w:val="en-US" w:eastAsia="zh-CN" w:bidi="ar"/>
              </w:rPr>
              <w:t>面积（公顷）</w:t>
            </w:r>
          </w:p>
        </w:tc>
        <w:tc>
          <w:tcPr>
            <w:tcW w:w="34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snapToGrid w:val="0"/>
                <w:color w:val="auto"/>
                <w:kern w:val="0"/>
                <w:sz w:val="21"/>
                <w:szCs w:val="21"/>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一般重要性</w:t>
            </w:r>
          </w:p>
        </w:tc>
        <w:tc>
          <w:tcPr>
            <w:tcW w:w="2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auto"/>
                <w:kern w:val="0"/>
                <w:sz w:val="21"/>
                <w:szCs w:val="21"/>
                <w:u w:val="none"/>
                <w:lang w:val="en-US" w:eastAsia="zh-CN" w:bidi="ar"/>
              </w:rPr>
              <w:t>41767.37</w:t>
            </w:r>
          </w:p>
        </w:tc>
        <w:tc>
          <w:tcPr>
            <w:tcW w:w="34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重要</w:t>
            </w:r>
          </w:p>
        </w:tc>
        <w:tc>
          <w:tcPr>
            <w:tcW w:w="2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auto"/>
                <w:kern w:val="0"/>
                <w:sz w:val="21"/>
                <w:szCs w:val="21"/>
                <w:u w:val="none"/>
                <w:lang w:val="en-US" w:eastAsia="zh-CN" w:bidi="ar"/>
              </w:rPr>
              <w:t>55689.82</w:t>
            </w:r>
          </w:p>
        </w:tc>
        <w:tc>
          <w:tcPr>
            <w:tcW w:w="34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极重要</w:t>
            </w:r>
          </w:p>
        </w:tc>
        <w:tc>
          <w:tcPr>
            <w:tcW w:w="2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snapToGrid w:val="0"/>
                <w:color w:val="auto"/>
                <w:kern w:val="0"/>
                <w:sz w:val="21"/>
                <w:szCs w:val="21"/>
                <w:u w:val="none"/>
                <w:lang w:val="en-US" w:eastAsia="zh-CN" w:bidi="ar"/>
              </w:rPr>
              <w:t>180991.92</w:t>
            </w:r>
          </w:p>
        </w:tc>
        <w:tc>
          <w:tcPr>
            <w:tcW w:w="34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5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合计</w:t>
            </w:r>
          </w:p>
        </w:tc>
        <w:tc>
          <w:tcPr>
            <w:tcW w:w="25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278449.11</w:t>
            </w:r>
          </w:p>
        </w:tc>
        <w:tc>
          <w:tcPr>
            <w:tcW w:w="34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snapToGrid w:val="0"/>
                <w:color w:val="auto"/>
                <w:kern w:val="0"/>
                <w:sz w:val="21"/>
                <w:szCs w:val="21"/>
                <w:u w:val="none"/>
                <w:lang w:val="en-US" w:eastAsia="zh-CN" w:bidi="ar"/>
              </w:rPr>
              <w:t>100%</w:t>
            </w:r>
          </w:p>
        </w:tc>
      </w:tr>
    </w:tbl>
    <w:p>
      <w:pPr>
        <w:spacing w:before="71" w:line="360" w:lineRule="auto"/>
        <w:ind w:left="2503"/>
        <w:jc w:val="both"/>
        <w:outlineLvl w:val="1"/>
        <w:rPr>
          <w:rFonts w:hint="eastAsia" w:ascii="宋体" w:hAnsi="宋体" w:eastAsia="宋体" w:cs="宋体"/>
          <w:b/>
          <w:bCs/>
          <w:sz w:val="30"/>
          <w:szCs w:val="30"/>
        </w:rPr>
      </w:pPr>
      <w:bookmarkStart w:id="23" w:name="_Toc5277"/>
      <w:r>
        <w:rPr>
          <w:rFonts w:hint="eastAsia" w:ascii="宋体" w:hAnsi="宋体" w:eastAsia="宋体" w:cs="宋体"/>
          <w:b/>
          <w:bCs/>
          <w:spacing w:val="7"/>
          <w:position w:val="1"/>
          <w:sz w:val="30"/>
          <w:szCs w:val="30"/>
        </w:rPr>
        <w:t>第二节 生态空间问题分析</w:t>
      </w:r>
      <w:bookmarkEnd w:id="23"/>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outlineLvl w:val="2"/>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一、矿山生态环境问题突出</w:t>
      </w:r>
    </w:p>
    <w:p>
      <w:pPr>
        <w:keepNext w:val="0"/>
        <w:keepLines w:val="0"/>
        <w:pageBreakBefore w:val="0"/>
        <w:widowControl/>
        <w:kinsoku w:val="0"/>
        <w:wordWrap/>
        <w:overflowPunct/>
        <w:topLinePunct w:val="0"/>
        <w:autoSpaceDE w:val="0"/>
        <w:autoSpaceDN w:val="0"/>
        <w:bidi w:val="0"/>
        <w:adjustRightInd/>
        <w:snapToGrid/>
        <w:spacing w:line="360" w:lineRule="auto"/>
        <w:ind w:firstLine="560"/>
        <w:jc w:val="both"/>
        <w:textAlignment w:val="baseline"/>
        <w:outlineLvl w:val="9"/>
        <w:rPr>
          <w:rFonts w:hint="default"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矿山开采对地质</w:t>
      </w:r>
      <w:r>
        <w:rPr>
          <w:rFonts w:hint="default" w:ascii="宋体" w:hAnsi="宋体" w:eastAsia="宋体" w:cs="宋体"/>
          <w:b/>
          <w:bCs/>
          <w:snapToGrid w:val="0"/>
          <w:color w:val="000000"/>
          <w:spacing w:val="-12"/>
          <w:kern w:val="0"/>
          <w:sz w:val="28"/>
          <w:szCs w:val="28"/>
          <w:lang w:val="en-US" w:eastAsia="zh-CN" w:bidi="ar-SA"/>
        </w:rPr>
        <w:t>环境</w:t>
      </w:r>
      <w:r>
        <w:rPr>
          <w:rFonts w:hint="eastAsia" w:ascii="宋体" w:hAnsi="宋体" w:eastAsia="宋体" w:cs="宋体"/>
          <w:b/>
          <w:bCs/>
          <w:snapToGrid w:val="0"/>
          <w:color w:val="000000"/>
          <w:spacing w:val="-12"/>
          <w:kern w:val="0"/>
          <w:sz w:val="28"/>
          <w:szCs w:val="28"/>
          <w:lang w:val="en-US" w:eastAsia="zh-CN" w:bidi="ar-SA"/>
        </w:rPr>
        <w:t>造成破坏。</w:t>
      </w:r>
      <w:r>
        <w:rPr>
          <w:rFonts w:hint="eastAsia" w:ascii="宋体" w:hAnsi="宋体" w:eastAsia="宋体" w:cs="宋体"/>
          <w:b w:val="0"/>
          <w:bCs w:val="0"/>
          <w:snapToGrid w:val="0"/>
          <w:color w:val="000000"/>
          <w:spacing w:val="-12"/>
          <w:kern w:val="0"/>
          <w:sz w:val="28"/>
          <w:szCs w:val="28"/>
          <w:lang w:val="en-US" w:eastAsia="zh-CN" w:bidi="ar-SA"/>
        </w:rPr>
        <w:t>师宗县现有采矿权35个，其中煤矿采矿权有7个，其余28个为砂石土类矿山，小型及小型以下矿山数量占比大。</w:t>
      </w:r>
      <w:r>
        <w:rPr>
          <w:rFonts w:hint="default" w:ascii="宋体" w:hAnsi="宋体" w:eastAsia="宋体" w:cs="宋体"/>
          <w:b w:val="0"/>
          <w:bCs w:val="0"/>
          <w:snapToGrid w:val="0"/>
          <w:color w:val="000000"/>
          <w:spacing w:val="-12"/>
          <w:kern w:val="0"/>
          <w:sz w:val="28"/>
          <w:szCs w:val="28"/>
          <w:lang w:val="en-US" w:eastAsia="zh-CN" w:bidi="ar-SA"/>
        </w:rPr>
        <w:t>部分生产矿山存在开采不规范的情况，在矿产开发利用过程中</w:t>
      </w:r>
      <w:r>
        <w:rPr>
          <w:rFonts w:hint="eastAsia" w:ascii="宋体" w:hAnsi="宋体" w:eastAsia="宋体" w:cs="宋体"/>
          <w:b w:val="0"/>
          <w:bCs w:val="0"/>
          <w:snapToGrid w:val="0"/>
          <w:color w:val="000000"/>
          <w:spacing w:val="-12"/>
          <w:kern w:val="0"/>
          <w:sz w:val="28"/>
          <w:szCs w:val="28"/>
          <w:lang w:val="en-US" w:eastAsia="zh-CN" w:bidi="ar-SA"/>
        </w:rPr>
        <w:t>造成土地损毁、地形地貌景观破坏、植被连续性破坏和其它地质环境问题，致使生态系统完整性受损，</w:t>
      </w:r>
      <w:r>
        <w:rPr>
          <w:rFonts w:hint="default" w:ascii="宋体" w:hAnsi="宋体" w:eastAsia="宋体" w:cs="宋体"/>
          <w:b w:val="0"/>
          <w:bCs w:val="0"/>
          <w:snapToGrid w:val="0"/>
          <w:color w:val="000000"/>
          <w:spacing w:val="-12"/>
          <w:kern w:val="0"/>
          <w:sz w:val="28"/>
          <w:szCs w:val="28"/>
          <w:lang w:val="en-US" w:eastAsia="zh-CN" w:bidi="ar-SA"/>
        </w:rPr>
        <w:t>破坏生态系统的平衡</w:t>
      </w:r>
      <w:r>
        <w:rPr>
          <w:rFonts w:hint="eastAsia" w:ascii="宋体" w:hAnsi="宋体" w:eastAsia="宋体" w:cs="宋体"/>
          <w:b w:val="0"/>
          <w:bCs w:val="0"/>
          <w:snapToGrid w:val="0"/>
          <w:color w:val="000000"/>
          <w:spacing w:val="-12"/>
          <w:kern w:val="0"/>
          <w:sz w:val="28"/>
          <w:szCs w:val="28"/>
          <w:lang w:val="en-US" w:eastAsia="zh-CN" w:bidi="ar-SA"/>
        </w:rPr>
        <w:t>，水土流失严重。</w:t>
      </w:r>
    </w:p>
    <w:p>
      <w:pPr>
        <w:keepNext w:val="0"/>
        <w:keepLines w:val="0"/>
        <w:pageBreakBefore w:val="0"/>
        <w:widowControl/>
        <w:kinsoku w:val="0"/>
        <w:wordWrap/>
        <w:overflowPunct/>
        <w:topLinePunct w:val="0"/>
        <w:autoSpaceDE w:val="0"/>
        <w:autoSpaceDN w:val="0"/>
        <w:bidi w:val="0"/>
        <w:adjustRightInd/>
        <w:snapToGrid/>
        <w:spacing w:line="360" w:lineRule="auto"/>
        <w:ind w:firstLine="560"/>
        <w:jc w:val="both"/>
        <w:textAlignment w:val="baseline"/>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历史遗留矿山问题仍待治理。</w:t>
      </w:r>
      <w:r>
        <w:rPr>
          <w:rFonts w:hint="eastAsia" w:ascii="宋体" w:hAnsi="宋体" w:eastAsia="宋体" w:cs="宋体"/>
          <w:b w:val="0"/>
          <w:bCs w:val="0"/>
          <w:snapToGrid w:val="0"/>
          <w:color w:val="000000"/>
          <w:spacing w:val="-12"/>
          <w:kern w:val="0"/>
          <w:sz w:val="28"/>
          <w:szCs w:val="28"/>
          <w:lang w:val="en-US" w:eastAsia="zh-CN" w:bidi="ar-SA"/>
        </w:rPr>
        <w:t>师宗县历史遗留矿山图斑253个，土地损毁面积398.10公顷，详见图4-5。截止2020年有109处废弃矿山已经自然修复或已转型利用，总面积116.13公顷，占图斑总面积的29.17%。未治理历史遗留矿山图斑144个，土地损毁面积281.97公顷。历史遗留矿山分布散乱，大多数属小型露天矿山。矿山的开采造成地表植被破坏，土地裸露，破坏了原有的自然景观。开发中矿石和废渣的堆积、大规模开挖与厂房建设等，占用和破坏了当地土地资源，导致当地水土流失情况或石漠化，造成土地资源破坏、利用率低。</w:t>
      </w:r>
    </w:p>
    <w:p>
      <w:pPr>
        <w:keepNext w:val="0"/>
        <w:keepLines w:val="0"/>
        <w:pageBreakBefore w:val="0"/>
        <w:widowControl/>
        <w:kinsoku w:val="0"/>
        <w:wordWrap/>
        <w:overflowPunct/>
        <w:topLinePunct w:val="0"/>
        <w:autoSpaceDE w:val="0"/>
        <w:autoSpaceDN w:val="0"/>
        <w:bidi w:val="0"/>
        <w:adjustRightInd/>
        <w:snapToGrid/>
        <w:spacing w:line="360" w:lineRule="auto"/>
        <w:ind w:firstLine="560"/>
        <w:jc w:val="both"/>
        <w:textAlignment w:val="baseline"/>
        <w:outlineLvl w:val="9"/>
        <w:rPr>
          <w:rFonts w:hint="default"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采煤沉陷区问题突出。</w:t>
      </w:r>
      <w:r>
        <w:rPr>
          <w:rFonts w:hint="eastAsia" w:ascii="宋体" w:hAnsi="宋体" w:eastAsia="宋体" w:cs="宋体"/>
          <w:b w:val="0"/>
          <w:bCs w:val="0"/>
          <w:snapToGrid w:val="0"/>
          <w:color w:val="000000"/>
          <w:spacing w:val="-12"/>
          <w:kern w:val="0"/>
          <w:sz w:val="28"/>
          <w:szCs w:val="28"/>
          <w:lang w:val="en-US" w:eastAsia="zh-CN" w:bidi="ar-SA"/>
        </w:rPr>
        <w:t>采煤沉陷区主要集中分布在师宗县北部雄壁镇一带，由于矿区煤炭开采历史较长，对房屋、道路、供排水等有影响的沉陷点共110个，塌陷总面积6747.76亩。采煤活动形成的地下采空区诱发覆盖岩层变形破坏、地表形成采煤沉陷凹地、积水洼地、沉陷湖塘等，造成土地、道路、建筑、环境等均受到不同程度的破坏，直接威胁着当地人民的生命财产安全。“十四五”期间分两期进行了治理，治理面积约5398.21亩，尚有1349.55亩需治理。</w:t>
      </w:r>
    </w:p>
    <w:p>
      <w:pPr>
        <w:spacing w:line="360" w:lineRule="auto"/>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spacing w:val="-12"/>
          <w:sz w:val="28"/>
          <w:szCs w:val="28"/>
          <w:lang w:val="en-US" w:eastAsia="zh-CN"/>
        </w:rPr>
        <w:drawing>
          <wp:inline distT="0" distB="0" distL="114300" distR="114300">
            <wp:extent cx="5573395" cy="3632200"/>
            <wp:effectExtent l="0" t="0" r="1905" b="0"/>
            <wp:docPr id="3" name="图片 3" descr="1-7-废弃矿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废弃矿山"/>
                    <pic:cNvPicPr>
                      <a:picLocks noChangeAspect="1"/>
                    </pic:cNvPicPr>
                  </pic:nvPicPr>
                  <pic:blipFill>
                    <a:blip r:embed="rId14"/>
                    <a:srcRect l="6048" t="9615" r="6194" b="9567"/>
                    <a:stretch>
                      <a:fillRect/>
                    </a:stretch>
                  </pic:blipFill>
                  <pic:spPr>
                    <a:xfrm>
                      <a:off x="0" y="0"/>
                      <a:ext cx="5573395" cy="3632200"/>
                    </a:xfrm>
                    <a:prstGeom prst="rect">
                      <a:avLst/>
                    </a:prstGeom>
                  </pic:spPr>
                </pic:pic>
              </a:graphicData>
            </a:graphic>
          </wp:inline>
        </w:drawing>
      </w:r>
    </w:p>
    <w:p>
      <w:pPr>
        <w:spacing w:line="240" w:lineRule="auto"/>
        <w:ind w:firstLine="2650" w:firstLineChars="1100"/>
        <w:jc w:val="both"/>
        <w:outlineLvl w:val="9"/>
        <w:rPr>
          <w:rFonts w:hint="eastAsia" w:ascii="宋体" w:hAnsi="宋体" w:eastAsia="宋体" w:cs="宋体"/>
          <w:b/>
          <w:bCs/>
          <w:snapToGrid w:val="0"/>
          <w:color w:val="000000"/>
          <w:spacing w:val="-12"/>
          <w:kern w:val="0"/>
          <w:sz w:val="28"/>
          <w:szCs w:val="28"/>
          <w:lang w:val="en-US" w:eastAsia="zh-CN" w:bidi="ar-SA"/>
        </w:rPr>
      </w:pPr>
      <w:r>
        <w:rPr>
          <w:rFonts w:hint="eastAsia" w:ascii="宋体" w:hAnsi="宋体" w:eastAsia="宋体" w:cs="宋体"/>
          <w:b/>
          <w:sz w:val="24"/>
          <w:szCs w:val="24"/>
        </w:rPr>
        <w:t>图</w:t>
      </w:r>
      <w:r>
        <w:rPr>
          <w:rFonts w:hint="eastAsia" w:ascii="宋体" w:hAnsi="宋体" w:eastAsia="宋体" w:cs="宋体"/>
          <w:b/>
          <w:sz w:val="24"/>
          <w:szCs w:val="24"/>
          <w:lang w:val="en-US" w:eastAsia="zh-CN"/>
        </w:rPr>
        <w:t>4</w:t>
      </w:r>
      <w:r>
        <w:rPr>
          <w:rFonts w:hint="eastAsia" w:ascii="宋体" w:hAnsi="宋体" w:eastAsia="宋体" w:cs="宋体"/>
          <w:b/>
          <w:sz w:val="24"/>
          <w:szCs w:val="24"/>
        </w:rPr>
        <w:t>-</w:t>
      </w:r>
      <w:r>
        <w:rPr>
          <w:rFonts w:hint="eastAsia" w:ascii="宋体" w:hAnsi="宋体" w:eastAsia="宋体" w:cs="宋体"/>
          <w:b/>
          <w:sz w:val="24"/>
          <w:szCs w:val="24"/>
          <w:lang w:val="en-US" w:eastAsia="zh-CN"/>
        </w:rPr>
        <w:t>5</w:t>
      </w:r>
      <w:r>
        <w:rPr>
          <w:rFonts w:hint="eastAsia" w:ascii="宋体" w:hAnsi="宋体" w:eastAsia="宋体" w:cs="宋体"/>
          <w:b/>
          <w:sz w:val="24"/>
          <w:szCs w:val="24"/>
        </w:rPr>
        <w:t xml:space="preserve">  历史遗留废弃矿山分布图</w:t>
      </w:r>
    </w:p>
    <w:p>
      <w:pPr>
        <w:keepNext w:val="0"/>
        <w:keepLines w:val="0"/>
        <w:pageBreakBefore w:val="0"/>
        <w:widowControl/>
        <w:kinsoku w:val="0"/>
        <w:wordWrap/>
        <w:overflowPunct/>
        <w:topLinePunct w:val="0"/>
        <w:autoSpaceDE w:val="0"/>
        <w:autoSpaceDN w:val="0"/>
        <w:bidi w:val="0"/>
        <w:adjustRightInd/>
        <w:snapToGrid/>
        <w:spacing w:line="240" w:lineRule="auto"/>
        <w:ind w:right="0"/>
        <w:jc w:val="both"/>
        <w:textAlignment w:val="baseline"/>
        <w:rPr>
          <w:rFonts w:hint="eastAsia" w:ascii="宋体" w:hAnsi="宋体" w:eastAsia="宋体" w:cs="宋体"/>
          <w:b/>
          <w:sz w:val="28"/>
          <w:szCs w:val="28"/>
        </w:rPr>
      </w:pPr>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outlineLvl w:val="2"/>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二、水土流失问题依然突出</w:t>
      </w:r>
    </w:p>
    <w:p>
      <w:pPr>
        <w:keepNext w:val="0"/>
        <w:keepLines w:val="0"/>
        <w:pageBreakBefore w:val="0"/>
        <w:widowControl/>
        <w:kinsoku w:val="0"/>
        <w:wordWrap/>
        <w:overflowPunct/>
        <w:topLinePunct w:val="0"/>
        <w:autoSpaceDE w:val="0"/>
        <w:autoSpaceDN w:val="0"/>
        <w:bidi w:val="0"/>
        <w:adjustRightInd/>
        <w:snapToGrid/>
        <w:spacing w:line="360" w:lineRule="auto"/>
        <w:ind w:firstLine="560"/>
        <w:jc w:val="both"/>
        <w:textAlignment w:val="baseline"/>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经过多年的水土流失综合治理，县域水土流失现状得到初步改善。但受地形地貌、气候、土壤、植被限制，截至“十三五”末，全县水土流失面积574.18平方千米，占国土总面积的20.62%。水土流失类型主要为土壤侵蚀。其中轻度侵蚀占54.54%，中度侵蚀占18.14%，强度侵蚀占15.22%，极强度侵蚀占8.79%，剧烈侵蚀占3.31%。水土流失总面积和中度以上侵蚀面积仍然较大。</w:t>
      </w:r>
    </w:p>
    <w:p>
      <w:pPr>
        <w:keepNext w:val="0"/>
        <w:keepLines w:val="0"/>
        <w:pageBreakBefore w:val="0"/>
        <w:widowControl/>
        <w:kinsoku w:val="0"/>
        <w:wordWrap/>
        <w:overflowPunct/>
        <w:topLinePunct w:val="0"/>
        <w:autoSpaceDE w:val="0"/>
        <w:autoSpaceDN w:val="0"/>
        <w:bidi w:val="0"/>
        <w:adjustRightInd/>
        <w:snapToGrid/>
        <w:spacing w:line="360" w:lineRule="auto"/>
        <w:ind w:firstLine="560"/>
        <w:jc w:val="left"/>
        <w:textAlignment w:val="baseline"/>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随着城镇开发、园区开发、矿产资源开发等生产建设活动的进行，人为造成的水土流失不容忽视，如雄壁镇历史上因矿产资源粗放开采，导致耕地、植被严重破坏，水土流失加剧。由于水土保持意识不强，重开发轻保护、重建设轻管护的思想比较普遍，人为造成水土流失、破坏生态环境的现象时有发生。因此，处理好经济发展与水土保持的关系，切实遏制水土流失加剧的趋势，保障水土资源的可持续利用和生态环境的可持续维护，迫在眉睫。全县水土流失综合治理任务仍然较重。</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outlineLvl w:val="2"/>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三、石漠化治理面临较大困难</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根据《师宗县岩溶地区第四次石漠化调查报告》，师宗县石漠化土地面积44415.79公顷，占全县面积的15.95％，分布于师宗全县。</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在石漠化土地中，轻度石漠化面积27611.76公顷，占石漠化土地总面积的62.17%；中度石漠化面积13223.25公顷，占石漠化土地总面积的29.77%；重度石漠化面积3324.50公顷，占石漠化土地总面积的7.48%；极重度石漠化面积256.28公顷，占石漠化土地总面积的0.58%。全县石漠化土地以轻、中度石漠化土地为主，两者合计占全县石漠化土地面积的91.94%。。</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另外有潜在石漠化土地面积20999.98公顷，占全县面积的7.54％。师宗县石漠化和潜在石漠化土地面积65415.77公顷，占国土面积278449.11公顷的23.49%，全县每个乡镇（街道）都有分布。从调查结果看，师宗县石漠化土地面积比上期减少了7765.20公顷，但还存在面积较大的潜在石漠化土地，特别在当前石漠化地区经济总体落后、人口压力大、不合理人为活动时有发生的情况下，石漠化防治不进则退，石漠化治理面临较大困难。</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outlineLvl w:val="2"/>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四、水生态问题仍较严重</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师宗县境内的河流较多，较大的有南盘江、甸溪河、篆长河、清水江、竹箐河、子午河、石洞河、红土河、大舍河、设里河、二允河、五洛河、金马河、米车河、阿那黑河、大干河、坝林河等27条。当前，全县河道综合治理进程较为滞后，诸多问题凸显。据相关数据显示，部分河道淤积，导致河道拥堵淤塞，过水断面缩小，行洪能力大幅下降。如在汛期，部分河段水位涨幅超警戒水位，危及行洪安全，影响周边居民生活及农田灌溉。从污染源来看，水环境问题仍严峻。虽然近年加大工业废水源头控制，但已在河道积存的废水、废渣仍有保留，生活污水收集与处理设施尚不完善，仍存在老旧小区雨污合流现象，生活污水集中收集率有待进一步提升。农业面源污染方面，大量农药、化肥随地表径流进入河道，成为主要污染因子。这些污染导致部分河段水质恶化，部分支流断面水质仍较差。</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outlineLvl w:val="2"/>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五、森林资源质量仍有提升空间</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全县森林面积169911.59公顷，森林蓄积887万立方米，详见图4-8。但全县森林资源分布不均（主要分布在东南部的高良乡、五龙乡、龙庆乡），树种结构单一，缺少大型斑块森林，森林连片化程度较低。森林覆盖率低于全省平均水平65.04%，森林整体质量仍有提升空间。</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outlineLvl w:val="2"/>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 xml:space="preserve">六、生物多样性保护仍需提升 </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生物廊道网络连通性差。受经济发展、自然灾害和人为活动的影响，道路、城镇、农田等将连续的自然生境切割成孤立的“岛屿”，阻碍了物种交流和基因流动；一些物种的濒危和丧失程度并未得到有效缓解和全面控制。如分布在师宗县五龙乡、高良乡的红花木莲，伴随着常绿阔叶林的破坏，该物种数量逐渐减少，已处于濒危状态；外来物种的入侵威胁。师宗县已发现包括紫茎泽兰、马缨丹、凤眼莲、空心莲子草等在内的30多种外来植物，部分外来物种大量繁殖，成为某种生境条件。</w:t>
      </w:r>
    </w:p>
    <w:p>
      <w:pPr>
        <w:spacing w:before="71" w:line="360" w:lineRule="auto"/>
        <w:ind w:left="2504"/>
        <w:jc w:val="both"/>
        <w:outlineLvl w:val="1"/>
        <w:rPr>
          <w:rFonts w:hint="eastAsia" w:ascii="宋体" w:hAnsi="宋体" w:eastAsia="宋体" w:cs="宋体"/>
          <w:sz w:val="30"/>
          <w:szCs w:val="30"/>
        </w:rPr>
      </w:pPr>
      <w:bookmarkStart w:id="24" w:name="_Toc10980"/>
      <w:r>
        <w:rPr>
          <w:rFonts w:hint="eastAsia" w:ascii="宋体" w:hAnsi="宋体" w:eastAsia="宋体" w:cs="宋体"/>
          <w:b/>
          <w:bCs/>
          <w:spacing w:val="7"/>
          <w:position w:val="1"/>
          <w:sz w:val="30"/>
          <w:szCs w:val="30"/>
        </w:rPr>
        <w:t>第三节 农业空间问题分析</w:t>
      </w:r>
      <w:bookmarkEnd w:id="24"/>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outlineLvl w:val="2"/>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一、耕地破碎，整体质量不高</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根据师宗县第三次国土调查数据，师宗县2020年耕地面积84066.61公顷，占国土总面积的30.19%；其中：水田面积8708.75公顷，占耕地面积的10.36%；水浇地面积664.66公顷，占耕地面积的0.79%；旱地面积74693.20公顷，占耕地面积的88.85%。</w:t>
      </w:r>
      <w:r>
        <w:rPr>
          <w:rFonts w:hint="eastAsia" w:ascii="宋体" w:hAnsi="宋体" w:eastAsia="宋体" w:cs="宋体"/>
          <w:spacing w:val="-12"/>
          <w:sz w:val="28"/>
          <w:szCs w:val="28"/>
          <w:lang w:val="en-US" w:eastAsia="zh-CN"/>
        </w:rPr>
        <w:t>由于区域自然资源禀赋与社会经济发展水平等方面存在差异，县域南部区域农业基础设施薄弱、农业生产条件不尽理想等问题，导致其农业综合生产能力偏弱限制发展</w:t>
      </w:r>
      <w:r>
        <w:rPr>
          <w:rFonts w:hint="eastAsia" w:ascii="宋体" w:hAnsi="宋体" w:eastAsia="宋体" w:cs="宋体"/>
          <w:b w:val="0"/>
          <w:bCs w:val="0"/>
          <w:snapToGrid w:val="0"/>
          <w:color w:val="000000"/>
          <w:spacing w:val="-12"/>
          <w:kern w:val="0"/>
          <w:sz w:val="28"/>
          <w:szCs w:val="28"/>
          <w:lang w:val="en-US" w:eastAsia="zh-CN" w:bidi="ar-SA"/>
        </w:rPr>
        <w:t>规模化农业。加之受不合理利用方式、水土流失、生态破坏等因素影响，存在局部区域土壤有机质下降，导致耕地质量下降、生态功能降低等问题，影响粮食生产安全和生态安全。</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outlineLvl w:val="2"/>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二、农村空间布局散乱，人居环境有待改善</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644"/>
        <w:jc w:val="both"/>
        <w:textAlignment w:val="baseline"/>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师宗县农村宅基地用地面积5749.95公顷，占全县土地总面积的2.06%，农村居民点连片大小不一，呈现“满天星”分布状态，具有破碎化趋势，反映土地利用效率较低、土地浪费现象较为严重。此外，农村环境治理能力薄弱，农村污水、垃圾处理设施不尽完善，重要交通道路沿线路域乱搭乱建、乱堆乱放现象仍然存在，影响了农村人居环境。</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4" w:firstLineChars="200"/>
        <w:jc w:val="both"/>
        <w:textAlignment w:val="baseline"/>
        <w:outlineLvl w:val="2"/>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三、农业面源污染治理难，农田生态环境有待改善</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644"/>
        <w:jc w:val="both"/>
        <w:textAlignment w:val="baseline"/>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农村环境基础设施建设滞后，径流区内垃圾处置覆盖面小，部分村落虽建设了垃圾收集设施，但垃圾乱堆乱倒现象依然普遍。受传统生活习惯影响，农村生活垃圾直接倾倒入河现象时有发生，生活污染缺乏有效的治理措施，随雨水冲刷进入水环境，造成了一定程度的面源污染。化肥施用强度较大，加剧了农田化肥的流失。农业生产废弃物（如作物秸秆）利用效率不高，畜禽养殖已成为农村面源污染的主要来源，并成为危害农村居民生活环境的重要因素。目前虽然对农村生活面源治理有了一定的投入，但农业生产产生的面源污染投入基本为零，仍然难以遏制农业面源污染加剧的趋势。</w:t>
      </w:r>
    </w:p>
    <w:p>
      <w:pPr>
        <w:pageBreakBefore w:val="0"/>
        <w:widowControl/>
        <w:kinsoku w:val="0"/>
        <w:wordWrap/>
        <w:overflowPunct/>
        <w:topLinePunct w:val="0"/>
        <w:autoSpaceDE w:val="0"/>
        <w:autoSpaceDN w:val="0"/>
        <w:bidi w:val="0"/>
        <w:adjustRightInd/>
        <w:snapToGrid/>
        <w:spacing w:line="360" w:lineRule="auto"/>
        <w:ind w:left="0" w:firstLine="2409" w:firstLineChars="800"/>
        <w:jc w:val="both"/>
        <w:textAlignment w:val="baseline"/>
        <w:outlineLvl w:val="1"/>
        <w:rPr>
          <w:rFonts w:hint="eastAsia" w:ascii="Arial" w:hAnsi="Arial" w:eastAsia="宋体" w:cs="Arial"/>
          <w:b/>
          <w:bCs/>
          <w:snapToGrid w:val="0"/>
          <w:color w:val="auto"/>
          <w:kern w:val="0"/>
          <w:sz w:val="30"/>
          <w:szCs w:val="30"/>
          <w:highlight w:val="none"/>
          <w:lang w:val="en-US" w:eastAsia="zh-CN" w:bidi="ar-SA"/>
        </w:rPr>
      </w:pPr>
      <w:bookmarkStart w:id="25" w:name="bookmark32"/>
      <w:bookmarkEnd w:id="25"/>
      <w:bookmarkStart w:id="26" w:name="_Toc16772"/>
      <w:r>
        <w:rPr>
          <w:rFonts w:hint="eastAsia" w:ascii="Arial" w:hAnsi="Arial" w:eastAsia="宋体" w:cs="Arial"/>
          <w:b/>
          <w:bCs/>
          <w:snapToGrid w:val="0"/>
          <w:color w:val="auto"/>
          <w:kern w:val="0"/>
          <w:sz w:val="30"/>
          <w:szCs w:val="30"/>
          <w:highlight w:val="none"/>
          <w:lang w:val="en-US" w:eastAsia="zh-CN" w:bidi="ar-SA"/>
        </w:rPr>
        <w:t>第四节  城镇空间问题分析</w:t>
      </w:r>
      <w:bookmarkEnd w:id="26"/>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14" w:firstLineChars="200"/>
        <w:jc w:val="both"/>
        <w:textAlignment w:val="baseline"/>
        <w:outlineLvl w:val="2"/>
        <w:rPr>
          <w:rFonts w:hint="eastAsia" w:ascii="宋体" w:hAnsi="宋体" w:eastAsia="宋体" w:cs="宋体"/>
          <w:b/>
          <w:bCs/>
          <w:spacing w:val="-12"/>
          <w:sz w:val="28"/>
          <w:szCs w:val="28"/>
          <w:lang w:val="en-US" w:eastAsia="zh-CN"/>
        </w:rPr>
      </w:pPr>
      <w:bookmarkStart w:id="27" w:name="_Toc52181503"/>
      <w:bookmarkStart w:id="28" w:name="_Toc54557313"/>
      <w:r>
        <w:rPr>
          <w:rFonts w:hint="eastAsia" w:ascii="宋体" w:hAnsi="宋体" w:eastAsia="宋体" w:cs="宋体"/>
          <w:b/>
          <w:bCs/>
          <w:spacing w:val="-12"/>
          <w:sz w:val="28"/>
          <w:szCs w:val="28"/>
          <w:lang w:val="en-US" w:eastAsia="zh-CN"/>
        </w:rPr>
        <w:t>一、城市蓝绿空间质量不高</w:t>
      </w:r>
    </w:p>
    <w:p>
      <w:pPr>
        <w:pageBreakBefore w:val="0"/>
        <w:widowControl/>
        <w:kinsoku w:val="0"/>
        <w:wordWrap/>
        <w:overflowPunct/>
        <w:topLinePunct w:val="0"/>
        <w:autoSpaceDE w:val="0"/>
        <w:autoSpaceDN w:val="0"/>
        <w:bidi w:val="0"/>
        <w:adjustRightInd/>
        <w:snapToGrid/>
        <w:spacing w:line="360" w:lineRule="auto"/>
        <w:ind w:left="0" w:firstLine="560"/>
        <w:jc w:val="both"/>
        <w:textAlignment w:val="baseline"/>
        <w:outlineLvl w:val="9"/>
        <w:rPr>
          <w:rFonts w:hint="eastAsia"/>
          <w:lang w:val="en-US" w:eastAsia="zh-CN"/>
        </w:rPr>
      </w:pPr>
      <w:r>
        <w:rPr>
          <w:rFonts w:hint="eastAsia" w:ascii="宋体" w:hAnsi="宋体" w:eastAsia="宋体" w:cs="宋体"/>
          <w:b w:val="0"/>
          <w:bCs w:val="0"/>
          <w:snapToGrid w:val="0"/>
          <w:color w:val="000000"/>
          <w:spacing w:val="-12"/>
          <w:kern w:val="0"/>
          <w:sz w:val="28"/>
          <w:szCs w:val="28"/>
          <w:lang w:val="en-US" w:eastAsia="zh-CN" w:bidi="ar-SA"/>
        </w:rPr>
        <w:t>师宗县存在绿地规模总量不高、绿道网络不成体系、公园活力品质欠佳等问题。绿地系统的建设点线面结构层次不完善，城区绿道尚未形成网络体系，以片段式、分散式建设为主，布局有待优化。部分公园环境治理、景观利用和设施配套存在短板。</w:t>
      </w:r>
    </w:p>
    <w:bookmarkEnd w:id="27"/>
    <w:bookmarkEnd w:id="28"/>
    <w:p>
      <w:pPr>
        <w:spacing w:before="164" w:line="360" w:lineRule="auto"/>
        <w:ind w:left="2344"/>
        <w:jc w:val="both"/>
        <w:outlineLvl w:val="1"/>
        <w:rPr>
          <w:rFonts w:hint="eastAsia" w:ascii="宋体" w:hAnsi="宋体" w:eastAsia="宋体" w:cs="宋体"/>
          <w:b/>
          <w:bCs/>
          <w:sz w:val="28"/>
          <w:szCs w:val="28"/>
        </w:rPr>
      </w:pPr>
      <w:bookmarkStart w:id="29" w:name="_Toc26100"/>
      <w:r>
        <w:rPr>
          <w:rFonts w:hint="eastAsia" w:ascii="宋体" w:hAnsi="宋体" w:eastAsia="宋体" w:cs="宋体"/>
          <w:b/>
          <w:bCs/>
          <w:spacing w:val="8"/>
          <w:position w:val="1"/>
          <w:sz w:val="28"/>
          <w:szCs w:val="28"/>
        </w:rPr>
        <w:t>第</w:t>
      </w:r>
      <w:r>
        <w:rPr>
          <w:rFonts w:hint="eastAsia" w:ascii="宋体" w:hAnsi="宋体" w:eastAsia="宋体" w:cs="宋体"/>
          <w:b/>
          <w:bCs/>
          <w:spacing w:val="8"/>
          <w:position w:val="1"/>
          <w:sz w:val="28"/>
          <w:szCs w:val="28"/>
          <w:lang w:val="en-US" w:eastAsia="zh-CN"/>
        </w:rPr>
        <w:t>五</w:t>
      </w:r>
      <w:r>
        <w:rPr>
          <w:rFonts w:hint="eastAsia" w:ascii="宋体" w:hAnsi="宋体" w:eastAsia="宋体" w:cs="宋体"/>
          <w:b/>
          <w:bCs/>
          <w:spacing w:val="8"/>
          <w:position w:val="1"/>
          <w:sz w:val="28"/>
          <w:szCs w:val="28"/>
        </w:rPr>
        <w:t>节 生态系统恢复力评价</w:t>
      </w:r>
      <w:bookmarkEnd w:id="29"/>
    </w:p>
    <w:p>
      <w:pPr>
        <w:pStyle w:val="4"/>
        <w:bidi w:val="0"/>
        <w:spacing w:line="360" w:lineRule="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一、分析背景与目标</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师宗整个区域气候条件差异不大，本次研究不对其进行叠加分析。研究选取高程、坡度、FVC（植被覆盖度）、NPP（净初级生产力）、土壤条件、干扰胁迫因子（土地利用）六大指标，通过GIS空间分析量化恢复力等级，为区域生态修复策略（保育/自然恢复/人工修复）提供科学支撑。</w:t>
      </w:r>
    </w:p>
    <w:p>
      <w:pPr>
        <w:pStyle w:val="4"/>
        <w:bidi w:val="0"/>
        <w:spacing w:line="360" w:lineRule="auto"/>
        <w:rPr>
          <w:rFonts w:hint="eastAsia" w:ascii="宋体" w:hAnsi="宋体" w:eastAsia="宋体" w:cs="宋体"/>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二、指标体系构建</w:t>
      </w:r>
    </w:p>
    <w:p>
      <w:pPr>
        <w:pStyle w:val="5"/>
        <w:bidi w:val="0"/>
        <w:spacing w:line="360" w:lineRule="auto"/>
        <w:ind w:firstLine="562"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1、指标选择依据</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7"/>
        <w:gridCol w:w="5034"/>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875" w:type="pct"/>
            <w:noWrap w:val="0"/>
            <w:vAlign w:val="center"/>
          </w:tcPr>
          <w:p>
            <w:pPr>
              <w:pStyle w:val="30"/>
              <w:widowControl w:val="0"/>
              <w:bidi w:val="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指标</w:t>
            </w:r>
          </w:p>
        </w:tc>
        <w:tc>
          <w:tcPr>
            <w:tcW w:w="2942" w:type="pct"/>
            <w:noWrap w:val="0"/>
            <w:vAlign w:val="center"/>
          </w:tcPr>
          <w:p>
            <w:pPr>
              <w:pStyle w:val="30"/>
              <w:widowControl w:val="0"/>
              <w:bidi w:val="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生态意义</w:t>
            </w:r>
          </w:p>
        </w:tc>
        <w:tc>
          <w:tcPr>
            <w:tcW w:w="1181" w:type="pct"/>
            <w:noWrap w:val="0"/>
            <w:vAlign w:val="center"/>
          </w:tcPr>
          <w:p>
            <w:pPr>
              <w:pStyle w:val="30"/>
              <w:widowControl w:val="0"/>
              <w:bidi w:val="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trPr>
        <w:tc>
          <w:tcPr>
            <w:tcW w:w="875" w:type="pct"/>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高程</w:t>
            </w:r>
          </w:p>
        </w:tc>
        <w:tc>
          <w:tcPr>
            <w:tcW w:w="2942" w:type="pct"/>
            <w:noWrap w:val="0"/>
            <w:vAlign w:val="center"/>
          </w:tcPr>
          <w:p>
            <w:pPr>
              <w:pStyle w:val="30"/>
              <w:widowControl w:val="0"/>
              <w:bidi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影响水热分布和植被垂直带谱（如低地易涝、高山低温限制）</w:t>
            </w:r>
          </w:p>
        </w:tc>
        <w:tc>
          <w:tcPr>
            <w:tcW w:w="1181" w:type="pct"/>
            <w:noWrap w:val="0"/>
            <w:vAlign w:val="center"/>
          </w:tcPr>
          <w:p>
            <w:pPr>
              <w:pStyle w:val="30"/>
              <w:widowControl w:val="0"/>
              <w:bidi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DEM（30m分辨率）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trPr>
        <w:tc>
          <w:tcPr>
            <w:tcW w:w="875" w:type="pct"/>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坡度</w:t>
            </w:r>
          </w:p>
        </w:tc>
        <w:tc>
          <w:tcPr>
            <w:tcW w:w="2942" w:type="pct"/>
            <w:noWrap w:val="0"/>
            <w:vAlign w:val="center"/>
          </w:tcPr>
          <w:p>
            <w:pPr>
              <w:pStyle w:val="30"/>
              <w:widowControl w:val="0"/>
              <w:bidi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决定水土流失风险（陡坡&gt;25°时恢复难度大）</w:t>
            </w:r>
          </w:p>
        </w:tc>
        <w:tc>
          <w:tcPr>
            <w:tcW w:w="1181" w:type="pct"/>
            <w:noWrap w:val="0"/>
            <w:vAlign w:val="center"/>
          </w:tcPr>
          <w:p>
            <w:pPr>
              <w:pStyle w:val="30"/>
              <w:widowControl w:val="0"/>
              <w:bidi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DEM提取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exact"/>
        </w:trPr>
        <w:tc>
          <w:tcPr>
            <w:tcW w:w="875" w:type="pct"/>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FVC</w:t>
            </w:r>
          </w:p>
        </w:tc>
        <w:tc>
          <w:tcPr>
            <w:tcW w:w="2942" w:type="pct"/>
            <w:noWrap w:val="0"/>
            <w:vAlign w:val="center"/>
          </w:tcPr>
          <w:p>
            <w:pPr>
              <w:pStyle w:val="30"/>
              <w:widowControl w:val="0"/>
              <w:bidi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直接反映植被覆盖状况（NDVI计算，覆盖度越高恢复力越强）</w:t>
            </w:r>
          </w:p>
        </w:tc>
        <w:tc>
          <w:tcPr>
            <w:tcW w:w="1181" w:type="pct"/>
            <w:noWrap w:val="0"/>
            <w:vAlign w:val="center"/>
          </w:tcPr>
          <w:p>
            <w:pPr>
              <w:pStyle w:val="30"/>
              <w:widowControl w:val="0"/>
              <w:bidi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Landsat8ETM计算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exact"/>
        </w:trPr>
        <w:tc>
          <w:tcPr>
            <w:tcW w:w="875" w:type="pct"/>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NPP</w:t>
            </w:r>
          </w:p>
        </w:tc>
        <w:tc>
          <w:tcPr>
            <w:tcW w:w="2942" w:type="pct"/>
            <w:noWrap w:val="0"/>
            <w:vAlign w:val="center"/>
          </w:tcPr>
          <w:p>
            <w:pPr>
              <w:pStyle w:val="30"/>
              <w:widowControl w:val="0"/>
              <w:bidi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表征生态系统生产力（gC/m²·yr），能量流动基础</w:t>
            </w:r>
          </w:p>
        </w:tc>
        <w:tc>
          <w:tcPr>
            <w:tcW w:w="1181" w:type="pct"/>
            <w:noWrap w:val="0"/>
            <w:vAlign w:val="center"/>
          </w:tcPr>
          <w:p>
            <w:pPr>
              <w:pStyle w:val="30"/>
              <w:widowControl w:val="0"/>
              <w:bidi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MOD17A3H数据集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trPr>
        <w:tc>
          <w:tcPr>
            <w:tcW w:w="875" w:type="pct"/>
            <w:noWrap w:val="0"/>
            <w:vAlign w:val="center"/>
          </w:tcPr>
          <w:p>
            <w:pPr>
              <w:pStyle w:val="30"/>
              <w:widowControl w:val="0"/>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土壤条件</w:t>
            </w:r>
          </w:p>
        </w:tc>
        <w:tc>
          <w:tcPr>
            <w:tcW w:w="2942" w:type="pct"/>
            <w:noWrap w:val="0"/>
            <w:vAlign w:val="center"/>
          </w:tcPr>
          <w:p>
            <w:pPr>
              <w:pStyle w:val="30"/>
              <w:widowControl w:val="0"/>
              <w:bidi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包括有机质含量、质地、pH值（如砂土保水能力差）</w:t>
            </w:r>
          </w:p>
        </w:tc>
        <w:tc>
          <w:tcPr>
            <w:tcW w:w="1181" w:type="pct"/>
            <w:noWrap w:val="0"/>
            <w:vAlign w:val="center"/>
          </w:tcPr>
          <w:p>
            <w:pPr>
              <w:pStyle w:val="30"/>
              <w:widowControl w:val="0"/>
              <w:bidi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土壤普查数据/HWSD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875" w:type="pct"/>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干扰胁迫因子</w:t>
            </w:r>
          </w:p>
        </w:tc>
        <w:tc>
          <w:tcPr>
            <w:tcW w:w="2942" w:type="pct"/>
            <w:noWrap w:val="0"/>
            <w:vAlign w:val="center"/>
          </w:tcPr>
          <w:p>
            <w:pPr>
              <w:pStyle w:val="30"/>
              <w:widowControl w:val="0"/>
              <w:bidi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土地利用类型（如建设用地=高干扰，林地=低干扰）</w:t>
            </w:r>
          </w:p>
        </w:tc>
        <w:tc>
          <w:tcPr>
            <w:tcW w:w="1181" w:type="pct"/>
            <w:noWrap w:val="0"/>
            <w:vAlign w:val="center"/>
          </w:tcPr>
          <w:p>
            <w:pPr>
              <w:pStyle w:val="30"/>
              <w:widowControl w:val="0"/>
              <w:bidi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遥感解译（GlobCover30）</w:t>
            </w:r>
          </w:p>
        </w:tc>
      </w:tr>
    </w:tbl>
    <w:p>
      <w:pPr>
        <w:rPr>
          <w:rFonts w:hint="eastAsia" w:ascii="宋体" w:hAnsi="宋体" w:eastAsia="宋体" w:cs="宋体"/>
          <w:color w:val="auto"/>
          <w:highlight w:val="none"/>
          <w:lang w:val="en-US" w:eastAsia="zh-CN"/>
        </w:rPr>
      </w:pPr>
    </w:p>
    <w:p>
      <w:pPr>
        <w:pStyle w:val="5"/>
        <w:bidi w:val="0"/>
        <w:spacing w:line="360" w:lineRule="auto"/>
        <w:ind w:firstLine="562"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2、指标标准化处理</w:t>
      </w:r>
    </w:p>
    <w:p>
      <w:pPr>
        <w:bidi w:val="0"/>
        <w:spacing w:line="360" w:lineRule="auto"/>
        <w:ind w:firstLine="562" w:firstLineChars="200"/>
        <w:rPr>
          <w:rFonts w:hint="eastAsia" w:ascii="宋体" w:hAnsi="宋体" w:eastAsia="宋体" w:cs="宋体"/>
          <w:color w:val="auto"/>
          <w:sz w:val="28"/>
          <w:szCs w:val="28"/>
          <w:highlight w:val="none"/>
          <w:lang w:eastAsia="zh-CN"/>
        </w:rPr>
      </w:pPr>
      <w:r>
        <w:rPr>
          <w:rFonts w:hint="eastAsia" w:ascii="宋体" w:hAnsi="宋体" w:eastAsia="宋体" w:cs="宋体"/>
          <w:b/>
          <w:bCs/>
          <w:color w:val="auto"/>
          <w:sz w:val="28"/>
          <w:szCs w:val="28"/>
          <w:highlight w:val="none"/>
        </w:rPr>
        <w:t>正向指标（如FVC、NPP）</w:t>
      </w:r>
      <w:r>
        <w:rPr>
          <w:rFonts w:hint="eastAsia" w:ascii="宋体" w:hAnsi="宋体" w:eastAsia="宋体" w:cs="宋体"/>
          <w:b/>
          <w:bCs/>
          <w:color w:val="auto"/>
          <w:sz w:val="28"/>
          <w:szCs w:val="28"/>
          <w:highlight w:val="none"/>
          <w:lang w:eastAsia="zh-CN"/>
        </w:rPr>
        <w:t>：</w:t>
      </w:r>
      <w:r>
        <w:rPr>
          <w:rFonts w:hint="eastAsia" w:ascii="宋体" w:hAnsi="宋体" w:eastAsia="宋体" w:cs="宋体"/>
          <w:color w:val="auto"/>
          <w:sz w:val="28"/>
          <w:szCs w:val="28"/>
          <w:highlight w:val="none"/>
        </w:rPr>
        <w:t>值越大</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恢复力越高</w:t>
      </w:r>
      <w:r>
        <w:rPr>
          <w:rFonts w:hint="eastAsia" w:ascii="宋体" w:hAnsi="宋体" w:eastAsia="宋体" w:cs="宋体"/>
          <w:color w:val="auto"/>
          <w:sz w:val="28"/>
          <w:szCs w:val="28"/>
          <w:highlight w:val="none"/>
          <w:lang w:eastAsia="zh-CN"/>
        </w:rPr>
        <w:t>。</w:t>
      </w:r>
    </w:p>
    <w:p>
      <w:pPr>
        <w:bidi w:val="0"/>
        <w:spacing w:line="360" w:lineRule="auto"/>
        <w:ind w:firstLine="562" w:firstLineChars="200"/>
        <w:rPr>
          <w:rFonts w:hint="eastAsia" w:ascii="宋体" w:hAnsi="宋体" w:eastAsia="宋体" w:cs="宋体"/>
          <w:color w:val="auto"/>
          <w:sz w:val="28"/>
          <w:szCs w:val="28"/>
          <w:highlight w:val="none"/>
          <w:lang w:eastAsia="zh-CN"/>
        </w:rPr>
      </w:pPr>
      <w:r>
        <w:rPr>
          <w:rFonts w:hint="eastAsia" w:ascii="宋体" w:hAnsi="宋体" w:eastAsia="宋体" w:cs="宋体"/>
          <w:b/>
          <w:bCs/>
          <w:color w:val="auto"/>
          <w:sz w:val="28"/>
          <w:szCs w:val="28"/>
          <w:highlight w:val="none"/>
        </w:rPr>
        <w:t>负向指标（如坡度、干扰强度）：</w:t>
      </w:r>
      <w:r>
        <w:rPr>
          <w:rFonts w:hint="eastAsia" w:ascii="宋体" w:hAnsi="宋体" w:eastAsia="宋体" w:cs="宋体"/>
          <w:color w:val="auto"/>
          <w:sz w:val="28"/>
          <w:szCs w:val="28"/>
          <w:highlight w:val="none"/>
        </w:rPr>
        <w:t>值越大，恢复力越低</w:t>
      </w:r>
      <w:r>
        <w:rPr>
          <w:rFonts w:hint="eastAsia" w:ascii="宋体" w:hAnsi="宋体" w:eastAsia="宋体" w:cs="宋体"/>
          <w:color w:val="auto"/>
          <w:sz w:val="28"/>
          <w:szCs w:val="28"/>
          <w:highlight w:val="none"/>
          <w:lang w:eastAsia="zh-CN"/>
        </w:rPr>
        <w:t>。</w:t>
      </w:r>
    </w:p>
    <w:p>
      <w:pPr>
        <w:pStyle w:val="4"/>
        <w:bidi w:val="0"/>
        <w:spacing w:line="36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三、权重设置</w:t>
      </w:r>
    </w:p>
    <w:p>
      <w:pPr>
        <w:bidi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采用层次分析法（AHP</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结合专家打分确定权重，确保科学性：</w:t>
      </w:r>
    </w:p>
    <w:p>
      <w:pPr>
        <w:pStyle w:val="5"/>
        <w:bidi w:val="0"/>
        <w:spacing w:line="360" w:lineRule="auto"/>
        <w:ind w:firstLine="562"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1、构建判断矩阵</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1222"/>
        <w:gridCol w:w="1224"/>
        <w:gridCol w:w="1224"/>
        <w:gridCol w:w="1224"/>
        <w:gridCol w:w="1224"/>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1" w:type="dxa"/>
            <w:noWrap w:val="0"/>
            <w:vAlign w:val="center"/>
          </w:tcPr>
          <w:p>
            <w:pPr>
              <w:pStyle w:val="30"/>
              <w:widowControl w:val="0"/>
              <w:bidi w:val="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指标</w:t>
            </w:r>
          </w:p>
        </w:tc>
        <w:tc>
          <w:tcPr>
            <w:tcW w:w="1301" w:type="dxa"/>
            <w:noWrap w:val="0"/>
            <w:vAlign w:val="center"/>
          </w:tcPr>
          <w:p>
            <w:pPr>
              <w:pStyle w:val="30"/>
              <w:widowControl w:val="0"/>
              <w:bidi w:val="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高程</w:t>
            </w:r>
          </w:p>
        </w:tc>
        <w:tc>
          <w:tcPr>
            <w:tcW w:w="1302" w:type="dxa"/>
            <w:noWrap w:val="0"/>
            <w:vAlign w:val="center"/>
          </w:tcPr>
          <w:p>
            <w:pPr>
              <w:pStyle w:val="30"/>
              <w:widowControl w:val="0"/>
              <w:bidi w:val="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坡度</w:t>
            </w:r>
          </w:p>
        </w:tc>
        <w:tc>
          <w:tcPr>
            <w:tcW w:w="1302" w:type="dxa"/>
            <w:noWrap w:val="0"/>
            <w:vAlign w:val="center"/>
          </w:tcPr>
          <w:p>
            <w:pPr>
              <w:pStyle w:val="30"/>
              <w:widowControl w:val="0"/>
              <w:bidi w:val="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FVC</w:t>
            </w:r>
          </w:p>
        </w:tc>
        <w:tc>
          <w:tcPr>
            <w:tcW w:w="1302" w:type="dxa"/>
            <w:noWrap w:val="0"/>
            <w:vAlign w:val="center"/>
          </w:tcPr>
          <w:p>
            <w:pPr>
              <w:pStyle w:val="30"/>
              <w:widowControl w:val="0"/>
              <w:bidi w:val="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NPP</w:t>
            </w:r>
          </w:p>
        </w:tc>
        <w:tc>
          <w:tcPr>
            <w:tcW w:w="1302" w:type="dxa"/>
            <w:noWrap w:val="0"/>
            <w:vAlign w:val="center"/>
          </w:tcPr>
          <w:p>
            <w:pPr>
              <w:pStyle w:val="30"/>
              <w:widowControl w:val="0"/>
              <w:bidi w:val="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土壤</w:t>
            </w:r>
          </w:p>
        </w:tc>
        <w:tc>
          <w:tcPr>
            <w:tcW w:w="1302" w:type="dxa"/>
            <w:noWrap w:val="0"/>
            <w:vAlign w:val="center"/>
          </w:tcPr>
          <w:p>
            <w:pPr>
              <w:pStyle w:val="30"/>
              <w:widowControl w:val="0"/>
              <w:bidi w:val="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干扰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1"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高程</w:t>
            </w:r>
          </w:p>
        </w:tc>
        <w:tc>
          <w:tcPr>
            <w:tcW w:w="1301"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1/2</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1/3</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1"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坡度</w:t>
            </w:r>
          </w:p>
        </w:tc>
        <w:tc>
          <w:tcPr>
            <w:tcW w:w="1301"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1/3</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1/4</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1/5</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1/2</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1"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FVC</w:t>
            </w:r>
          </w:p>
        </w:tc>
        <w:tc>
          <w:tcPr>
            <w:tcW w:w="1301"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4</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1/2</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1"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NPP</w:t>
            </w:r>
          </w:p>
        </w:tc>
        <w:tc>
          <w:tcPr>
            <w:tcW w:w="1301"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5</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4</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1"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土壤</w:t>
            </w:r>
          </w:p>
        </w:tc>
        <w:tc>
          <w:tcPr>
            <w:tcW w:w="1301"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1/2</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1/3</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1/4</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01"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干扰</w:t>
            </w:r>
          </w:p>
        </w:tc>
        <w:tc>
          <w:tcPr>
            <w:tcW w:w="1301"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1/4</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1/3</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1/5</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1/6</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1/3</w:t>
            </w:r>
          </w:p>
        </w:tc>
        <w:tc>
          <w:tcPr>
            <w:tcW w:w="1302"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r>
    </w:tbl>
    <w:p>
      <w:pPr>
        <w:pStyle w:val="5"/>
        <w:bidi w:val="0"/>
        <w:spacing w:line="360" w:lineRule="auto"/>
        <w:ind w:firstLine="562" w:firstLineChars="200"/>
        <w:rPr>
          <w:rFonts w:hint="eastAsia" w:ascii="宋体" w:hAnsi="宋体" w:eastAsia="宋体" w:cs="宋体"/>
          <w:color w:val="auto"/>
          <w:highlight w:val="none"/>
          <w:lang w:val="en-US" w:eastAsia="zh-CN"/>
        </w:rPr>
      </w:pPr>
      <w:r>
        <w:rPr>
          <w:rFonts w:hint="eastAsia" w:ascii="宋体" w:hAnsi="宋体" w:eastAsia="宋体" w:cs="宋体"/>
          <w:color w:val="auto"/>
          <w:sz w:val="28"/>
          <w:szCs w:val="28"/>
          <w:highlight w:val="none"/>
          <w:lang w:val="en-US" w:eastAsia="zh-CN"/>
        </w:rPr>
        <w:t>2、计算权重（一致性检验CR&lt;0.1）</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2"/>
        <w:gridCol w:w="1246"/>
        <w:gridCol w:w="5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2044" w:type="dxa"/>
            <w:noWrap w:val="0"/>
            <w:vAlign w:val="center"/>
          </w:tcPr>
          <w:p>
            <w:pPr>
              <w:pStyle w:val="30"/>
              <w:widowControl w:val="0"/>
              <w:bidi w:val="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指标</w:t>
            </w:r>
          </w:p>
        </w:tc>
        <w:tc>
          <w:tcPr>
            <w:tcW w:w="1295" w:type="dxa"/>
            <w:noWrap w:val="0"/>
            <w:vAlign w:val="center"/>
          </w:tcPr>
          <w:p>
            <w:pPr>
              <w:pStyle w:val="30"/>
              <w:widowControl w:val="0"/>
              <w:bidi w:val="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权重</w:t>
            </w:r>
          </w:p>
        </w:tc>
        <w:tc>
          <w:tcPr>
            <w:tcW w:w="5773" w:type="dxa"/>
            <w:noWrap w:val="0"/>
            <w:vAlign w:val="center"/>
          </w:tcPr>
          <w:p>
            <w:pPr>
              <w:pStyle w:val="30"/>
              <w:widowControl w:val="0"/>
              <w:bidi w:val="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生态解释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2044"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NPP</w:t>
            </w:r>
          </w:p>
        </w:tc>
        <w:tc>
          <w:tcPr>
            <w:tcW w:w="1295"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0.35</w:t>
            </w:r>
          </w:p>
        </w:tc>
        <w:tc>
          <w:tcPr>
            <w:tcW w:w="5773" w:type="dxa"/>
            <w:noWrap w:val="0"/>
            <w:vAlign w:val="center"/>
          </w:tcPr>
          <w:p>
            <w:pPr>
              <w:pStyle w:val="30"/>
              <w:widowControl w:val="0"/>
              <w:bidi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生产力是恢复力的核心驱动力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2044"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FVC</w:t>
            </w:r>
          </w:p>
        </w:tc>
        <w:tc>
          <w:tcPr>
            <w:tcW w:w="1295"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0.25</w:t>
            </w:r>
          </w:p>
        </w:tc>
        <w:tc>
          <w:tcPr>
            <w:tcW w:w="5773" w:type="dxa"/>
            <w:noWrap w:val="0"/>
            <w:vAlign w:val="center"/>
          </w:tcPr>
          <w:p>
            <w:pPr>
              <w:pStyle w:val="30"/>
              <w:widowControl w:val="0"/>
              <w:bidi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植被覆盖直接体现系统健康状况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2044"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干扰胁迫</w:t>
            </w:r>
          </w:p>
        </w:tc>
        <w:tc>
          <w:tcPr>
            <w:tcW w:w="1295"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0.15</w:t>
            </w:r>
          </w:p>
        </w:tc>
        <w:tc>
          <w:tcPr>
            <w:tcW w:w="5773" w:type="dxa"/>
            <w:noWrap w:val="0"/>
            <w:vAlign w:val="center"/>
          </w:tcPr>
          <w:p>
            <w:pPr>
              <w:pStyle w:val="30"/>
              <w:widowControl w:val="0"/>
              <w:bidi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人类活动是主要退化原因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2044"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土壤条件</w:t>
            </w:r>
          </w:p>
        </w:tc>
        <w:tc>
          <w:tcPr>
            <w:tcW w:w="1295"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0.10</w:t>
            </w:r>
          </w:p>
        </w:tc>
        <w:tc>
          <w:tcPr>
            <w:tcW w:w="5773" w:type="dxa"/>
            <w:noWrap w:val="0"/>
            <w:vAlign w:val="center"/>
          </w:tcPr>
          <w:p>
            <w:pPr>
              <w:pStyle w:val="30"/>
              <w:widowControl w:val="0"/>
              <w:bidi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肥力与结构影响植物定植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2044"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坡度</w:t>
            </w:r>
          </w:p>
        </w:tc>
        <w:tc>
          <w:tcPr>
            <w:tcW w:w="1295"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0.08</w:t>
            </w:r>
          </w:p>
        </w:tc>
        <w:tc>
          <w:tcPr>
            <w:tcW w:w="5773" w:type="dxa"/>
            <w:noWrap w:val="0"/>
            <w:vAlign w:val="center"/>
          </w:tcPr>
          <w:p>
            <w:pPr>
              <w:pStyle w:val="30"/>
              <w:widowControl w:val="0"/>
              <w:bidi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地形陡峭加剧侵蚀风险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exact"/>
        </w:trPr>
        <w:tc>
          <w:tcPr>
            <w:tcW w:w="2044"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高程</w:t>
            </w:r>
          </w:p>
        </w:tc>
        <w:tc>
          <w:tcPr>
            <w:tcW w:w="1295" w:type="dxa"/>
            <w:noWrap w:val="0"/>
            <w:vAlign w:val="center"/>
          </w:tcPr>
          <w:p>
            <w:pPr>
              <w:pStyle w:val="30"/>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0.07</w:t>
            </w:r>
          </w:p>
        </w:tc>
        <w:tc>
          <w:tcPr>
            <w:tcW w:w="5773" w:type="dxa"/>
            <w:noWrap w:val="0"/>
            <w:vAlign w:val="center"/>
          </w:tcPr>
          <w:p>
            <w:pPr>
              <w:pStyle w:val="30"/>
              <w:widowControl w:val="0"/>
              <w:bidi w:val="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间接影响水热条件</w:t>
            </w:r>
          </w:p>
        </w:tc>
      </w:tr>
    </w:tbl>
    <w:p>
      <w:pPr>
        <w:bidi w:val="0"/>
        <w:rPr>
          <w:rFonts w:hint="eastAsia" w:ascii="宋体" w:hAnsi="宋体" w:eastAsia="宋体" w:cs="宋体"/>
          <w:color w:val="auto"/>
          <w:highlight w:val="none"/>
          <w:lang w:val="en-US" w:eastAsia="zh-CN"/>
        </w:rPr>
      </w:pPr>
    </w:p>
    <w:p>
      <w:pPr>
        <w:pStyle w:val="4"/>
        <w:bidi w:val="0"/>
        <w:spacing w:line="360" w:lineRule="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四、GIS空间分析流程</w:t>
      </w:r>
    </w:p>
    <w:p>
      <w:pPr>
        <w:pStyle w:val="5"/>
        <w:bidi w:val="0"/>
        <w:spacing w:line="360" w:lineRule="auto"/>
        <w:ind w:firstLine="562"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数据预处理（ArcGISP）</w:t>
      </w:r>
    </w:p>
    <w:p>
      <w:pPr>
        <w:bidi w:val="0"/>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投影统一：将所有数据转换为同一坐标系统（CGCS_2000_Albers）</w:t>
      </w:r>
      <w:r>
        <w:rPr>
          <w:rFonts w:hint="eastAsia" w:ascii="宋体" w:hAnsi="宋体" w:eastAsia="宋体" w:cs="宋体"/>
          <w:color w:val="auto"/>
          <w:sz w:val="28"/>
          <w:szCs w:val="28"/>
          <w:highlight w:val="none"/>
          <w:lang w:eastAsia="zh-CN"/>
        </w:rPr>
        <w:t>。</w:t>
      </w:r>
    </w:p>
    <w:p>
      <w:pPr>
        <w:bidi w:val="0"/>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重采样：统一分辨率至30m（确保像元对齐）</w:t>
      </w:r>
      <w:r>
        <w:rPr>
          <w:rFonts w:hint="eastAsia" w:ascii="宋体" w:hAnsi="宋体" w:eastAsia="宋体" w:cs="宋体"/>
          <w:color w:val="auto"/>
          <w:sz w:val="28"/>
          <w:szCs w:val="28"/>
          <w:highlight w:val="none"/>
          <w:lang w:eastAsia="zh-CN"/>
        </w:rPr>
        <w:t>。</w:t>
      </w:r>
    </w:p>
    <w:p>
      <w:pPr>
        <w:bidi w:val="0"/>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掩膜提取：按研究区边界裁剪数据</w:t>
      </w:r>
      <w:r>
        <w:rPr>
          <w:rFonts w:hint="eastAsia" w:ascii="宋体" w:hAnsi="宋体" w:eastAsia="宋体" w:cs="宋体"/>
          <w:color w:val="auto"/>
          <w:sz w:val="28"/>
          <w:szCs w:val="28"/>
          <w:highlight w:val="none"/>
          <w:lang w:eastAsia="zh-CN"/>
        </w:rPr>
        <w:t>。</w:t>
      </w:r>
    </w:p>
    <w:p>
      <w:pPr>
        <w:pStyle w:val="5"/>
        <w:bidi w:val="0"/>
        <w:spacing w:line="360" w:lineRule="auto"/>
        <w:ind w:firstLine="562"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2、指标计算与标准化</w:t>
      </w:r>
    </w:p>
    <w:p>
      <w:pPr>
        <w:bidi w:val="0"/>
        <w:spacing w:line="360" w:lineRule="auto"/>
        <w:ind w:firstLine="560" w:firstLineChars="200"/>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FVC：基于NDVI计算（FVC=(NDVI-NDVI_soil)/(NDVI_veg-NDVI_soil)）</w:t>
      </w:r>
      <w:r>
        <w:rPr>
          <w:rFonts w:hint="eastAsia" w:ascii="宋体" w:hAnsi="宋体" w:eastAsia="宋体" w:cs="宋体"/>
          <w:color w:val="auto"/>
          <w:sz w:val="28"/>
          <w:szCs w:val="28"/>
          <w:highlight w:val="none"/>
          <w:lang w:eastAsia="zh-CN"/>
        </w:rPr>
        <w:t>。</w:t>
      </w:r>
    </w:p>
    <w:p>
      <w:pPr>
        <w:bidi w:val="0"/>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NPP：直接使用MOD17A3H年际数据（单位转换：kgC/m²→gC/m²）</w:t>
      </w:r>
      <w:r>
        <w:rPr>
          <w:rFonts w:hint="eastAsia" w:ascii="宋体" w:hAnsi="宋体" w:eastAsia="宋体" w:cs="宋体"/>
          <w:color w:val="auto"/>
          <w:sz w:val="28"/>
          <w:szCs w:val="28"/>
          <w:highlight w:val="none"/>
          <w:lang w:eastAsia="zh-CN"/>
        </w:rPr>
        <w:t>。</w:t>
      </w:r>
    </w:p>
    <w:p>
      <w:pPr>
        <w:bidi w:val="0"/>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土壤综合指数：有机质（40%）+质地（30%）+pH（30%）加权</w:t>
      </w:r>
      <w:r>
        <w:rPr>
          <w:rFonts w:hint="eastAsia" w:ascii="宋体" w:hAnsi="宋体" w:eastAsia="宋体" w:cs="宋体"/>
          <w:color w:val="auto"/>
          <w:sz w:val="28"/>
          <w:szCs w:val="28"/>
          <w:highlight w:val="none"/>
          <w:lang w:eastAsia="zh-CN"/>
        </w:rPr>
        <w:t>。</w:t>
      </w:r>
    </w:p>
    <w:p>
      <w:pPr>
        <w:pStyle w:val="5"/>
        <w:bidi w:val="0"/>
        <w:spacing w:line="360" w:lineRule="auto"/>
        <w:ind w:firstLine="562"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3、加权叠加分析</w:t>
      </w:r>
    </w:p>
    <w:p>
      <w:pPr>
        <w:bidi w:val="0"/>
        <w:spacing w:line="360" w:lineRule="auto"/>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运用Arcgis加权综合工具，按照各个因子权重进行叠加计算</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获得</w:t>
      </w:r>
      <w:r>
        <w:rPr>
          <w:rFonts w:hint="eastAsia" w:ascii="宋体" w:hAnsi="宋体" w:eastAsia="宋体" w:cs="宋体"/>
          <w:color w:val="auto"/>
          <w:sz w:val="28"/>
          <w:szCs w:val="28"/>
          <w:highlight w:val="none"/>
          <w:lang w:val="en-US" w:eastAsia="zh-CN"/>
        </w:rPr>
        <w:t>师宗县生态系统恢复力评价图</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图4-6</w:t>
      </w:r>
      <w:r>
        <w:rPr>
          <w:rFonts w:hint="eastAsia" w:ascii="宋体" w:hAnsi="宋体" w:eastAsia="宋体" w:cs="宋体"/>
          <w:color w:val="auto"/>
          <w:sz w:val="28"/>
          <w:szCs w:val="28"/>
          <w:highlight w:val="none"/>
          <w:lang w:eastAsia="zh-CN"/>
        </w:rPr>
        <w:t>）。</w:t>
      </w:r>
    </w:p>
    <w:p>
      <w:pPr>
        <w:keepNext w:val="0"/>
        <w:keepLines w:val="0"/>
        <w:pageBreakBefore w:val="0"/>
        <w:widowControl/>
        <w:kinsoku w:val="0"/>
        <w:wordWrap/>
        <w:overflowPunct/>
        <w:topLinePunct w:val="0"/>
        <w:autoSpaceDE w:val="0"/>
        <w:autoSpaceDN w:val="0"/>
        <w:bidi w:val="0"/>
        <w:adjustRightInd/>
        <w:snapToGrid/>
        <w:spacing w:line="360" w:lineRule="auto"/>
        <w:ind w:left="2240" w:right="0" w:hanging="2240" w:hangingChars="800"/>
        <w:jc w:val="both"/>
        <w:textAlignment w:val="baseline"/>
        <w:rPr>
          <w:rFonts w:hint="eastAsia" w:ascii="宋体" w:hAnsi="宋体" w:eastAsia="宋体" w:cs="宋体"/>
          <w:color w:val="auto"/>
          <w:sz w:val="28"/>
          <w:szCs w:val="28"/>
          <w:highlight w:val="none"/>
          <w:lang w:eastAsia="zh-CN"/>
        </w:rPr>
      </w:pPr>
      <w:r>
        <w:rPr>
          <w:rFonts w:hint="eastAsia" w:ascii="宋体" w:hAnsi="宋体" w:eastAsia="宋体" w:cs="宋体"/>
          <w:snapToGrid/>
          <w:color w:val="auto"/>
          <w:kern w:val="2"/>
          <w:sz w:val="28"/>
          <w:szCs w:val="28"/>
          <w:lang w:val="en-US" w:eastAsia="zh-CN" w:bidi="ar-SA"/>
        </w:rPr>
        <w:drawing>
          <wp:inline distT="0" distB="0" distL="114300" distR="114300">
            <wp:extent cx="5813425" cy="4383405"/>
            <wp:effectExtent l="0" t="0" r="3175" b="10795"/>
            <wp:docPr id="19" name="图片 19" descr="2-7-生态系统恢复力评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7-生态系统恢复力评价"/>
                    <pic:cNvPicPr>
                      <a:picLocks noChangeAspect="1"/>
                    </pic:cNvPicPr>
                  </pic:nvPicPr>
                  <pic:blipFill>
                    <a:blip r:embed="rId15"/>
                    <a:srcRect l="6236" t="9056" r="6508" b="9971"/>
                    <a:stretch>
                      <a:fillRect/>
                    </a:stretch>
                  </pic:blipFill>
                  <pic:spPr>
                    <a:xfrm>
                      <a:off x="0" y="0"/>
                      <a:ext cx="5813425" cy="4383405"/>
                    </a:xfrm>
                    <a:prstGeom prst="rect">
                      <a:avLst/>
                    </a:prstGeom>
                  </pic:spPr>
                </pic:pic>
              </a:graphicData>
            </a:graphic>
          </wp:inline>
        </w:drawing>
      </w:r>
      <w:r>
        <w:rPr>
          <w:rFonts w:hint="eastAsia" w:ascii="宋体" w:hAnsi="宋体" w:eastAsia="宋体" w:cs="宋体"/>
          <w:b/>
          <w:bCs w:val="0"/>
          <w:sz w:val="24"/>
          <w:szCs w:val="24"/>
        </w:rPr>
        <w:t>图4-</w:t>
      </w:r>
      <w:r>
        <w:rPr>
          <w:rFonts w:hint="eastAsia" w:ascii="宋体" w:hAnsi="宋体" w:eastAsia="宋体" w:cs="宋体"/>
          <w:b/>
          <w:bCs w:val="0"/>
          <w:sz w:val="24"/>
          <w:szCs w:val="24"/>
          <w:lang w:val="en-US" w:eastAsia="zh-CN"/>
        </w:rPr>
        <w:t>6</w:t>
      </w:r>
      <w:r>
        <w:rPr>
          <w:rFonts w:hint="eastAsia" w:ascii="宋体" w:hAnsi="宋体" w:eastAsia="宋体" w:cs="宋体"/>
          <w:b/>
          <w:bCs w:val="0"/>
          <w:sz w:val="24"/>
          <w:szCs w:val="24"/>
        </w:rPr>
        <w:t xml:space="preserve">   </w:t>
      </w:r>
      <w:r>
        <w:rPr>
          <w:rFonts w:hint="eastAsia" w:ascii="宋体" w:hAnsi="宋体" w:eastAsia="宋体" w:cs="宋体"/>
          <w:b/>
          <w:bCs w:val="0"/>
          <w:sz w:val="24"/>
          <w:szCs w:val="24"/>
          <w:lang w:val="en-US" w:eastAsia="zh-CN"/>
        </w:rPr>
        <w:t>师宗县</w:t>
      </w:r>
      <w:r>
        <w:rPr>
          <w:rFonts w:hint="eastAsia" w:ascii="宋体" w:hAnsi="宋体" w:eastAsia="宋体" w:cs="宋体"/>
          <w:b/>
          <w:bCs w:val="0"/>
          <w:sz w:val="24"/>
          <w:szCs w:val="24"/>
        </w:rPr>
        <w:t>生态系统</w:t>
      </w:r>
      <w:r>
        <w:rPr>
          <w:rFonts w:hint="eastAsia" w:ascii="宋体" w:hAnsi="宋体" w:eastAsia="宋体" w:cs="宋体"/>
          <w:b/>
          <w:bCs w:val="0"/>
          <w:sz w:val="24"/>
          <w:szCs w:val="24"/>
          <w:lang w:val="en-US" w:eastAsia="zh-CN"/>
        </w:rPr>
        <w:t>恢复力评价</w:t>
      </w:r>
      <w:r>
        <w:rPr>
          <w:rFonts w:hint="eastAsia" w:ascii="宋体" w:hAnsi="宋体" w:eastAsia="宋体" w:cs="宋体"/>
          <w:b/>
          <w:bCs w:val="0"/>
          <w:sz w:val="24"/>
          <w:szCs w:val="24"/>
        </w:rPr>
        <w:t>图</w:t>
      </w:r>
    </w:p>
    <w:p>
      <w:pPr>
        <w:pStyle w:val="5"/>
        <w:bidi w:val="0"/>
        <w:spacing w:line="360" w:lineRule="auto"/>
        <w:ind w:firstLine="562"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4、恢复力分级</w:t>
      </w:r>
    </w:p>
    <w:p>
      <w:pPr>
        <w:bidi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采用自然断点法（Jenks）分为3级：</w:t>
      </w:r>
    </w:p>
    <w:tbl>
      <w:tblPr>
        <w:tblStyle w:val="20"/>
        <w:tblW w:w="8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205"/>
        <w:gridCol w:w="1144"/>
        <w:gridCol w:w="1484"/>
        <w:gridCol w:w="4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exact"/>
          <w:tblHeader/>
        </w:trPr>
        <w:tc>
          <w:tcPr>
            <w:tcW w:w="0" w:type="auto"/>
            <w:noWrap w:val="0"/>
            <w:tcMar>
              <w:top w:w="150" w:type="dxa"/>
              <w:left w:w="0" w:type="dxa"/>
              <w:bottom w:w="150" w:type="dxa"/>
              <w:right w:w="150" w:type="dxa"/>
            </w:tcMar>
            <w:vAlign w:val="center"/>
          </w:tcPr>
          <w:p>
            <w:pPr>
              <w:pStyle w:val="30"/>
              <w:bidi w:val="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等级</w:t>
            </w:r>
          </w:p>
        </w:tc>
        <w:tc>
          <w:tcPr>
            <w:tcW w:w="0" w:type="auto"/>
            <w:noWrap w:val="0"/>
            <w:tcMar>
              <w:top w:w="150" w:type="dxa"/>
              <w:left w:w="150" w:type="dxa"/>
              <w:bottom w:w="150" w:type="dxa"/>
              <w:right w:w="150" w:type="dxa"/>
            </w:tcMar>
            <w:vAlign w:val="center"/>
          </w:tcPr>
          <w:p>
            <w:pPr>
              <w:pStyle w:val="30"/>
              <w:bidi w:val="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分值范围</w:t>
            </w:r>
          </w:p>
        </w:tc>
        <w:tc>
          <w:tcPr>
            <w:tcW w:w="1484" w:type="dxa"/>
            <w:noWrap w:val="0"/>
            <w:tcMar>
              <w:top w:w="150" w:type="dxa"/>
              <w:left w:w="150" w:type="dxa"/>
              <w:bottom w:w="150" w:type="dxa"/>
              <w:right w:w="150" w:type="dxa"/>
            </w:tcMar>
            <w:vAlign w:val="center"/>
          </w:tcPr>
          <w:p>
            <w:pPr>
              <w:pStyle w:val="30"/>
              <w:bidi w:val="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面积(公顷)</w:t>
            </w:r>
          </w:p>
        </w:tc>
        <w:tc>
          <w:tcPr>
            <w:tcW w:w="4727" w:type="dxa"/>
            <w:noWrap w:val="0"/>
            <w:tcMar>
              <w:top w:w="150" w:type="dxa"/>
              <w:left w:w="150" w:type="dxa"/>
              <w:bottom w:w="150" w:type="dxa"/>
              <w:right w:w="150" w:type="dxa"/>
            </w:tcMar>
            <w:vAlign w:val="center"/>
          </w:tcPr>
          <w:p>
            <w:pPr>
              <w:pStyle w:val="30"/>
              <w:bidi w:val="0"/>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修复策略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exact"/>
        </w:trPr>
        <w:tc>
          <w:tcPr>
            <w:tcW w:w="0" w:type="auto"/>
            <w:noWrap w:val="0"/>
            <w:tcMar>
              <w:top w:w="150" w:type="dxa"/>
              <w:left w:w="0" w:type="dxa"/>
              <w:bottom w:w="150" w:type="dxa"/>
              <w:right w:w="150" w:type="dxa"/>
            </w:tcMar>
            <w:vAlign w:val="center"/>
          </w:tcPr>
          <w:p>
            <w:pPr>
              <w:pStyle w:val="30"/>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高恢复力</w:t>
            </w:r>
          </w:p>
        </w:tc>
        <w:tc>
          <w:tcPr>
            <w:tcW w:w="0" w:type="auto"/>
            <w:noWrap w:val="0"/>
            <w:tcMar>
              <w:top w:w="150" w:type="dxa"/>
              <w:left w:w="150" w:type="dxa"/>
              <w:bottom w:w="150" w:type="dxa"/>
              <w:right w:w="150" w:type="dxa"/>
            </w:tcMar>
            <w:vAlign w:val="center"/>
          </w:tcPr>
          <w:p>
            <w:pPr>
              <w:pStyle w:val="30"/>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2.2-3</w:t>
            </w:r>
          </w:p>
        </w:tc>
        <w:tc>
          <w:tcPr>
            <w:tcW w:w="1484" w:type="dxa"/>
            <w:noWrap w:val="0"/>
            <w:tcMar>
              <w:top w:w="150" w:type="dxa"/>
              <w:left w:w="150" w:type="dxa"/>
              <w:bottom w:w="150" w:type="dxa"/>
              <w:right w:w="150" w:type="dxa"/>
            </w:tcMar>
            <w:vAlign w:val="center"/>
          </w:tcPr>
          <w:p>
            <w:pPr>
              <w:pStyle w:val="30"/>
              <w:bidi w:val="0"/>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208836.83</w:t>
            </w:r>
          </w:p>
        </w:tc>
        <w:tc>
          <w:tcPr>
            <w:tcW w:w="4727" w:type="dxa"/>
            <w:noWrap w:val="0"/>
            <w:tcMar>
              <w:top w:w="150" w:type="dxa"/>
              <w:left w:w="150" w:type="dxa"/>
              <w:bottom w:w="150" w:type="dxa"/>
              <w:right w:w="150" w:type="dxa"/>
            </w:tcMar>
            <w:vAlign w:val="center"/>
          </w:tcPr>
          <w:p>
            <w:pPr>
              <w:pStyle w:val="30"/>
              <w:bidi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严格保护（如核心保护区）、自然恢复（封育）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exact"/>
        </w:trPr>
        <w:tc>
          <w:tcPr>
            <w:tcW w:w="0" w:type="auto"/>
            <w:noWrap w:val="0"/>
            <w:tcMar>
              <w:top w:w="150" w:type="dxa"/>
              <w:left w:w="0" w:type="dxa"/>
              <w:bottom w:w="150" w:type="dxa"/>
              <w:right w:w="150" w:type="dxa"/>
            </w:tcMar>
            <w:vAlign w:val="center"/>
          </w:tcPr>
          <w:p>
            <w:pPr>
              <w:pStyle w:val="30"/>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中等恢复力</w:t>
            </w:r>
          </w:p>
        </w:tc>
        <w:tc>
          <w:tcPr>
            <w:tcW w:w="0" w:type="auto"/>
            <w:noWrap w:val="0"/>
            <w:tcMar>
              <w:top w:w="150" w:type="dxa"/>
              <w:left w:w="150" w:type="dxa"/>
              <w:bottom w:w="150" w:type="dxa"/>
              <w:right w:w="150" w:type="dxa"/>
            </w:tcMar>
            <w:vAlign w:val="center"/>
          </w:tcPr>
          <w:p>
            <w:pPr>
              <w:pStyle w:val="30"/>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1.7-2.2</w:t>
            </w:r>
          </w:p>
        </w:tc>
        <w:tc>
          <w:tcPr>
            <w:tcW w:w="1484" w:type="dxa"/>
            <w:noWrap w:val="0"/>
            <w:tcMar>
              <w:top w:w="150" w:type="dxa"/>
              <w:left w:w="150" w:type="dxa"/>
              <w:bottom w:w="150" w:type="dxa"/>
              <w:right w:w="150" w:type="dxa"/>
            </w:tcMar>
            <w:vAlign w:val="center"/>
          </w:tcPr>
          <w:p>
            <w:pPr>
              <w:pStyle w:val="30"/>
              <w:bidi w:val="0"/>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55689.82</w:t>
            </w:r>
          </w:p>
        </w:tc>
        <w:tc>
          <w:tcPr>
            <w:tcW w:w="4727" w:type="dxa"/>
            <w:noWrap w:val="0"/>
            <w:tcMar>
              <w:top w:w="150" w:type="dxa"/>
              <w:left w:w="150" w:type="dxa"/>
              <w:bottom w:w="150" w:type="dxa"/>
              <w:right w:w="150" w:type="dxa"/>
            </w:tcMar>
            <w:vAlign w:val="center"/>
          </w:tcPr>
          <w:p>
            <w:pPr>
              <w:pStyle w:val="30"/>
              <w:bidi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辅助再生（补播+土壤改良）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3" w:hRule="exact"/>
        </w:trPr>
        <w:tc>
          <w:tcPr>
            <w:tcW w:w="0" w:type="auto"/>
            <w:noWrap w:val="0"/>
            <w:tcMar>
              <w:top w:w="150" w:type="dxa"/>
              <w:left w:w="0" w:type="dxa"/>
              <w:bottom w:w="150" w:type="dxa"/>
              <w:right w:w="150" w:type="dxa"/>
            </w:tcMar>
            <w:vAlign w:val="center"/>
          </w:tcPr>
          <w:p>
            <w:pPr>
              <w:pStyle w:val="30"/>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低恢复力</w:t>
            </w:r>
          </w:p>
        </w:tc>
        <w:tc>
          <w:tcPr>
            <w:tcW w:w="0" w:type="auto"/>
            <w:noWrap w:val="0"/>
            <w:tcMar>
              <w:top w:w="150" w:type="dxa"/>
              <w:left w:w="150" w:type="dxa"/>
              <w:bottom w:w="150" w:type="dxa"/>
              <w:right w:w="150" w:type="dxa"/>
            </w:tcMar>
            <w:vAlign w:val="center"/>
          </w:tcPr>
          <w:p>
            <w:pPr>
              <w:pStyle w:val="30"/>
              <w:bidi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2.2</w:t>
            </w:r>
          </w:p>
        </w:tc>
        <w:tc>
          <w:tcPr>
            <w:tcW w:w="1484" w:type="dxa"/>
            <w:noWrap w:val="0"/>
            <w:tcMar>
              <w:top w:w="150" w:type="dxa"/>
              <w:left w:w="150" w:type="dxa"/>
              <w:bottom w:w="150" w:type="dxa"/>
              <w:right w:w="150" w:type="dxa"/>
            </w:tcMar>
            <w:vAlign w:val="center"/>
          </w:tcPr>
          <w:p>
            <w:pPr>
              <w:pStyle w:val="30"/>
              <w:bidi w:val="0"/>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13922.46</w:t>
            </w:r>
          </w:p>
        </w:tc>
        <w:tc>
          <w:tcPr>
            <w:tcW w:w="4727" w:type="dxa"/>
            <w:noWrap w:val="0"/>
            <w:tcMar>
              <w:top w:w="150" w:type="dxa"/>
              <w:left w:w="150" w:type="dxa"/>
              <w:bottom w:w="150" w:type="dxa"/>
              <w:right w:w="150" w:type="dxa"/>
            </w:tcMar>
            <w:vAlign w:val="center"/>
          </w:tcPr>
          <w:p>
            <w:pPr>
              <w:pStyle w:val="30"/>
              <w:bidi w:val="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优先避让或长期修复、生态重建（工程措施）</w:t>
            </w:r>
          </w:p>
        </w:tc>
      </w:tr>
    </w:tbl>
    <w:p>
      <w:pPr>
        <w:pStyle w:val="32"/>
        <w:bidi w:val="0"/>
        <w:outlineLvl w:val="9"/>
        <w:rPr>
          <w:rFonts w:hint="eastAsia" w:ascii="宋体" w:hAnsi="宋体" w:eastAsia="宋体" w:cs="宋体"/>
          <w:color w:val="auto"/>
          <w:highlight w:val="none"/>
          <w:lang w:val="en-US" w:eastAsia="zh-CN"/>
        </w:rPr>
      </w:pPr>
    </w:p>
    <w:p>
      <w:pPr>
        <w:pStyle w:val="4"/>
        <w:bidi w:val="0"/>
        <w:spacing w:line="360" w:lineRule="auto"/>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bCs/>
          <w:color w:val="auto"/>
          <w:sz w:val="28"/>
          <w:szCs w:val="28"/>
          <w:highlight w:val="none"/>
          <w:lang w:val="en-US" w:eastAsia="zh-CN"/>
        </w:rPr>
        <w:t>5、生态系统恢复力评价结果</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评价结果见上表。总体而言，师宗县生态系统恢复力呈现出一定的空间分布差异。高恢复力区域主要集中在自然保护区和森林覆盖率高的山区，这些区域生态系统相对稳定，具有较强的恢复能力；中恢复力区域受到一定人类活动影响，但仍保留一定的自然基础；低恢复力区域则主要分布在人类活动密集的区域，生态系统受损严重，恢复难度较大。针对不同恢复力等级的区域，应采取相应的生态保护和恢复措施，以提高师宗县整体的生态系统恢复力和稳定性。对于高恢复力区域，应加强保护，减少人类活动的干扰；对于中恢复力区域，可以通过适当的生态修复措施，增强生态系统的稳定性；对于低恢复力区域，则需要加大生态恢复力度，改善生态环境。</w:t>
      </w:r>
    </w:p>
    <w:p>
      <w:pPr>
        <w:spacing w:before="156" w:line="360" w:lineRule="auto"/>
        <w:ind w:left="2368" w:firstLine="319" w:firstLineChars="100"/>
        <w:jc w:val="both"/>
        <w:outlineLvl w:val="0"/>
        <w:rPr>
          <w:rFonts w:hint="eastAsia" w:ascii="宋体" w:hAnsi="宋体" w:eastAsia="宋体" w:cs="宋体"/>
          <w:b/>
          <w:bCs/>
          <w:sz w:val="32"/>
          <w:szCs w:val="32"/>
        </w:rPr>
      </w:pPr>
      <w:bookmarkStart w:id="30" w:name="_Toc8614"/>
      <w:r>
        <w:rPr>
          <w:rFonts w:hint="eastAsia" w:ascii="宋体" w:hAnsi="宋体" w:eastAsia="宋体" w:cs="宋体"/>
          <w:b/>
          <w:bCs/>
          <w:spacing w:val="-1"/>
          <w:sz w:val="32"/>
          <w:szCs w:val="32"/>
        </w:rPr>
        <w:t>第五章</w:t>
      </w:r>
      <w:r>
        <w:rPr>
          <w:rFonts w:hint="eastAsia" w:ascii="宋体" w:hAnsi="宋体" w:eastAsia="宋体" w:cs="宋体"/>
          <w:b/>
          <w:bCs/>
          <w:spacing w:val="-1"/>
          <w:sz w:val="32"/>
          <w:szCs w:val="32"/>
          <w:lang w:val="en-US" w:eastAsia="zh-CN"/>
        </w:rPr>
        <w:t xml:space="preserve">  </w:t>
      </w:r>
      <w:r>
        <w:rPr>
          <w:rFonts w:hint="eastAsia" w:ascii="宋体" w:hAnsi="宋体" w:eastAsia="宋体" w:cs="宋体"/>
          <w:b/>
          <w:bCs/>
          <w:spacing w:val="-1"/>
          <w:sz w:val="32"/>
          <w:szCs w:val="32"/>
        </w:rPr>
        <w:t>规划目标指标</w:t>
      </w:r>
      <w:bookmarkEnd w:id="30"/>
    </w:p>
    <w:p>
      <w:pPr>
        <w:spacing w:before="100" w:line="360" w:lineRule="auto"/>
        <w:ind w:left="2502" w:firstLine="305" w:firstLineChars="100"/>
        <w:jc w:val="both"/>
        <w:outlineLvl w:val="1"/>
        <w:rPr>
          <w:rFonts w:hint="eastAsia" w:ascii="宋体" w:hAnsi="宋体" w:eastAsia="宋体" w:cs="宋体"/>
          <w:sz w:val="30"/>
          <w:szCs w:val="30"/>
        </w:rPr>
      </w:pPr>
      <w:bookmarkStart w:id="31" w:name="bookmark40"/>
      <w:bookmarkEnd w:id="31"/>
      <w:bookmarkStart w:id="32" w:name="_Toc3519"/>
      <w:r>
        <w:rPr>
          <w:rFonts w:hint="eastAsia" w:ascii="宋体" w:hAnsi="宋体" w:eastAsia="宋体" w:cs="宋体"/>
          <w:b/>
          <w:bCs/>
          <w:spacing w:val="2"/>
          <w:position w:val="1"/>
          <w:sz w:val="30"/>
          <w:szCs w:val="30"/>
        </w:rPr>
        <w:t>第一节</w:t>
      </w:r>
      <w:r>
        <w:rPr>
          <w:rFonts w:hint="eastAsia" w:ascii="宋体" w:hAnsi="宋体" w:eastAsia="宋体" w:cs="宋体"/>
          <w:b/>
          <w:bCs/>
          <w:spacing w:val="2"/>
          <w:position w:val="1"/>
          <w:sz w:val="30"/>
          <w:szCs w:val="30"/>
          <w:lang w:val="en-US" w:eastAsia="zh-CN"/>
        </w:rPr>
        <w:t xml:space="preserve"> </w:t>
      </w:r>
      <w:r>
        <w:rPr>
          <w:rFonts w:hint="eastAsia" w:ascii="宋体" w:hAnsi="宋体" w:eastAsia="宋体" w:cs="宋体"/>
          <w:b/>
          <w:bCs/>
          <w:spacing w:val="2"/>
          <w:position w:val="1"/>
          <w:sz w:val="30"/>
          <w:szCs w:val="30"/>
        </w:rPr>
        <w:t>目标确定的依据</w:t>
      </w:r>
      <w:bookmarkEnd w:id="32"/>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规划目标是一定时期内对规划要达到目标的定性和定量描述，规划目标要考虑目标完成的科学性、准确性和合理性。生态修复涉及山、水、林、田、湖、草、沙多个生态要素，涉及多个行业部门的业务,目标制定必须具有高度的概括性、协同性、综合性、可操作性。为此，规划编制组一方面考虑了“十四五”期间全县要解决的主要生态问题、面临的机遇和挑战，另一方面综合考虑了规划期国家、省市其它相关行业部门“十四五”工作安排，由此把“十四五”期间全县国土空间生态修复定性目标设置为“到2025年，全县森林、农田、河湖，湿地、矿山等自然生态系统状况持续优化，生态质量明显提升，生态服务功能明显提高，生态稳定性明显增强，生物多样性不断提高，受威胁物种和生态系统得到恢复，农田生态质量不断改善，农村人居环境质量持续提升，城镇人居生态品质稳步提高，矿山地质环境显著改善，山水林田湖草沙体化保护和修复机制更加健全，山清水秀的生态格局进一步巩固，生态安全屏障更加牢固，人与自然和谐共生的美丽画卷基本绘就”。其主要参考依据为以下一些文件要求和师宗县以及其它行业部门“十四五”规划目标和指标。</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（1）《师宗县国民经济和社会发展第十四个五年规划和二〇三五年远景目标纲要》制定的有关生态文明建设的目标；</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（2）《省级国土空间生态修复规划编制技术规程(试行)》推荐的规划指标要求；</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（3）《曲靖市国土空间生态修复规划(2021-2035年)》的目标和指标设置要求；</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（4）《师宗县水土保持规划(2020-2030年)》的目标和指标设置要求；</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（5）《师宗县矿产资源总体规划(2021-2025年)》目标和指标设置要求；</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（6）《师宗县国土空间总体规划(2021-2035年)》目标和指标设置要求。</w:t>
      </w:r>
    </w:p>
    <w:p>
      <w:pPr>
        <w:spacing w:before="202" w:line="360" w:lineRule="auto"/>
        <w:ind w:left="2823"/>
        <w:jc w:val="both"/>
        <w:outlineLvl w:val="1"/>
        <w:rPr>
          <w:rFonts w:hint="eastAsia" w:ascii="宋体" w:hAnsi="宋体" w:eastAsia="宋体" w:cs="宋体"/>
          <w:b/>
          <w:bCs/>
          <w:sz w:val="30"/>
          <w:szCs w:val="30"/>
        </w:rPr>
      </w:pPr>
      <w:bookmarkStart w:id="33" w:name="_Toc23898"/>
      <w:r>
        <w:rPr>
          <w:rFonts w:hint="eastAsia" w:ascii="宋体" w:hAnsi="宋体" w:eastAsia="宋体" w:cs="宋体"/>
          <w:b/>
          <w:bCs/>
          <w:spacing w:val="7"/>
          <w:position w:val="1"/>
          <w:sz w:val="30"/>
          <w:szCs w:val="30"/>
        </w:rPr>
        <w:t>第二节 指标的确定</w:t>
      </w:r>
      <w:bookmarkEnd w:id="33"/>
    </w:p>
    <w:p>
      <w:pPr>
        <w:keepNext w:val="0"/>
        <w:keepLines w:val="0"/>
        <w:pageBreakBefore w:val="0"/>
        <w:widowControl/>
        <w:kinsoku w:val="0"/>
        <w:wordWrap/>
        <w:overflowPunct/>
        <w:topLinePunct w:val="0"/>
        <w:autoSpaceDE w:val="0"/>
        <w:autoSpaceDN w:val="0"/>
        <w:bidi w:val="0"/>
        <w:adjustRightInd/>
        <w:snapToGrid/>
        <w:spacing w:line="360" w:lineRule="auto"/>
        <w:ind w:left="298" w:leftChars="142" w:right="0" w:firstLine="492" w:firstLineChars="175"/>
        <w:jc w:val="both"/>
        <w:textAlignment w:val="baseline"/>
        <w:rPr>
          <w:rFonts w:hint="default" w:ascii="宋体" w:hAnsi="宋体" w:eastAsia="宋体" w:cs="宋体"/>
          <w:b/>
          <w:bCs/>
          <w:snapToGrid/>
          <w:color w:val="auto"/>
          <w:kern w:val="2"/>
          <w:sz w:val="28"/>
          <w:szCs w:val="28"/>
          <w:lang w:val="en-US" w:eastAsia="zh-CN" w:bidi="ar-SA"/>
        </w:rPr>
      </w:pPr>
      <w:r>
        <w:rPr>
          <w:rFonts w:hint="eastAsia" w:ascii="宋体" w:hAnsi="宋体" w:eastAsia="宋体" w:cs="宋体"/>
          <w:b/>
          <w:bCs/>
          <w:snapToGrid/>
          <w:color w:val="auto"/>
          <w:kern w:val="2"/>
          <w:sz w:val="28"/>
          <w:szCs w:val="28"/>
          <w:lang w:val="en-US" w:eastAsia="zh-CN" w:bidi="ar-SA"/>
        </w:rPr>
        <w:t>一、落实市级任务</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参考云南省自然资源厅印发的《云南省市县级国土空间生态修复规划编制指南（试行）》、《曲靖市国土空间生态修复规划（2021—2035年）》等提出的指标，结合师宗县实际进行适当调整，突出指标设置的科学性和合理性。</w:t>
      </w:r>
    </w:p>
    <w:p>
      <w:pPr>
        <w:keepNext w:val="0"/>
        <w:keepLines w:val="0"/>
        <w:pageBreakBefore w:val="0"/>
        <w:widowControl/>
        <w:kinsoku w:val="0"/>
        <w:wordWrap/>
        <w:overflowPunct/>
        <w:topLinePunct w:val="0"/>
        <w:autoSpaceDE w:val="0"/>
        <w:autoSpaceDN w:val="0"/>
        <w:bidi w:val="0"/>
        <w:adjustRightInd/>
        <w:snapToGrid/>
        <w:spacing w:line="360" w:lineRule="auto"/>
        <w:ind w:left="298" w:leftChars="142" w:right="0" w:firstLine="492" w:firstLineChars="175"/>
        <w:jc w:val="both"/>
        <w:textAlignment w:val="baseline"/>
        <w:rPr>
          <w:rFonts w:hint="eastAsia" w:ascii="宋体" w:hAnsi="宋体" w:eastAsia="宋体" w:cs="宋体"/>
          <w:b/>
          <w:bCs/>
          <w:snapToGrid/>
          <w:color w:val="auto"/>
          <w:kern w:val="2"/>
          <w:sz w:val="28"/>
          <w:szCs w:val="28"/>
          <w:lang w:val="en-US" w:eastAsia="zh-CN" w:bidi="ar-SA"/>
        </w:rPr>
      </w:pPr>
      <w:r>
        <w:rPr>
          <w:rFonts w:hint="eastAsia" w:ascii="宋体" w:hAnsi="宋体" w:eastAsia="宋体" w:cs="宋体"/>
          <w:b/>
          <w:bCs/>
          <w:snapToGrid/>
          <w:color w:val="auto"/>
          <w:kern w:val="2"/>
          <w:sz w:val="28"/>
          <w:szCs w:val="28"/>
          <w:lang w:val="en-US" w:eastAsia="zh-CN" w:bidi="ar-SA"/>
        </w:rPr>
        <w:t>二、衔接县级专项规划</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规划指标制定与县级相关专项规划相衔接，落实县级国土空间规划中生态修复目标任务。结合师宗县国民经济和社会发展第十四个五年规划纲要，对接《师宗县国土空间总体总体规划（2021—2035年）》、《师宗县水土保持规划（2020-2030年）》、《师宗县“十四五”农村供水保障规划》等规划，提出师宗县到2025年、2035年生态修复规划指标。</w:t>
      </w:r>
    </w:p>
    <w:p>
      <w:pPr>
        <w:keepNext w:val="0"/>
        <w:keepLines w:val="0"/>
        <w:pageBreakBefore w:val="0"/>
        <w:widowControl/>
        <w:kinsoku w:val="0"/>
        <w:wordWrap/>
        <w:overflowPunct/>
        <w:topLinePunct w:val="0"/>
        <w:autoSpaceDE w:val="0"/>
        <w:autoSpaceDN w:val="0"/>
        <w:bidi w:val="0"/>
        <w:adjustRightInd/>
        <w:snapToGrid/>
        <w:spacing w:line="360" w:lineRule="auto"/>
        <w:ind w:left="298" w:leftChars="142" w:right="0" w:firstLine="492" w:firstLineChars="175"/>
        <w:jc w:val="both"/>
        <w:textAlignment w:val="baseline"/>
        <w:rPr>
          <w:rFonts w:hint="eastAsia" w:ascii="宋体" w:hAnsi="宋体" w:eastAsia="宋体" w:cs="宋体"/>
          <w:b/>
          <w:bCs/>
          <w:snapToGrid/>
          <w:color w:val="auto"/>
          <w:kern w:val="2"/>
          <w:sz w:val="28"/>
          <w:szCs w:val="28"/>
          <w:lang w:val="en-US" w:eastAsia="zh-CN" w:bidi="ar-SA"/>
        </w:rPr>
      </w:pPr>
      <w:r>
        <w:rPr>
          <w:rFonts w:hint="eastAsia" w:ascii="宋体" w:hAnsi="宋体" w:eastAsia="宋体" w:cs="宋体"/>
          <w:b/>
          <w:bCs/>
          <w:snapToGrid/>
          <w:color w:val="auto"/>
          <w:kern w:val="2"/>
          <w:sz w:val="28"/>
          <w:szCs w:val="28"/>
          <w:lang w:val="en-US" w:eastAsia="zh-CN" w:bidi="ar-SA"/>
        </w:rPr>
        <w:t>三、结合县域生态本底</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依据师宗县生态本底和恢复潜力，结合实际适当调整到2025年、2035年的生态修复规划目标，从师宗县国土空间格局优化、生态保护红线、重要生态系统受损修复、生态系统质量改善、生态系统服务功能提升等方面合理设定生态修复指标体系，详见表5-1。</w:t>
      </w:r>
    </w:p>
    <w:p>
      <w:pPr>
        <w:spacing w:line="396" w:lineRule="exact"/>
        <w:ind w:left="2164"/>
        <w:jc w:val="both"/>
        <w:rPr>
          <w:rFonts w:hint="eastAsia" w:ascii="宋体" w:hAnsi="宋体" w:eastAsia="宋体" w:cs="宋体"/>
          <w:b/>
          <w:bCs/>
          <w:spacing w:val="-4"/>
          <w:position w:val="2"/>
          <w:sz w:val="24"/>
          <w:szCs w:val="24"/>
        </w:rPr>
      </w:pPr>
      <w:r>
        <w:rPr>
          <w:rFonts w:hint="eastAsia" w:ascii="宋体" w:hAnsi="宋体" w:eastAsia="宋体" w:cs="宋体"/>
          <w:b/>
          <w:bCs/>
          <w:spacing w:val="-4"/>
          <w:position w:val="2"/>
          <w:sz w:val="24"/>
          <w:szCs w:val="24"/>
        </w:rPr>
        <w:t>表</w:t>
      </w:r>
      <w:r>
        <w:rPr>
          <w:rFonts w:hint="eastAsia" w:ascii="宋体" w:hAnsi="宋体" w:eastAsia="宋体" w:cs="宋体"/>
          <w:spacing w:val="-50"/>
          <w:position w:val="2"/>
          <w:sz w:val="24"/>
          <w:szCs w:val="24"/>
        </w:rPr>
        <w:t xml:space="preserve"> </w:t>
      </w:r>
      <w:r>
        <w:rPr>
          <w:rFonts w:hint="eastAsia" w:ascii="宋体" w:hAnsi="宋体" w:eastAsia="宋体" w:cs="宋体"/>
          <w:b/>
          <w:bCs/>
          <w:spacing w:val="-4"/>
          <w:position w:val="2"/>
          <w:sz w:val="24"/>
          <w:szCs w:val="24"/>
          <w:lang w:val="en-US" w:eastAsia="zh-CN"/>
        </w:rPr>
        <w:t>5</w:t>
      </w:r>
      <w:r>
        <w:rPr>
          <w:rFonts w:hint="eastAsia" w:ascii="宋体" w:hAnsi="宋体" w:eastAsia="宋体" w:cs="宋体"/>
          <w:b/>
          <w:bCs/>
          <w:spacing w:val="-4"/>
          <w:position w:val="2"/>
          <w:sz w:val="24"/>
          <w:szCs w:val="24"/>
        </w:rPr>
        <w:t>-1  国土空间生态修复规划指标表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74"/>
        <w:gridCol w:w="501"/>
        <w:gridCol w:w="2166"/>
        <w:gridCol w:w="912"/>
        <w:gridCol w:w="973"/>
        <w:gridCol w:w="1161"/>
        <w:gridCol w:w="1161"/>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trPr>
        <w:tc>
          <w:tcPr>
            <w:tcW w:w="394"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序号</w:t>
            </w:r>
          </w:p>
        </w:tc>
        <w:tc>
          <w:tcPr>
            <w:tcW w:w="293"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类别</w:t>
            </w:r>
          </w:p>
        </w:tc>
        <w:tc>
          <w:tcPr>
            <w:tcW w:w="1266" w:type="pct"/>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指标名称</w:t>
            </w:r>
          </w:p>
        </w:tc>
        <w:tc>
          <w:tcPr>
            <w:tcW w:w="53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单位</w:t>
            </w:r>
          </w:p>
        </w:tc>
        <w:tc>
          <w:tcPr>
            <w:tcW w:w="569"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2020年</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2025年</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2035年</w:t>
            </w:r>
          </w:p>
        </w:tc>
        <w:tc>
          <w:tcPr>
            <w:tcW w:w="584"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snapToGrid w:val="0"/>
                <w:color w:val="000000"/>
                <w:kern w:val="0"/>
                <w:sz w:val="21"/>
                <w:szCs w:val="21"/>
                <w:u w:val="none"/>
                <w:lang w:val="en-US" w:eastAsia="zh-CN" w:bidi="ar"/>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trPr>
        <w:tc>
          <w:tcPr>
            <w:tcW w:w="39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
              </w:rPr>
              <w:t>1</w:t>
            </w:r>
          </w:p>
        </w:tc>
        <w:tc>
          <w:tcPr>
            <w:tcW w:w="293" w:type="pct"/>
            <w:vMerge w:val="restar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生态质量类</w:t>
            </w:r>
          </w:p>
        </w:tc>
        <w:tc>
          <w:tcPr>
            <w:tcW w:w="1266"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森林覆盖率</w:t>
            </w:r>
          </w:p>
        </w:tc>
        <w:tc>
          <w:tcPr>
            <w:tcW w:w="53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w:t>
            </w:r>
          </w:p>
        </w:tc>
        <w:tc>
          <w:tcPr>
            <w:tcW w:w="5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46.84</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49.22</w:t>
            </w:r>
          </w:p>
        </w:tc>
        <w:tc>
          <w:tcPr>
            <w:tcW w:w="679"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53.00</w:t>
            </w:r>
          </w:p>
        </w:tc>
        <w:tc>
          <w:tcPr>
            <w:tcW w:w="58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trPr>
        <w:tc>
          <w:tcPr>
            <w:tcW w:w="39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
              </w:rPr>
              <w:t>2</w:t>
            </w:r>
          </w:p>
        </w:tc>
        <w:tc>
          <w:tcPr>
            <w:tcW w:w="293" w:type="pct"/>
            <w:vMerge w:val="continue"/>
            <w:shd w:val="clear" w:color="auto" w:fill="auto"/>
            <w:vAlign w:val="center"/>
          </w:tcPr>
          <w:p>
            <w:pPr>
              <w:jc w:val="both"/>
              <w:rPr>
                <w:rFonts w:hint="eastAsia" w:ascii="宋体" w:hAnsi="宋体" w:eastAsia="宋体" w:cs="宋体"/>
                <w:i w:val="0"/>
                <w:iCs w:val="0"/>
                <w:color w:val="000000"/>
                <w:sz w:val="21"/>
                <w:szCs w:val="21"/>
                <w:u w:val="none"/>
              </w:rPr>
            </w:pPr>
          </w:p>
        </w:tc>
        <w:tc>
          <w:tcPr>
            <w:tcW w:w="1266"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森林蓄积量</w:t>
            </w:r>
          </w:p>
        </w:tc>
        <w:tc>
          <w:tcPr>
            <w:tcW w:w="53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万立方米</w:t>
            </w:r>
          </w:p>
        </w:tc>
        <w:tc>
          <w:tcPr>
            <w:tcW w:w="5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887</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1049.5</w:t>
            </w:r>
          </w:p>
        </w:tc>
        <w:tc>
          <w:tcPr>
            <w:tcW w:w="679"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1130</w:t>
            </w:r>
          </w:p>
        </w:tc>
        <w:tc>
          <w:tcPr>
            <w:tcW w:w="58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trPr>
        <w:tc>
          <w:tcPr>
            <w:tcW w:w="39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3</w:t>
            </w:r>
          </w:p>
        </w:tc>
        <w:tc>
          <w:tcPr>
            <w:tcW w:w="293" w:type="pct"/>
            <w:vMerge w:val="continue"/>
            <w:shd w:val="clear" w:color="auto" w:fill="auto"/>
            <w:vAlign w:val="center"/>
          </w:tcPr>
          <w:p>
            <w:pPr>
              <w:jc w:val="both"/>
              <w:rPr>
                <w:rFonts w:hint="eastAsia" w:ascii="宋体" w:hAnsi="宋体" w:eastAsia="宋体" w:cs="宋体"/>
                <w:i w:val="0"/>
                <w:iCs w:val="0"/>
                <w:snapToGrid w:val="0"/>
                <w:color w:val="000000"/>
                <w:kern w:val="0"/>
                <w:sz w:val="21"/>
                <w:szCs w:val="21"/>
                <w:u w:val="none"/>
                <w:lang w:val="en-US" w:eastAsia="en-US" w:bidi="ar-SA"/>
              </w:rPr>
            </w:pPr>
          </w:p>
        </w:tc>
        <w:tc>
          <w:tcPr>
            <w:tcW w:w="1266"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水土保持率</w:t>
            </w:r>
          </w:p>
        </w:tc>
        <w:tc>
          <w:tcPr>
            <w:tcW w:w="53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w:t>
            </w:r>
          </w:p>
        </w:tc>
        <w:tc>
          <w:tcPr>
            <w:tcW w:w="5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68.76</w:t>
            </w:r>
          </w:p>
        </w:tc>
        <w:tc>
          <w:tcPr>
            <w:tcW w:w="679" w:type="pct"/>
            <w:shd w:val="clear" w:color="auto" w:fill="auto"/>
            <w:vAlign w:val="center"/>
          </w:tcPr>
          <w:p>
            <w:pPr>
              <w:keepNext w:val="0"/>
              <w:keepLines w:val="0"/>
              <w:widowControl/>
              <w:suppressLineNumbers w:val="0"/>
              <w:ind w:firstLine="210" w:firstLineChars="100"/>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72.64</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89.38</w:t>
            </w:r>
          </w:p>
        </w:tc>
        <w:tc>
          <w:tcPr>
            <w:tcW w:w="58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trPr>
        <w:tc>
          <w:tcPr>
            <w:tcW w:w="39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
              </w:rPr>
              <w:t>4</w:t>
            </w:r>
          </w:p>
        </w:tc>
        <w:tc>
          <w:tcPr>
            <w:tcW w:w="293" w:type="pct"/>
            <w:vMerge w:val="continue"/>
            <w:shd w:val="clear" w:color="auto" w:fill="auto"/>
            <w:vAlign w:val="center"/>
          </w:tcPr>
          <w:p>
            <w:pPr>
              <w:jc w:val="both"/>
              <w:rPr>
                <w:rFonts w:hint="eastAsia" w:ascii="宋体" w:hAnsi="宋体" w:eastAsia="宋体" w:cs="宋体"/>
                <w:i w:val="0"/>
                <w:iCs w:val="0"/>
                <w:color w:val="000000"/>
                <w:sz w:val="21"/>
                <w:szCs w:val="21"/>
                <w:u w:val="none"/>
              </w:rPr>
            </w:pPr>
          </w:p>
        </w:tc>
        <w:tc>
          <w:tcPr>
            <w:tcW w:w="1266"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湿地保护率</w:t>
            </w:r>
          </w:p>
        </w:tc>
        <w:tc>
          <w:tcPr>
            <w:tcW w:w="53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w:t>
            </w:r>
          </w:p>
        </w:tc>
        <w:tc>
          <w:tcPr>
            <w:tcW w:w="5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55.43</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55.43</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55.43</w:t>
            </w:r>
          </w:p>
        </w:tc>
        <w:tc>
          <w:tcPr>
            <w:tcW w:w="58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trPr>
        <w:tc>
          <w:tcPr>
            <w:tcW w:w="39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5</w:t>
            </w:r>
          </w:p>
        </w:tc>
        <w:tc>
          <w:tcPr>
            <w:tcW w:w="293" w:type="pct"/>
            <w:vMerge w:val="continue"/>
            <w:shd w:val="clear" w:color="auto" w:fill="auto"/>
            <w:vAlign w:val="center"/>
          </w:tcPr>
          <w:p>
            <w:pPr>
              <w:jc w:val="both"/>
              <w:rPr>
                <w:rFonts w:hint="eastAsia" w:ascii="宋体" w:hAnsi="宋体" w:eastAsia="宋体" w:cs="宋体"/>
                <w:i w:val="0"/>
                <w:iCs w:val="0"/>
                <w:color w:val="000000"/>
                <w:sz w:val="21"/>
                <w:szCs w:val="21"/>
                <w:u w:val="none"/>
              </w:rPr>
            </w:pPr>
          </w:p>
        </w:tc>
        <w:tc>
          <w:tcPr>
            <w:tcW w:w="1266" w:type="pct"/>
            <w:shd w:val="clear" w:color="auto" w:fill="auto"/>
            <w:vAlign w:val="center"/>
          </w:tcPr>
          <w:p>
            <w:pPr>
              <w:pStyle w:val="30"/>
              <w:bidi w:val="0"/>
              <w:ind w:firstLine="0" w:firstLineChars="0"/>
              <w:jc w:val="both"/>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草原综合植被盖度</w:t>
            </w:r>
          </w:p>
        </w:tc>
        <w:tc>
          <w:tcPr>
            <w:tcW w:w="533" w:type="pct"/>
            <w:shd w:val="clear" w:color="auto" w:fill="auto"/>
            <w:vAlign w:val="center"/>
          </w:tcPr>
          <w:p>
            <w:pPr>
              <w:pStyle w:val="30"/>
              <w:bidi w:val="0"/>
              <w:ind w:firstLine="0" w:firstLineChars="0"/>
              <w:jc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w:t>
            </w:r>
          </w:p>
        </w:tc>
        <w:tc>
          <w:tcPr>
            <w:tcW w:w="569" w:type="pct"/>
            <w:shd w:val="clear" w:color="auto" w:fill="auto"/>
            <w:vAlign w:val="center"/>
          </w:tcPr>
          <w:p>
            <w:pPr>
              <w:pStyle w:val="30"/>
              <w:bidi w:val="0"/>
              <w:ind w:firstLine="0" w:firstLineChars="0"/>
              <w:jc w:val="center"/>
              <w:rPr>
                <w:rFonts w:hint="default"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85.8</w:t>
            </w:r>
          </w:p>
        </w:tc>
        <w:tc>
          <w:tcPr>
            <w:tcW w:w="679" w:type="pct"/>
            <w:shd w:val="clear" w:color="auto" w:fill="auto"/>
            <w:vAlign w:val="center"/>
          </w:tcPr>
          <w:p>
            <w:pPr>
              <w:pStyle w:val="30"/>
              <w:bidi w:val="0"/>
              <w:ind w:firstLine="210" w:firstLineChars="100"/>
              <w:jc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87.10</w:t>
            </w:r>
          </w:p>
        </w:tc>
        <w:tc>
          <w:tcPr>
            <w:tcW w:w="679" w:type="pct"/>
            <w:shd w:val="clear" w:color="auto" w:fill="auto"/>
            <w:vAlign w:val="center"/>
          </w:tcPr>
          <w:p>
            <w:pPr>
              <w:pStyle w:val="30"/>
              <w:bidi w:val="0"/>
              <w:ind w:firstLine="0" w:firstLineChars="0"/>
              <w:jc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90</w:t>
            </w:r>
          </w:p>
        </w:tc>
        <w:tc>
          <w:tcPr>
            <w:tcW w:w="584" w:type="pct"/>
            <w:shd w:val="clear" w:color="auto" w:fill="auto"/>
            <w:vAlign w:val="center"/>
          </w:tcPr>
          <w:p>
            <w:pPr>
              <w:pStyle w:val="30"/>
              <w:bidi w:val="0"/>
              <w:ind w:firstLine="0" w:firstLineChars="0"/>
              <w:jc w:val="both"/>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z w:val="21"/>
                <w:szCs w:val="21"/>
                <w:highlight w:val="none"/>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trPr>
        <w:tc>
          <w:tcPr>
            <w:tcW w:w="39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
              </w:rPr>
              <w:t>6</w:t>
            </w:r>
          </w:p>
        </w:tc>
        <w:tc>
          <w:tcPr>
            <w:tcW w:w="293" w:type="pct"/>
            <w:vMerge w:val="continue"/>
            <w:shd w:val="clear" w:color="auto" w:fill="auto"/>
            <w:vAlign w:val="center"/>
          </w:tcPr>
          <w:p>
            <w:pPr>
              <w:jc w:val="both"/>
              <w:rPr>
                <w:rFonts w:hint="eastAsia" w:ascii="宋体" w:hAnsi="宋体" w:eastAsia="宋体" w:cs="宋体"/>
                <w:i w:val="0"/>
                <w:iCs w:val="0"/>
                <w:color w:val="000000"/>
                <w:sz w:val="21"/>
                <w:szCs w:val="21"/>
                <w:u w:val="none"/>
              </w:rPr>
            </w:pPr>
          </w:p>
        </w:tc>
        <w:tc>
          <w:tcPr>
            <w:tcW w:w="1266"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自然保护地面积占国土面积比例</w:t>
            </w:r>
          </w:p>
        </w:tc>
        <w:tc>
          <w:tcPr>
            <w:tcW w:w="53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w:t>
            </w:r>
          </w:p>
        </w:tc>
        <w:tc>
          <w:tcPr>
            <w:tcW w:w="5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16.64</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16.64</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17.04</w:t>
            </w:r>
          </w:p>
        </w:tc>
        <w:tc>
          <w:tcPr>
            <w:tcW w:w="58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exact"/>
        </w:trPr>
        <w:tc>
          <w:tcPr>
            <w:tcW w:w="39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en-US" w:bidi="ar"/>
              </w:rPr>
            </w:pPr>
            <w:r>
              <w:rPr>
                <w:rFonts w:hint="eastAsia" w:ascii="宋体" w:hAnsi="宋体" w:eastAsia="宋体" w:cs="宋体"/>
                <w:i w:val="0"/>
                <w:iCs w:val="0"/>
                <w:snapToGrid w:val="0"/>
                <w:color w:val="000000"/>
                <w:kern w:val="0"/>
                <w:sz w:val="21"/>
                <w:szCs w:val="21"/>
                <w:u w:val="none"/>
                <w:lang w:val="en-US" w:eastAsia="zh-CN" w:bidi="ar"/>
              </w:rPr>
              <w:t>7</w:t>
            </w:r>
          </w:p>
        </w:tc>
        <w:tc>
          <w:tcPr>
            <w:tcW w:w="293" w:type="pct"/>
            <w:vMerge w:val="continue"/>
            <w:shd w:val="clear" w:color="auto" w:fill="auto"/>
            <w:vAlign w:val="center"/>
          </w:tcPr>
          <w:p>
            <w:pPr>
              <w:jc w:val="both"/>
              <w:rPr>
                <w:rFonts w:hint="eastAsia" w:ascii="宋体" w:hAnsi="宋体" w:eastAsia="宋体" w:cs="宋体"/>
                <w:i w:val="0"/>
                <w:iCs w:val="0"/>
                <w:color w:val="000000"/>
                <w:sz w:val="21"/>
                <w:szCs w:val="21"/>
                <w:u w:val="none"/>
              </w:rPr>
            </w:pPr>
          </w:p>
        </w:tc>
        <w:tc>
          <w:tcPr>
            <w:tcW w:w="1266"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国家重点保护野生动植物物种数保护率</w:t>
            </w:r>
          </w:p>
        </w:tc>
        <w:tc>
          <w:tcPr>
            <w:tcW w:w="53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w:t>
            </w:r>
          </w:p>
        </w:tc>
        <w:tc>
          <w:tcPr>
            <w:tcW w:w="5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95</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95</w:t>
            </w:r>
          </w:p>
        </w:tc>
        <w:tc>
          <w:tcPr>
            <w:tcW w:w="58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9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8</w:t>
            </w:r>
          </w:p>
        </w:tc>
        <w:tc>
          <w:tcPr>
            <w:tcW w:w="293" w:type="pct"/>
            <w:vMerge w:val="restar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修复治理类</w:t>
            </w:r>
          </w:p>
        </w:tc>
        <w:tc>
          <w:tcPr>
            <w:tcW w:w="1266"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国土绿化面积</w:t>
            </w:r>
          </w:p>
        </w:tc>
        <w:tc>
          <w:tcPr>
            <w:tcW w:w="53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万亩</w:t>
            </w:r>
          </w:p>
        </w:tc>
        <w:tc>
          <w:tcPr>
            <w:tcW w:w="5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0.75</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2.25</w:t>
            </w:r>
          </w:p>
        </w:tc>
        <w:tc>
          <w:tcPr>
            <w:tcW w:w="58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9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
              </w:rPr>
              <w:t>9</w:t>
            </w:r>
          </w:p>
        </w:tc>
        <w:tc>
          <w:tcPr>
            <w:tcW w:w="293" w:type="pct"/>
            <w:vMerge w:val="continue"/>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p>
        </w:tc>
        <w:tc>
          <w:tcPr>
            <w:tcW w:w="1266"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新增水土流失治理面积</w:t>
            </w:r>
          </w:p>
        </w:tc>
        <w:tc>
          <w:tcPr>
            <w:tcW w:w="53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万公顷</w:t>
            </w:r>
          </w:p>
        </w:tc>
        <w:tc>
          <w:tcPr>
            <w:tcW w:w="5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1.08</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5.74</w:t>
            </w:r>
          </w:p>
        </w:tc>
        <w:tc>
          <w:tcPr>
            <w:tcW w:w="58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9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en-US" w:bidi="ar-SA"/>
              </w:rPr>
            </w:pPr>
            <w:r>
              <w:rPr>
                <w:rFonts w:hint="eastAsia" w:ascii="宋体" w:hAnsi="宋体" w:eastAsia="宋体" w:cs="宋体"/>
                <w:i w:val="0"/>
                <w:iCs w:val="0"/>
                <w:snapToGrid w:val="0"/>
                <w:color w:val="000000"/>
                <w:kern w:val="0"/>
                <w:sz w:val="21"/>
                <w:szCs w:val="21"/>
                <w:u w:val="none"/>
                <w:lang w:val="en-US" w:eastAsia="zh-CN" w:bidi="ar"/>
              </w:rPr>
              <w:t>10</w:t>
            </w:r>
          </w:p>
        </w:tc>
        <w:tc>
          <w:tcPr>
            <w:tcW w:w="293" w:type="pct"/>
            <w:vMerge w:val="continue"/>
            <w:shd w:val="clear" w:color="auto" w:fill="auto"/>
            <w:vAlign w:val="center"/>
          </w:tcPr>
          <w:p>
            <w:pPr>
              <w:jc w:val="both"/>
              <w:rPr>
                <w:rFonts w:hint="eastAsia" w:ascii="宋体" w:hAnsi="宋体" w:eastAsia="宋体" w:cs="宋体"/>
                <w:i w:val="0"/>
                <w:iCs w:val="0"/>
                <w:color w:val="000000"/>
                <w:sz w:val="21"/>
                <w:szCs w:val="21"/>
                <w:u w:val="none"/>
              </w:rPr>
            </w:pPr>
          </w:p>
        </w:tc>
        <w:tc>
          <w:tcPr>
            <w:tcW w:w="1266"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新增石漠化治理面积</w:t>
            </w:r>
          </w:p>
        </w:tc>
        <w:tc>
          <w:tcPr>
            <w:tcW w:w="53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万公顷</w:t>
            </w:r>
          </w:p>
        </w:tc>
        <w:tc>
          <w:tcPr>
            <w:tcW w:w="5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1.18</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4.44</w:t>
            </w:r>
          </w:p>
        </w:tc>
        <w:tc>
          <w:tcPr>
            <w:tcW w:w="58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9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SA"/>
              </w:rPr>
            </w:pPr>
            <w:r>
              <w:rPr>
                <w:rFonts w:hint="eastAsia" w:ascii="宋体" w:hAnsi="宋体" w:eastAsia="宋体" w:cs="宋体"/>
                <w:i w:val="0"/>
                <w:iCs w:val="0"/>
                <w:snapToGrid w:val="0"/>
                <w:color w:val="000000"/>
                <w:kern w:val="0"/>
                <w:sz w:val="21"/>
                <w:szCs w:val="21"/>
                <w:u w:val="none"/>
                <w:lang w:val="en-US" w:eastAsia="zh-CN" w:bidi="ar"/>
              </w:rPr>
              <w:t>11</w:t>
            </w:r>
          </w:p>
        </w:tc>
        <w:tc>
          <w:tcPr>
            <w:tcW w:w="293" w:type="pct"/>
            <w:vMerge w:val="continue"/>
            <w:shd w:val="clear" w:color="auto" w:fill="auto"/>
            <w:vAlign w:val="center"/>
          </w:tcPr>
          <w:p>
            <w:pPr>
              <w:jc w:val="both"/>
              <w:rPr>
                <w:rFonts w:hint="eastAsia" w:ascii="宋体" w:hAnsi="宋体" w:eastAsia="宋体" w:cs="宋体"/>
                <w:i w:val="0"/>
                <w:iCs w:val="0"/>
                <w:color w:val="000000"/>
                <w:sz w:val="21"/>
                <w:szCs w:val="21"/>
                <w:u w:val="none"/>
              </w:rPr>
            </w:pPr>
          </w:p>
        </w:tc>
        <w:tc>
          <w:tcPr>
            <w:tcW w:w="1266"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历史遗留矿山生态修复面积</w:t>
            </w:r>
          </w:p>
        </w:tc>
        <w:tc>
          <w:tcPr>
            <w:tcW w:w="53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公顷</w:t>
            </w:r>
          </w:p>
        </w:tc>
        <w:tc>
          <w:tcPr>
            <w:tcW w:w="56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116.13</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286.46</w:t>
            </w:r>
          </w:p>
        </w:tc>
        <w:tc>
          <w:tcPr>
            <w:tcW w:w="679"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398.10</w:t>
            </w:r>
          </w:p>
        </w:tc>
        <w:tc>
          <w:tcPr>
            <w:tcW w:w="58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snapToGrid w:val="0"/>
                <w:color w:val="000000"/>
                <w:kern w:val="0"/>
                <w:sz w:val="21"/>
                <w:szCs w:val="21"/>
                <w:u w:val="none"/>
                <w:lang w:val="en-US" w:eastAsia="zh-CN" w:bidi="ar"/>
              </w:rPr>
            </w:pPr>
            <w:r>
              <w:rPr>
                <w:rFonts w:hint="eastAsia" w:ascii="宋体" w:hAnsi="宋体" w:eastAsia="宋体" w:cs="宋体"/>
                <w:i w:val="0"/>
                <w:iCs w:val="0"/>
                <w:snapToGrid w:val="0"/>
                <w:color w:val="000000"/>
                <w:kern w:val="0"/>
                <w:sz w:val="21"/>
                <w:szCs w:val="21"/>
                <w:u w:val="none"/>
                <w:lang w:val="en-US" w:eastAsia="zh-CN" w:bidi="ar"/>
              </w:rPr>
              <w:t>预期性</w:t>
            </w:r>
          </w:p>
        </w:tc>
      </w:tr>
    </w:tbl>
    <w:p>
      <w:pPr>
        <w:jc w:val="both"/>
        <w:rPr>
          <w:rFonts w:hint="eastAsia" w:ascii="宋体" w:hAnsi="宋体" w:eastAsia="宋体" w:cs="宋体"/>
          <w:sz w:val="28"/>
          <w:szCs w:val="28"/>
        </w:rPr>
      </w:pPr>
      <w:r>
        <w:rPr>
          <w:rFonts w:hint="eastAsia" w:ascii="宋体" w:hAnsi="宋体" w:eastAsia="宋体" w:cs="宋体"/>
          <w:b w:val="0"/>
          <w:bCs w:val="0"/>
          <w:snapToGrid w:val="0"/>
          <w:color w:val="000000"/>
          <w:spacing w:val="-12"/>
          <w:kern w:val="0"/>
          <w:sz w:val="24"/>
          <w:szCs w:val="24"/>
          <w:lang w:val="en-US" w:eastAsia="zh-CN" w:bidi="ar-SA"/>
        </w:rPr>
        <w:t>注：2025年、2035年数据均为累积数。</w:t>
      </w:r>
    </w:p>
    <w:p>
      <w:pPr>
        <w:spacing w:line="368" w:lineRule="exact"/>
        <w:jc w:val="both"/>
        <w:rPr>
          <w:rFonts w:hint="eastAsia" w:ascii="宋体" w:hAnsi="宋体" w:eastAsia="宋体" w:cs="宋体"/>
          <w:b/>
          <w:bCs/>
          <w:spacing w:val="-2"/>
          <w:position w:val="1"/>
          <w:sz w:val="28"/>
          <w:szCs w:val="28"/>
        </w:rPr>
      </w:pPr>
    </w:p>
    <w:p>
      <w:pPr>
        <w:spacing w:line="99" w:lineRule="exact"/>
        <w:jc w:val="both"/>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snapToGrid/>
        <w:spacing w:line="360" w:lineRule="auto"/>
        <w:ind w:left="0" w:right="0"/>
        <w:jc w:val="center"/>
        <w:textAlignment w:val="baseline"/>
        <w:outlineLvl w:val="0"/>
        <w:rPr>
          <w:rFonts w:hint="eastAsia" w:ascii="宋体" w:hAnsi="宋体" w:eastAsia="宋体" w:cs="宋体"/>
          <w:b/>
          <w:bCs/>
          <w:sz w:val="32"/>
          <w:szCs w:val="32"/>
        </w:rPr>
      </w:pPr>
      <w:bookmarkStart w:id="34" w:name="_Toc7813"/>
      <w:r>
        <w:rPr>
          <w:rFonts w:hint="eastAsia" w:ascii="宋体" w:hAnsi="宋体" w:eastAsia="宋体" w:cs="宋体"/>
          <w:b/>
          <w:bCs/>
          <w:spacing w:val="-1"/>
          <w:sz w:val="32"/>
          <w:szCs w:val="32"/>
        </w:rPr>
        <w:t>第六章</w:t>
      </w:r>
      <w:r>
        <w:rPr>
          <w:rFonts w:hint="eastAsia" w:ascii="宋体" w:hAnsi="宋体" w:eastAsia="宋体" w:cs="宋体"/>
          <w:b/>
          <w:bCs/>
          <w:spacing w:val="-1"/>
          <w:sz w:val="32"/>
          <w:szCs w:val="32"/>
          <w:lang w:val="en-US" w:eastAsia="zh-CN"/>
        </w:rPr>
        <w:t xml:space="preserve">  </w:t>
      </w:r>
      <w:r>
        <w:rPr>
          <w:rFonts w:hint="eastAsia" w:ascii="宋体" w:hAnsi="宋体" w:eastAsia="宋体" w:cs="宋体"/>
          <w:b/>
          <w:bCs/>
          <w:spacing w:val="-1"/>
          <w:sz w:val="32"/>
          <w:szCs w:val="32"/>
        </w:rPr>
        <w:t>规划方案</w:t>
      </w:r>
      <w:bookmarkEnd w:id="34"/>
    </w:p>
    <w:p>
      <w:pPr>
        <w:keepNext w:val="0"/>
        <w:keepLines w:val="0"/>
        <w:pageBreakBefore w:val="0"/>
        <w:widowControl/>
        <w:kinsoku w:val="0"/>
        <w:wordWrap/>
        <w:overflowPunct/>
        <w:topLinePunct w:val="0"/>
        <w:autoSpaceDE w:val="0"/>
        <w:autoSpaceDN w:val="0"/>
        <w:bidi w:val="0"/>
        <w:adjustRightInd/>
        <w:snapToGrid/>
        <w:spacing w:line="360" w:lineRule="auto"/>
        <w:ind w:left="0" w:right="0"/>
        <w:jc w:val="center"/>
        <w:textAlignment w:val="baseline"/>
        <w:outlineLvl w:val="1"/>
        <w:rPr>
          <w:rFonts w:hint="eastAsia" w:ascii="宋体" w:hAnsi="宋体" w:eastAsia="宋体" w:cs="宋体"/>
          <w:sz w:val="30"/>
          <w:szCs w:val="30"/>
        </w:rPr>
      </w:pPr>
      <w:bookmarkStart w:id="35" w:name="bookmark41"/>
      <w:bookmarkEnd w:id="35"/>
      <w:bookmarkStart w:id="36" w:name="_Toc18436"/>
      <w:r>
        <w:rPr>
          <w:rFonts w:hint="eastAsia" w:ascii="宋体" w:hAnsi="宋体" w:eastAsia="宋体" w:cs="宋体"/>
          <w:b/>
          <w:bCs/>
          <w:spacing w:val="8"/>
          <w:position w:val="1"/>
          <w:sz w:val="30"/>
          <w:szCs w:val="30"/>
        </w:rPr>
        <w:t>第一节 修复总体布局与分区确定</w:t>
      </w:r>
      <w:bookmarkEnd w:id="36"/>
    </w:p>
    <w:p>
      <w:pPr>
        <w:keepNext w:val="0"/>
        <w:keepLines w:val="0"/>
        <w:widowControl/>
        <w:suppressLineNumbers w:val="0"/>
        <w:spacing w:line="360" w:lineRule="auto"/>
        <w:ind w:firstLine="562" w:firstLineChars="200"/>
        <w:jc w:val="both"/>
        <w:outlineLvl w:val="2"/>
        <w:rPr>
          <w:rFonts w:hint="eastAsia" w:ascii="宋体" w:hAnsi="宋体" w:eastAsia="宋体" w:cs="宋体"/>
          <w:b/>
          <w:bCs/>
          <w:snapToGrid w:val="0"/>
          <w:color w:val="000000"/>
          <w:kern w:val="0"/>
          <w:sz w:val="28"/>
          <w:szCs w:val="28"/>
          <w:lang w:val="en-US" w:eastAsia="zh-CN" w:bidi="ar"/>
        </w:rPr>
      </w:pPr>
      <w:r>
        <w:rPr>
          <w:rFonts w:hint="eastAsia" w:ascii="宋体" w:hAnsi="宋体" w:eastAsia="宋体" w:cs="宋体"/>
          <w:b/>
          <w:bCs/>
          <w:snapToGrid w:val="0"/>
          <w:color w:val="000000"/>
          <w:kern w:val="0"/>
          <w:sz w:val="28"/>
          <w:szCs w:val="28"/>
          <w:lang w:val="en-US" w:eastAsia="zh-CN" w:bidi="ar"/>
        </w:rPr>
        <w:t>一、修复总体格局</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立足师宗县自然地貌特征，衔接《云南省国土空间生态修复规划（2021-2035年）》、《曲靖市国土空间生态修复规划（2021-2035年）》、《师宗县国土空间总体规划（2021-2035年）》，明确构建师宗县“三点、四廊、三带”生态修复格局。生态修复格局见图6-1。</w:t>
      </w:r>
    </w:p>
    <w:p>
      <w:pPr>
        <w:spacing w:line="360" w:lineRule="auto"/>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snapToGrid w:val="0"/>
          <w:color w:val="000000"/>
          <w:kern w:val="0"/>
          <w:sz w:val="28"/>
          <w:szCs w:val="28"/>
          <w:lang w:val="en-US" w:eastAsia="zh-CN" w:bidi="ar"/>
        </w:rPr>
        <w:drawing>
          <wp:inline distT="0" distB="0" distL="114300" distR="114300">
            <wp:extent cx="5568315" cy="3657600"/>
            <wp:effectExtent l="0" t="0" r="6985" b="0"/>
            <wp:docPr id="16" name="图片 16" descr="3-1-总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1-总规图"/>
                    <pic:cNvPicPr>
                      <a:picLocks noChangeAspect="1"/>
                    </pic:cNvPicPr>
                  </pic:nvPicPr>
                  <pic:blipFill>
                    <a:blip r:embed="rId16"/>
                    <a:srcRect l="6432" t="9661" r="6454" b="9496"/>
                    <a:stretch>
                      <a:fillRect/>
                    </a:stretch>
                  </pic:blipFill>
                  <pic:spPr>
                    <a:xfrm>
                      <a:off x="0" y="0"/>
                      <a:ext cx="5568315" cy="3657600"/>
                    </a:xfrm>
                    <a:prstGeom prst="rect">
                      <a:avLst/>
                    </a:prstGeom>
                  </pic:spPr>
                </pic:pic>
              </a:graphicData>
            </a:graphic>
          </wp:inline>
        </w:drawing>
      </w:r>
    </w:p>
    <w:p>
      <w:pPr>
        <w:keepNext w:val="0"/>
        <w:keepLines w:val="0"/>
        <w:widowControl/>
        <w:suppressLineNumbers w:val="0"/>
        <w:spacing w:line="240" w:lineRule="auto"/>
        <w:ind w:firstLine="1928" w:firstLineChars="800"/>
        <w:jc w:val="both"/>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bCs w:val="0"/>
          <w:sz w:val="24"/>
          <w:szCs w:val="24"/>
        </w:rPr>
        <w:t>图</w:t>
      </w:r>
      <w:r>
        <w:rPr>
          <w:rFonts w:hint="eastAsia" w:ascii="宋体" w:hAnsi="宋体" w:eastAsia="宋体" w:cs="宋体"/>
          <w:b/>
          <w:bCs w:val="0"/>
          <w:sz w:val="24"/>
          <w:szCs w:val="24"/>
          <w:lang w:val="en-US" w:eastAsia="zh-CN"/>
        </w:rPr>
        <w:t>6</w:t>
      </w:r>
      <w:r>
        <w:rPr>
          <w:rFonts w:hint="eastAsia" w:ascii="宋体" w:hAnsi="宋体" w:eastAsia="宋体" w:cs="宋体"/>
          <w:b/>
          <w:bCs w:val="0"/>
          <w:sz w:val="24"/>
          <w:szCs w:val="24"/>
        </w:rPr>
        <w:t>-</w:t>
      </w:r>
      <w:r>
        <w:rPr>
          <w:rFonts w:hint="eastAsia" w:ascii="宋体" w:hAnsi="宋体" w:eastAsia="宋体" w:cs="宋体"/>
          <w:b/>
          <w:bCs w:val="0"/>
          <w:sz w:val="24"/>
          <w:szCs w:val="24"/>
          <w:lang w:val="en-US" w:eastAsia="zh-CN"/>
        </w:rPr>
        <w:t>1</w:t>
      </w:r>
      <w:r>
        <w:rPr>
          <w:rFonts w:hint="eastAsia" w:ascii="宋体" w:hAnsi="宋体" w:eastAsia="宋体" w:cs="宋体"/>
          <w:b/>
          <w:bCs w:val="0"/>
          <w:sz w:val="24"/>
          <w:szCs w:val="24"/>
        </w:rPr>
        <w:t xml:space="preserve">  </w:t>
      </w:r>
      <w:r>
        <w:rPr>
          <w:rFonts w:hint="eastAsia" w:ascii="宋体" w:hAnsi="宋体" w:eastAsia="宋体" w:cs="宋体"/>
          <w:b/>
          <w:bCs w:val="0"/>
          <w:sz w:val="24"/>
          <w:szCs w:val="24"/>
          <w:lang w:val="en-US" w:eastAsia="zh-CN"/>
        </w:rPr>
        <w:t>师宗</w:t>
      </w:r>
      <w:r>
        <w:rPr>
          <w:rFonts w:hint="eastAsia" w:ascii="宋体" w:hAnsi="宋体" w:eastAsia="宋体" w:cs="宋体"/>
          <w:b/>
          <w:bCs w:val="0"/>
          <w:sz w:val="24"/>
          <w:szCs w:val="24"/>
        </w:rPr>
        <w:t>县国土空间生态修复总体</w:t>
      </w:r>
      <w:r>
        <w:rPr>
          <w:rFonts w:hint="eastAsia" w:ascii="宋体" w:hAnsi="宋体" w:eastAsia="宋体" w:cs="宋体"/>
          <w:b/>
          <w:bCs w:val="0"/>
          <w:sz w:val="24"/>
          <w:szCs w:val="24"/>
          <w:lang w:val="en-US" w:eastAsia="zh-CN"/>
        </w:rPr>
        <w:t>布</w:t>
      </w:r>
      <w:r>
        <w:rPr>
          <w:rFonts w:hint="eastAsia" w:ascii="宋体" w:hAnsi="宋体" w:eastAsia="宋体" w:cs="宋体"/>
          <w:b/>
          <w:bCs w:val="0"/>
          <w:sz w:val="24"/>
          <w:szCs w:val="24"/>
        </w:rPr>
        <w:t>局图</w:t>
      </w:r>
    </w:p>
    <w:p>
      <w:pPr>
        <w:spacing w:line="360" w:lineRule="auto"/>
        <w:ind w:firstLine="560"/>
        <w:jc w:val="both"/>
        <w:outlineLvl w:val="9"/>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bCs/>
          <w:snapToGrid w:val="0"/>
          <w:color w:val="000000"/>
          <w:spacing w:val="-12"/>
          <w:kern w:val="0"/>
          <w:sz w:val="28"/>
          <w:szCs w:val="28"/>
          <w:lang w:val="en-US" w:eastAsia="zh-CN" w:bidi="ar-SA"/>
        </w:rPr>
        <w:t>三点，</w:t>
      </w:r>
      <w:r>
        <w:rPr>
          <w:rFonts w:hint="eastAsia" w:ascii="宋体" w:hAnsi="宋体" w:eastAsia="宋体" w:cs="宋体"/>
          <w:b w:val="0"/>
          <w:bCs w:val="0"/>
          <w:snapToGrid w:val="0"/>
          <w:color w:val="000000"/>
          <w:spacing w:val="-12"/>
          <w:kern w:val="0"/>
          <w:sz w:val="28"/>
          <w:szCs w:val="28"/>
          <w:lang w:val="en-US" w:eastAsia="zh-CN" w:bidi="ar-SA"/>
        </w:rPr>
        <w:t>即云南师宗南丹山地方级风景名胜区、云南师宗丁累大箐地方级自然保护区、云南丹凤地方级湿地公园三大自然保护地。</w:t>
      </w:r>
    </w:p>
    <w:p>
      <w:pPr>
        <w:spacing w:line="360" w:lineRule="auto"/>
        <w:ind w:firstLine="560"/>
        <w:jc w:val="both"/>
        <w:outlineLvl w:val="9"/>
        <w:rPr>
          <w:rFonts w:hint="eastAsia" w:ascii="宋体" w:hAnsi="宋体" w:eastAsia="宋体" w:cs="宋体"/>
          <w:snapToGrid w:val="0"/>
          <w:color w:val="000000"/>
          <w:kern w:val="0"/>
          <w:sz w:val="28"/>
          <w:szCs w:val="28"/>
          <w:lang w:val="en-US" w:eastAsia="zh-CN" w:bidi="ar"/>
        </w:rPr>
      </w:pPr>
      <w:r>
        <w:rPr>
          <w:rFonts w:hint="eastAsia" w:ascii="宋体" w:hAnsi="宋体" w:eastAsia="宋体" w:cs="宋体"/>
          <w:b/>
          <w:bCs/>
          <w:snapToGrid w:val="0"/>
          <w:color w:val="000000"/>
          <w:spacing w:val="-12"/>
          <w:kern w:val="0"/>
          <w:sz w:val="28"/>
          <w:szCs w:val="28"/>
          <w:lang w:val="en-US" w:eastAsia="zh-CN" w:bidi="ar-SA"/>
        </w:rPr>
        <w:t>四廊，</w:t>
      </w:r>
      <w:r>
        <w:rPr>
          <w:rFonts w:hint="eastAsia" w:ascii="宋体" w:hAnsi="宋体" w:eastAsia="宋体" w:cs="宋体"/>
          <w:b w:val="0"/>
          <w:bCs w:val="0"/>
          <w:snapToGrid w:val="0"/>
          <w:color w:val="000000"/>
          <w:spacing w:val="-12"/>
          <w:kern w:val="0"/>
          <w:sz w:val="28"/>
          <w:szCs w:val="28"/>
          <w:lang w:val="en-US" w:eastAsia="zh-CN" w:bidi="ar-SA"/>
        </w:rPr>
        <w:t>即南盘江生态廊道、丹凤湿地生物多样性保护廊道、黑尔-菌子山-南丹山生态廊道、丁累大箐生物多样性保护廊道。</w:t>
      </w:r>
    </w:p>
    <w:p>
      <w:pPr>
        <w:keepNext w:val="0"/>
        <w:keepLines w:val="0"/>
        <w:widowControl/>
        <w:suppressLineNumbers w:val="0"/>
        <w:spacing w:line="360" w:lineRule="auto"/>
        <w:ind w:firstLine="514" w:firstLineChars="200"/>
        <w:jc w:val="both"/>
        <w:rPr>
          <w:rFonts w:hint="default"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bCs/>
          <w:spacing w:val="-12"/>
          <w:sz w:val="28"/>
          <w:szCs w:val="28"/>
          <w:lang w:val="en-US" w:eastAsia="zh-CN"/>
        </w:rPr>
        <w:t>三带，</w:t>
      </w:r>
      <w:r>
        <w:rPr>
          <w:rFonts w:hint="eastAsia" w:ascii="宋体" w:hAnsi="宋体" w:eastAsia="宋体" w:cs="宋体"/>
          <w:spacing w:val="-12"/>
          <w:sz w:val="28"/>
          <w:szCs w:val="28"/>
          <w:lang w:val="en-US" w:eastAsia="zh-CN"/>
        </w:rPr>
        <w:t>即南盘江流域生物多样</w:t>
      </w:r>
      <w:r>
        <w:rPr>
          <w:rFonts w:hint="eastAsia" w:ascii="宋体" w:hAnsi="宋体" w:eastAsia="宋体" w:cs="宋体"/>
          <w:b w:val="0"/>
          <w:bCs w:val="0"/>
          <w:snapToGrid w:val="0"/>
          <w:color w:val="000000"/>
          <w:spacing w:val="-12"/>
          <w:kern w:val="0"/>
          <w:sz w:val="28"/>
          <w:szCs w:val="28"/>
          <w:lang w:val="en-US" w:eastAsia="zh-CN" w:bidi="ar-SA"/>
        </w:rPr>
        <w:t>性保护与水土流失综合治理带；中部农田</w:t>
      </w:r>
      <w:r>
        <w:rPr>
          <w:rFonts w:hint="eastAsia" w:ascii="宋体" w:hAnsi="宋体" w:eastAsia="宋体" w:cs="宋体"/>
          <w:spacing w:val="-12"/>
          <w:sz w:val="28"/>
          <w:szCs w:val="28"/>
          <w:lang w:val="en-US" w:eastAsia="zh-CN"/>
        </w:rPr>
        <w:t>综合</w:t>
      </w:r>
      <w:r>
        <w:rPr>
          <w:rFonts w:hint="eastAsia" w:ascii="宋体" w:hAnsi="宋体" w:eastAsia="宋体" w:cs="宋体"/>
          <w:b w:val="0"/>
          <w:bCs w:val="0"/>
          <w:snapToGrid w:val="0"/>
          <w:color w:val="000000"/>
          <w:spacing w:val="-12"/>
          <w:kern w:val="0"/>
          <w:sz w:val="28"/>
          <w:szCs w:val="28"/>
          <w:lang w:val="en-US" w:eastAsia="zh-CN" w:bidi="ar-SA"/>
        </w:rPr>
        <w:t>整治与石漠化综合治理带；竹菁河上游水土流失与矿山综合治理带。</w:t>
      </w:r>
    </w:p>
    <w:p>
      <w:pPr>
        <w:keepNext w:val="0"/>
        <w:keepLines w:val="0"/>
        <w:widowControl/>
        <w:suppressLineNumbers w:val="0"/>
        <w:spacing w:line="360" w:lineRule="auto"/>
        <w:ind w:firstLine="562" w:firstLineChars="200"/>
        <w:jc w:val="both"/>
        <w:outlineLvl w:val="2"/>
        <w:rPr>
          <w:rFonts w:hint="eastAsia" w:ascii="宋体" w:hAnsi="宋体" w:eastAsia="宋体" w:cs="宋体"/>
          <w:b/>
          <w:bCs/>
          <w:snapToGrid w:val="0"/>
          <w:color w:val="000000"/>
          <w:kern w:val="0"/>
          <w:sz w:val="28"/>
          <w:szCs w:val="28"/>
          <w:lang w:val="en-US" w:eastAsia="zh-CN" w:bidi="ar"/>
        </w:rPr>
      </w:pPr>
      <w:r>
        <w:rPr>
          <w:rFonts w:hint="eastAsia" w:ascii="宋体" w:hAnsi="宋体" w:eastAsia="宋体" w:cs="宋体"/>
          <w:b/>
          <w:bCs/>
          <w:snapToGrid w:val="0"/>
          <w:color w:val="000000"/>
          <w:kern w:val="0"/>
          <w:sz w:val="28"/>
          <w:szCs w:val="28"/>
          <w:lang w:val="en-US" w:eastAsia="zh-CN" w:bidi="ar"/>
        </w:rPr>
        <w:t>二、修复分区的确定</w:t>
      </w:r>
    </w:p>
    <w:p>
      <w:pPr>
        <w:keepNext w:val="0"/>
        <w:keepLines w:val="0"/>
        <w:widowControl/>
        <w:suppressLineNumbers w:val="0"/>
        <w:spacing w:line="360" w:lineRule="auto"/>
        <w:ind w:firstLine="512" w:firstLineChars="200"/>
        <w:jc w:val="both"/>
        <w:rPr>
          <w:rFonts w:hint="eastAsia" w:ascii="宋体" w:hAnsi="宋体" w:eastAsia="宋体" w:cs="宋体"/>
          <w:snapToGrid w:val="0"/>
          <w:color w:val="000000"/>
          <w:kern w:val="0"/>
          <w:sz w:val="28"/>
          <w:szCs w:val="28"/>
          <w:lang w:val="en-US" w:eastAsia="zh-CN" w:bidi="ar"/>
        </w:rPr>
      </w:pPr>
      <w:r>
        <w:rPr>
          <w:rFonts w:hint="eastAsia" w:ascii="宋体" w:hAnsi="宋体" w:eastAsia="宋体" w:cs="宋体"/>
          <w:spacing w:val="-12"/>
          <w:sz w:val="28"/>
          <w:szCs w:val="28"/>
          <w:lang w:val="en-US" w:eastAsia="zh-CN"/>
        </w:rPr>
        <w:t>师宗县划定三个国土空间生态修复分区，分别是:南盘江流域生物多样性保护与水土流失综合治理修复区；中部农田综合整治与石漠化综合治理修复区；竹菁河上游水土保持与矿山综合治理修复区。详见表6-1 、图6-2。</w:t>
      </w:r>
    </w:p>
    <w:p>
      <w:pPr>
        <w:keepNext w:val="0"/>
        <w:keepLines w:val="0"/>
        <w:widowControl/>
        <w:suppressLineNumbers w:val="0"/>
        <w:spacing w:line="360" w:lineRule="auto"/>
        <w:jc w:val="both"/>
        <w:rPr>
          <w:rFonts w:hint="eastAsia" w:ascii="宋体" w:hAnsi="宋体" w:eastAsia="宋体" w:cs="宋体"/>
          <w:snapToGrid w:val="0"/>
          <w:color w:val="000000"/>
          <w:kern w:val="0"/>
          <w:sz w:val="28"/>
          <w:szCs w:val="28"/>
          <w:lang w:val="en-US" w:eastAsia="zh-CN" w:bidi="ar"/>
        </w:rPr>
      </w:pPr>
      <w:r>
        <w:rPr>
          <w:rFonts w:hint="eastAsia" w:ascii="宋体" w:hAnsi="宋体" w:eastAsia="宋体" w:cs="宋体"/>
          <w:snapToGrid w:val="0"/>
          <w:color w:val="000000"/>
          <w:kern w:val="0"/>
          <w:sz w:val="28"/>
          <w:szCs w:val="28"/>
          <w:lang w:val="en-US" w:eastAsia="zh-CN" w:bidi="ar"/>
        </w:rPr>
        <w:drawing>
          <wp:inline distT="0" distB="0" distL="114300" distR="114300">
            <wp:extent cx="5622925" cy="3686175"/>
            <wp:effectExtent l="0" t="0" r="3175" b="9525"/>
            <wp:docPr id="17" name="图片 17" descr="3-2-修复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2-修复分区图"/>
                    <pic:cNvPicPr>
                      <a:picLocks noChangeAspect="1"/>
                    </pic:cNvPicPr>
                  </pic:nvPicPr>
                  <pic:blipFill>
                    <a:blip r:embed="rId17"/>
                    <a:srcRect l="6319" t="9642" r="6363" b="9468"/>
                    <a:stretch>
                      <a:fillRect/>
                    </a:stretch>
                  </pic:blipFill>
                  <pic:spPr>
                    <a:xfrm>
                      <a:off x="0" y="0"/>
                      <a:ext cx="5622925" cy="3686175"/>
                    </a:xfrm>
                    <a:prstGeom prst="rect">
                      <a:avLst/>
                    </a:prstGeom>
                  </pic:spPr>
                </pic:pic>
              </a:graphicData>
            </a:graphic>
          </wp:inline>
        </w:drawing>
      </w:r>
    </w:p>
    <w:p>
      <w:pPr>
        <w:keepNext w:val="0"/>
        <w:keepLines w:val="0"/>
        <w:widowControl/>
        <w:suppressLineNumbers w:val="0"/>
        <w:spacing w:line="240" w:lineRule="auto"/>
        <w:ind w:firstLine="482" w:firstLineChars="200"/>
        <w:jc w:val="center"/>
        <w:rPr>
          <w:rFonts w:hint="eastAsia" w:ascii="宋体" w:hAnsi="宋体" w:eastAsia="宋体" w:cs="宋体"/>
          <w:b/>
          <w:sz w:val="28"/>
          <w:szCs w:val="28"/>
        </w:rPr>
      </w:pPr>
      <w:r>
        <w:rPr>
          <w:rFonts w:hint="eastAsia" w:ascii="宋体" w:hAnsi="宋体" w:eastAsia="宋体" w:cs="宋体"/>
          <w:b/>
          <w:bCs w:val="0"/>
          <w:sz w:val="24"/>
          <w:szCs w:val="24"/>
        </w:rPr>
        <w:t>图</w:t>
      </w:r>
      <w:r>
        <w:rPr>
          <w:rFonts w:hint="eastAsia" w:ascii="宋体" w:hAnsi="宋体" w:eastAsia="宋体" w:cs="宋体"/>
          <w:b/>
          <w:bCs w:val="0"/>
          <w:sz w:val="24"/>
          <w:szCs w:val="24"/>
          <w:lang w:val="en-US" w:eastAsia="zh-CN"/>
        </w:rPr>
        <w:t>6</w:t>
      </w:r>
      <w:r>
        <w:rPr>
          <w:rFonts w:hint="eastAsia" w:ascii="宋体" w:hAnsi="宋体" w:eastAsia="宋体" w:cs="宋体"/>
          <w:b/>
          <w:bCs w:val="0"/>
          <w:sz w:val="24"/>
          <w:szCs w:val="24"/>
        </w:rPr>
        <w:t>-</w:t>
      </w:r>
      <w:r>
        <w:rPr>
          <w:rFonts w:hint="eastAsia" w:ascii="宋体" w:hAnsi="宋体" w:eastAsia="宋体" w:cs="宋体"/>
          <w:b/>
          <w:bCs w:val="0"/>
          <w:sz w:val="24"/>
          <w:szCs w:val="24"/>
          <w:lang w:val="en-US" w:eastAsia="zh-CN"/>
        </w:rPr>
        <w:t>2</w:t>
      </w:r>
      <w:r>
        <w:rPr>
          <w:rFonts w:hint="eastAsia" w:ascii="宋体" w:hAnsi="宋体" w:eastAsia="宋体" w:cs="宋体"/>
          <w:b/>
          <w:bCs w:val="0"/>
          <w:sz w:val="24"/>
          <w:szCs w:val="24"/>
        </w:rPr>
        <w:t xml:space="preserve">  </w:t>
      </w:r>
      <w:r>
        <w:rPr>
          <w:rFonts w:hint="eastAsia" w:ascii="宋体" w:hAnsi="宋体" w:eastAsia="宋体" w:cs="宋体"/>
          <w:b/>
          <w:bCs w:val="0"/>
          <w:sz w:val="24"/>
          <w:szCs w:val="24"/>
          <w:lang w:eastAsia="zh-CN"/>
        </w:rPr>
        <w:t>师宗</w:t>
      </w:r>
      <w:r>
        <w:rPr>
          <w:rFonts w:hint="eastAsia" w:ascii="宋体" w:hAnsi="宋体" w:eastAsia="宋体" w:cs="宋体"/>
          <w:b/>
          <w:bCs w:val="0"/>
          <w:sz w:val="24"/>
          <w:szCs w:val="24"/>
        </w:rPr>
        <w:t>县国土空间生态修复分区图</w:t>
      </w:r>
    </w:p>
    <w:p>
      <w:pPr>
        <w:spacing w:before="101" w:line="416" w:lineRule="exact"/>
        <w:ind w:firstLine="1245" w:firstLineChars="500"/>
        <w:jc w:val="both"/>
        <w:outlineLvl w:val="9"/>
        <w:rPr>
          <w:b/>
          <w:bCs/>
          <w:sz w:val="24"/>
          <w:szCs w:val="24"/>
        </w:rPr>
      </w:pPr>
      <w:bookmarkStart w:id="37" w:name="_Toc13697"/>
      <w:bookmarkStart w:id="38" w:name="_Toc13704"/>
      <w:r>
        <w:rPr>
          <w:rFonts w:hint="eastAsia" w:ascii="宋体" w:hAnsi="宋体" w:eastAsia="宋体" w:cs="宋体"/>
          <w:b/>
          <w:bCs/>
          <w:spacing w:val="4"/>
          <w:position w:val="1"/>
          <w:sz w:val="24"/>
          <w:szCs w:val="24"/>
        </w:rPr>
        <w:t>表</w:t>
      </w:r>
      <w:r>
        <w:rPr>
          <w:rFonts w:hint="eastAsia" w:ascii="宋体" w:hAnsi="宋体" w:eastAsia="宋体" w:cs="宋体"/>
          <w:b/>
          <w:bCs/>
          <w:spacing w:val="-35"/>
          <w:position w:val="1"/>
          <w:sz w:val="24"/>
          <w:szCs w:val="24"/>
          <w:lang w:val="en-US" w:eastAsia="zh-CN"/>
        </w:rPr>
        <w:t>6-1</w:t>
      </w:r>
      <w:r>
        <w:rPr>
          <w:rFonts w:hint="eastAsia" w:ascii="宋体" w:hAnsi="宋体" w:eastAsia="宋体" w:cs="宋体"/>
          <w:b/>
          <w:bCs/>
          <w:spacing w:val="4"/>
          <w:position w:val="1"/>
          <w:sz w:val="24"/>
          <w:szCs w:val="24"/>
        </w:rPr>
        <w:t xml:space="preserve">  </w:t>
      </w:r>
      <w:r>
        <w:rPr>
          <w:rFonts w:hint="eastAsia" w:ascii="宋体" w:hAnsi="宋体" w:eastAsia="宋体" w:cs="宋体"/>
          <w:b/>
          <w:bCs/>
          <w:spacing w:val="4"/>
          <w:position w:val="1"/>
          <w:sz w:val="24"/>
          <w:szCs w:val="24"/>
          <w:lang w:val="en-US" w:eastAsia="zh-CN"/>
        </w:rPr>
        <w:t xml:space="preserve">        </w:t>
      </w:r>
      <w:r>
        <w:rPr>
          <w:rFonts w:hint="eastAsia" w:ascii="宋体" w:hAnsi="宋体" w:eastAsia="宋体" w:cs="宋体"/>
          <w:b/>
          <w:bCs/>
          <w:spacing w:val="4"/>
          <w:position w:val="1"/>
          <w:sz w:val="24"/>
          <w:szCs w:val="24"/>
        </w:rPr>
        <w:t>国土空间生态修复分区表</w:t>
      </w:r>
      <w:bookmarkEnd w:id="37"/>
      <w:bookmarkEnd w:id="38"/>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52"/>
        <w:gridCol w:w="2899"/>
        <w:gridCol w:w="2120"/>
        <w:gridCol w:w="2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73" w:type="pct"/>
            <w:vMerge w:val="restart"/>
            <w:tcBorders>
              <w:bottom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694" w:type="pct"/>
            <w:vMerge w:val="restart"/>
            <w:tcBorders>
              <w:bottom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分区名称</w:t>
            </w:r>
          </w:p>
        </w:tc>
        <w:tc>
          <w:tcPr>
            <w:tcW w:w="1239" w:type="pct"/>
            <w:tcBorders>
              <w:bottom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面积</w:t>
            </w:r>
          </w:p>
        </w:tc>
        <w:tc>
          <w:tcPr>
            <w:tcW w:w="1392" w:type="pct"/>
            <w:vMerge w:val="restart"/>
            <w:tcBorders>
              <w:bottom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区域范围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73" w:type="pct"/>
            <w:vMerge w:val="continue"/>
            <w:tcBorders>
              <w:top w:val="nil"/>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1694" w:type="pct"/>
            <w:vMerge w:val="continue"/>
            <w:tcBorders>
              <w:top w:val="nil"/>
            </w:tcBorders>
            <w:shd w:val="clear" w:color="auto" w:fill="auto"/>
            <w:vAlign w:val="center"/>
          </w:tcPr>
          <w:p>
            <w:pPr>
              <w:jc w:val="both"/>
              <w:rPr>
                <w:rFonts w:hint="eastAsia" w:ascii="宋体" w:hAnsi="宋体" w:eastAsia="宋体" w:cs="宋体"/>
                <w:b/>
                <w:bCs/>
                <w:i w:val="0"/>
                <w:iCs w:val="0"/>
                <w:color w:val="000000"/>
                <w:sz w:val="21"/>
                <w:szCs w:val="21"/>
                <w:u w:val="none"/>
              </w:rPr>
            </w:pPr>
          </w:p>
        </w:tc>
        <w:tc>
          <w:tcPr>
            <w:tcW w:w="1239" w:type="pct"/>
            <w:tcBorders>
              <w:top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（公顷）</w:t>
            </w:r>
          </w:p>
        </w:tc>
        <w:tc>
          <w:tcPr>
            <w:tcW w:w="1392" w:type="pct"/>
            <w:vMerge w:val="continue"/>
            <w:tcBorders>
              <w:top w:val="nil"/>
            </w:tcBorders>
            <w:shd w:val="clear" w:color="auto" w:fill="auto"/>
            <w:vAlign w:val="center"/>
          </w:tcPr>
          <w:p>
            <w:pPr>
              <w:jc w:val="both"/>
              <w:rPr>
                <w:rFonts w:hint="eastAsia" w:ascii="宋体" w:hAnsi="宋体" w:eastAsia="宋体" w:cs="宋体"/>
                <w:b/>
                <w:bCs/>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9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南盘江流域生物多样性保护与水土流失综合治理修复区</w:t>
            </w:r>
          </w:p>
        </w:tc>
        <w:tc>
          <w:tcPr>
            <w:tcW w:w="1239" w:type="pct"/>
            <w:shd w:val="clear" w:color="auto" w:fill="auto"/>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151153.1</w:t>
            </w:r>
          </w:p>
        </w:tc>
        <w:tc>
          <w:tcPr>
            <w:tcW w:w="139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属珠江水系南盘江下游流域，位于师宗县南部，涉及龙庆乡、五龙乡、高良乡。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9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中部农田综合整治与石漠化综合治理修复区</w:t>
            </w:r>
          </w:p>
        </w:tc>
        <w:tc>
          <w:tcPr>
            <w:tcW w:w="1239" w:type="pct"/>
            <w:shd w:val="clear" w:color="auto" w:fill="auto"/>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103851.13</w:t>
            </w:r>
          </w:p>
        </w:tc>
        <w:tc>
          <w:tcPr>
            <w:tcW w:w="139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师宗县中北部，涉及彩云镇、葵山镇、大同街道、漾月街道、丹凤街道、竹基镇。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67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69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竹菁河上游水土保持与矿山综合治理修复区</w:t>
            </w:r>
          </w:p>
        </w:tc>
        <w:tc>
          <w:tcPr>
            <w:tcW w:w="1239" w:type="pct"/>
            <w:shd w:val="clear" w:color="auto" w:fill="auto"/>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23444.88</w:t>
            </w:r>
          </w:p>
        </w:tc>
        <w:tc>
          <w:tcPr>
            <w:tcW w:w="139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师宗县北部雄壁镇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73"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合计</w:t>
            </w:r>
          </w:p>
        </w:tc>
        <w:tc>
          <w:tcPr>
            <w:tcW w:w="1694"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1239" w:type="pct"/>
            <w:shd w:val="clear" w:color="auto" w:fill="auto"/>
            <w:vAlign w:val="center"/>
          </w:tcPr>
          <w:p>
            <w:pPr>
              <w:jc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278449.11</w:t>
            </w:r>
          </w:p>
        </w:tc>
        <w:tc>
          <w:tcPr>
            <w:tcW w:w="1392" w:type="pct"/>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bl>
    <w:p>
      <w:pPr>
        <w:keepNext w:val="0"/>
        <w:keepLines w:val="0"/>
        <w:widowControl/>
        <w:suppressLineNumbers w:val="0"/>
        <w:spacing w:line="240" w:lineRule="auto"/>
        <w:ind w:firstLine="562" w:firstLineChars="200"/>
        <w:jc w:val="both"/>
        <w:rPr>
          <w:rFonts w:hint="eastAsia" w:ascii="宋体" w:hAnsi="宋体" w:eastAsia="宋体" w:cs="宋体"/>
          <w:b/>
          <w:sz w:val="28"/>
          <w:szCs w:val="28"/>
        </w:rPr>
      </w:pPr>
    </w:p>
    <w:p>
      <w:pPr>
        <w:keepNext w:val="0"/>
        <w:keepLines w:val="0"/>
        <w:widowControl/>
        <w:suppressLineNumbers w:val="0"/>
        <w:spacing w:line="360" w:lineRule="auto"/>
        <w:ind w:firstLine="562" w:firstLineChars="200"/>
        <w:jc w:val="both"/>
        <w:outlineLvl w:val="3"/>
        <w:rPr>
          <w:rFonts w:hint="eastAsia" w:ascii="宋体" w:hAnsi="宋体" w:eastAsia="宋体" w:cs="宋体"/>
          <w:b/>
          <w:bCs/>
          <w:snapToGrid w:val="0"/>
          <w:color w:val="000000"/>
          <w:kern w:val="0"/>
          <w:sz w:val="28"/>
          <w:szCs w:val="28"/>
          <w:lang w:val="en-US" w:eastAsia="zh-CN" w:bidi="ar"/>
        </w:rPr>
      </w:pPr>
      <w:r>
        <w:rPr>
          <w:rFonts w:hint="eastAsia" w:ascii="宋体" w:hAnsi="宋体" w:eastAsia="宋体" w:cs="宋体"/>
          <w:b/>
          <w:bCs/>
          <w:snapToGrid w:val="0"/>
          <w:color w:val="000000"/>
          <w:kern w:val="0"/>
          <w:sz w:val="28"/>
          <w:szCs w:val="28"/>
          <w:lang w:val="en-US" w:eastAsia="zh-CN" w:bidi="ar"/>
        </w:rPr>
        <w:t>（一）南盘江流域生物多样性保护与水土流失综合治理修复区</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1、区域范围：属珠江水系南盘江下游流域，位于师宗县南部，涉及龙庆彝族壮族乡、五龙壮族乡、高良壮族苗族瑶族乡。该区总面积151153.10 公顷，占全县总面积的54.28%。</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2、主要生态问题：本区是师宗县生物多样性保护的核心地带，生态系统以轻度退化为主。该区中部南盘江流域两岸水土流失严重，造成生物栖息地生境破碎、植被破坏等生态问题，对野生动植物生存造成不同程度威胁。该区北部、南西部石漠化情况较严重，石漠化面积达23669.18公顷，其中轻度、中度石漠化面积16192.16公顷，重度、极重度石漠化总面积796.15公顷，主要分布在五龙乡北部、龙庆乡西部，高良乡南部零星分布。</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3、生态修复主攻方向：以水土流失防治和生物多样性保护为重点，以保护、自然恢复为主，工程恢复为辅，通过加强对师宗南丹山风景名胜区和师宗丁累大箐自然保护区进行统筹管控，营造野生动物栖息地及自然生境，开展生物多样性保护宣传与教育工程、珍稀濒危物种野外救护与繁育工程、猕猴保护工程，协同开展水土流失防治及石漠化综合治理。通过采取封山育林、造林种草、陡坡耕地退耕还林还草、加强基本农田和配套小型水利建设等措施,实施石漠化综合治理；在南盘江下游实施小流域国家水土保持重点工程，通过森林抚育、封山育林、天然林保护、低效林改造、退化林修复、河道整治、污水处理等措施，控制水土流失，提高水土保持能力，从而更好地维护该区域生物多样性。</w:t>
      </w:r>
    </w:p>
    <w:p>
      <w:pPr>
        <w:keepNext w:val="0"/>
        <w:keepLines w:val="0"/>
        <w:widowControl/>
        <w:numPr>
          <w:ilvl w:val="0"/>
          <w:numId w:val="0"/>
        </w:numPr>
        <w:suppressLineNumbers w:val="0"/>
        <w:spacing w:line="360" w:lineRule="auto"/>
        <w:ind w:firstLine="562" w:firstLineChars="200"/>
        <w:jc w:val="both"/>
        <w:outlineLvl w:val="3"/>
        <w:rPr>
          <w:rFonts w:hint="eastAsia" w:ascii="宋体" w:hAnsi="宋体" w:eastAsia="宋体" w:cs="宋体"/>
          <w:b/>
          <w:bCs/>
          <w:snapToGrid w:val="0"/>
          <w:color w:val="000000"/>
          <w:kern w:val="0"/>
          <w:sz w:val="28"/>
          <w:szCs w:val="28"/>
          <w:lang w:val="en-US" w:eastAsia="zh-CN" w:bidi="ar"/>
        </w:rPr>
      </w:pPr>
      <w:r>
        <w:rPr>
          <w:rFonts w:hint="eastAsia" w:ascii="宋体" w:hAnsi="宋体" w:eastAsia="宋体" w:cs="宋体"/>
          <w:b/>
          <w:bCs/>
          <w:snapToGrid w:val="0"/>
          <w:color w:val="000000"/>
          <w:kern w:val="0"/>
          <w:sz w:val="28"/>
          <w:szCs w:val="28"/>
          <w:lang w:val="en-US" w:eastAsia="zh-CN" w:bidi="ar"/>
        </w:rPr>
        <w:t>（二）中部农田综合整治与石漠化综合治理修复区</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1、区域范围：位于师宗县中北部，涉及师宗县的彩云镇、葵山镇、大同街道、漾月街道、丹凤街道、竹基镇。该区总面积103851.13公顷，占全县总面积的37.30%。</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2、主要生态问题：该区是师宗县农田分布主要区域。耕地分布较为零散，空间分布不均，耕地等级为中等。耕地集中连片度不高、形状不规则，</w:t>
      </w:r>
      <w:r>
        <w:rPr>
          <w:rFonts w:hint="eastAsia" w:ascii="宋体" w:hAnsi="宋体" w:eastAsia="宋体" w:cs="宋体"/>
          <w:spacing w:val="-12"/>
          <w:sz w:val="28"/>
          <w:szCs w:val="28"/>
          <w:lang w:val="en-US" w:eastAsia="en-US"/>
        </w:rPr>
        <w:t>农田水利设施条件</w:t>
      </w:r>
      <w:r>
        <w:rPr>
          <w:rFonts w:hint="eastAsia" w:ascii="宋体" w:hAnsi="宋体" w:eastAsia="宋体" w:cs="宋体"/>
          <w:spacing w:val="-12"/>
          <w:sz w:val="28"/>
          <w:szCs w:val="28"/>
          <w:lang w:val="en-US" w:eastAsia="zh-CN"/>
        </w:rPr>
        <w:t>较</w:t>
      </w:r>
      <w:r>
        <w:rPr>
          <w:rFonts w:hint="eastAsia" w:ascii="宋体" w:hAnsi="宋体" w:eastAsia="宋体" w:cs="宋体"/>
          <w:spacing w:val="-12"/>
          <w:sz w:val="28"/>
          <w:szCs w:val="28"/>
          <w:lang w:val="en-US" w:eastAsia="en-US"/>
        </w:rPr>
        <w:t>差</w:t>
      </w:r>
      <w:r>
        <w:rPr>
          <w:rFonts w:hint="eastAsia" w:ascii="宋体" w:hAnsi="宋体" w:eastAsia="宋体" w:cs="宋体"/>
          <w:spacing w:val="-12"/>
          <w:sz w:val="28"/>
          <w:szCs w:val="28"/>
          <w:lang w:val="en-US" w:eastAsia="zh-CN"/>
        </w:rPr>
        <w:t>，不利于农业生产机械化操作。区内石漠化情况较严重，达18940.91公顷，占师宗县石漠化总面积的42.64%，其中重度、极重度石漠化总面积2748.73公顷；漾月街道、竹基镇东部部分</w:t>
      </w:r>
      <w:r>
        <w:rPr>
          <w:rFonts w:hint="default" w:ascii="宋体" w:hAnsi="宋体" w:eastAsia="宋体" w:cs="宋体"/>
          <w:spacing w:val="-12"/>
          <w:sz w:val="28"/>
          <w:szCs w:val="28"/>
          <w:lang w:val="en-US" w:eastAsia="zh-CN"/>
        </w:rPr>
        <w:t>小流域存在不同面积的水土流失</w:t>
      </w:r>
      <w:r>
        <w:rPr>
          <w:rFonts w:hint="eastAsia" w:ascii="宋体" w:hAnsi="宋体" w:eastAsia="宋体" w:cs="宋体"/>
          <w:spacing w:val="-12"/>
          <w:sz w:val="28"/>
          <w:szCs w:val="28"/>
          <w:lang w:val="en-US" w:eastAsia="zh-CN"/>
        </w:rPr>
        <w:t>；该区河流水系发育，</w:t>
      </w:r>
      <w:r>
        <w:rPr>
          <w:rFonts w:hint="default" w:ascii="宋体" w:hAnsi="宋体" w:eastAsia="宋体" w:cs="宋体"/>
          <w:spacing w:val="-12"/>
          <w:sz w:val="28"/>
          <w:szCs w:val="28"/>
          <w:lang w:val="en-US" w:eastAsia="zh-CN"/>
        </w:rPr>
        <w:t>在水环境</w:t>
      </w:r>
      <w:r>
        <w:rPr>
          <w:rFonts w:hint="eastAsia" w:ascii="宋体" w:hAnsi="宋体" w:eastAsia="宋体" w:cs="宋体"/>
          <w:spacing w:val="-12"/>
          <w:sz w:val="28"/>
          <w:szCs w:val="28"/>
          <w:lang w:val="en-US" w:eastAsia="zh-CN"/>
        </w:rPr>
        <w:t>方面</w:t>
      </w:r>
      <w:r>
        <w:rPr>
          <w:rFonts w:hint="default" w:ascii="宋体" w:hAnsi="宋体" w:eastAsia="宋体" w:cs="宋体"/>
          <w:spacing w:val="-12"/>
          <w:sz w:val="28"/>
          <w:szCs w:val="28"/>
          <w:lang w:val="en-US" w:eastAsia="zh-CN"/>
        </w:rPr>
        <w:t>存在河道淤积、岸坡不稳定，部分流域还面临水污染问题；饮用水安全保障存在短板</w:t>
      </w:r>
      <w:r>
        <w:rPr>
          <w:rFonts w:hint="eastAsia" w:ascii="宋体" w:hAnsi="宋体" w:eastAsia="宋体" w:cs="宋体"/>
          <w:spacing w:val="-12"/>
          <w:sz w:val="28"/>
          <w:szCs w:val="28"/>
          <w:lang w:val="en-US" w:eastAsia="zh-CN"/>
        </w:rPr>
        <w:t>，</w:t>
      </w:r>
      <w:r>
        <w:rPr>
          <w:rFonts w:hint="default" w:ascii="宋体" w:hAnsi="宋体" w:eastAsia="宋体" w:cs="宋体"/>
          <w:spacing w:val="-12"/>
          <w:sz w:val="28"/>
          <w:szCs w:val="28"/>
          <w:lang w:val="en-US" w:eastAsia="zh-CN"/>
        </w:rPr>
        <w:t>部分集中式饮用水水源地保护设施</w:t>
      </w:r>
      <w:r>
        <w:rPr>
          <w:rFonts w:hint="eastAsia" w:ascii="宋体" w:hAnsi="宋体" w:eastAsia="宋体" w:cs="宋体"/>
          <w:spacing w:val="-12"/>
          <w:sz w:val="28"/>
          <w:szCs w:val="28"/>
          <w:lang w:val="en-US" w:eastAsia="zh-CN"/>
        </w:rPr>
        <w:t>不完善</w:t>
      </w:r>
      <w:r>
        <w:rPr>
          <w:rFonts w:hint="default" w:ascii="宋体" w:hAnsi="宋体" w:eastAsia="宋体" w:cs="宋体"/>
          <w:spacing w:val="-12"/>
          <w:sz w:val="28"/>
          <w:szCs w:val="28"/>
          <w:lang w:val="en-US" w:eastAsia="zh-CN"/>
        </w:rPr>
        <w:t>；国土利用与生态协调不足，部分区域土地平整度差、灌溉排水及田间道路设施不完善</w:t>
      </w:r>
      <w:r>
        <w:rPr>
          <w:rFonts w:hint="eastAsia" w:ascii="宋体" w:hAnsi="宋体" w:eastAsia="宋体" w:cs="宋体"/>
          <w:spacing w:val="-12"/>
          <w:sz w:val="28"/>
          <w:szCs w:val="28"/>
          <w:lang w:val="en-US" w:eastAsia="zh-CN"/>
        </w:rPr>
        <w:t>。</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3、生态修复主攻方向：以农田综合整治与石漠化综合治理为重点。以农田综合整治为抓手，推进高标准农田、耕地质量提升及耕地生产障碍修复利用项目建设，加强农田基础设施的建设，提高耕地质量。开展耕地提质改造工程，加快优质耕地规模化和集聚化。加强农业面源污染防治，通过工程措施、生物措施和农业措施等方法治理土壤污染，改善农田土壤环境；通过采取封山育林、造林种草、陡坡耕地退耕还林还草等措施，在漾月街道、大同街道实施石漠化综合治理工程；在漾月街道小石山水库、竹基镇阿宜格水库流域实施小流域国家水土保持重点工程，通过森林抚育、天然林保护、低效林改造、退化林修复、河道整治、污水处理等措施，控制水土流失，提高水土保持能力；积极推进水环境治理，实施河道清淤疏浚、加固，修建堤防、护脚、排洪管、排涝口、取水闸，两岸布置亲水台阶，同步开展河岸带与景观带修复，实施流域水污染防治及污水处理设施与管网建设。以水源地保护为关键，在集中式饮用水水源保护区开展水源涵养林建设和提升工程，完善饮用水源地保护设施，设立防护网、界桩和保护标志，完善管护站、巡护道路等设施，保障饮用水安全。</w:t>
      </w:r>
    </w:p>
    <w:p>
      <w:pPr>
        <w:spacing w:before="6" w:line="360" w:lineRule="auto"/>
        <w:ind w:firstLine="658"/>
        <w:jc w:val="both"/>
        <w:outlineLvl w:val="3"/>
        <w:rPr>
          <w:rFonts w:hint="eastAsia" w:ascii="宋体" w:hAnsi="宋体" w:eastAsia="宋体" w:cs="宋体"/>
          <w:b/>
          <w:bCs/>
          <w:snapToGrid w:val="0"/>
          <w:color w:val="000000"/>
          <w:kern w:val="0"/>
          <w:sz w:val="28"/>
          <w:szCs w:val="28"/>
          <w:lang w:val="en-US" w:eastAsia="zh-CN" w:bidi="ar"/>
        </w:rPr>
      </w:pPr>
      <w:r>
        <w:rPr>
          <w:rFonts w:hint="eastAsia" w:ascii="宋体" w:hAnsi="宋体" w:eastAsia="宋体" w:cs="宋体"/>
          <w:b/>
          <w:bCs/>
          <w:snapToGrid w:val="0"/>
          <w:color w:val="000000"/>
          <w:kern w:val="0"/>
          <w:sz w:val="28"/>
          <w:szCs w:val="28"/>
          <w:lang w:val="en-US" w:eastAsia="zh-CN" w:bidi="ar"/>
        </w:rPr>
        <w:t>（三）竹菁河上游水土保持与矿山综合治理修复区</w:t>
      </w:r>
    </w:p>
    <w:p>
      <w:pPr>
        <w:keepNext w:val="0"/>
        <w:keepLines w:val="0"/>
        <w:widowControl/>
        <w:suppressLineNumbers w:val="0"/>
        <w:spacing w:line="360" w:lineRule="auto"/>
        <w:ind w:firstLine="512" w:firstLineChars="200"/>
        <w:jc w:val="both"/>
        <w:rPr>
          <w:rFonts w:hint="eastAsia" w:ascii="宋体" w:hAnsi="宋体" w:eastAsia="宋体" w:cs="宋体"/>
          <w:b w:val="0"/>
          <w:bCs w:val="0"/>
          <w:spacing w:val="-12"/>
          <w:sz w:val="28"/>
          <w:szCs w:val="28"/>
          <w:lang w:val="en-US" w:eastAsia="zh-CN"/>
        </w:rPr>
      </w:pPr>
      <w:r>
        <w:rPr>
          <w:rFonts w:hint="eastAsia" w:ascii="宋体" w:hAnsi="宋体" w:eastAsia="宋体" w:cs="宋体"/>
          <w:b w:val="0"/>
          <w:bCs w:val="0"/>
          <w:spacing w:val="-12"/>
          <w:sz w:val="28"/>
          <w:szCs w:val="28"/>
          <w:lang w:val="en-US" w:eastAsia="zh-CN"/>
        </w:rPr>
        <w:t>1、区域范围：位于师宗县北部雄壁镇。该区总面积23444.88公顷，占全县总面积的8.42%。</w:t>
      </w:r>
    </w:p>
    <w:p>
      <w:pPr>
        <w:keepNext w:val="0"/>
        <w:keepLines w:val="0"/>
        <w:pageBreakBefore w:val="0"/>
        <w:widowControl/>
        <w:suppressLineNumbers w:val="0"/>
        <w:kinsoku w:val="0"/>
        <w:wordWrap/>
        <w:overflowPunct/>
        <w:topLinePunct w:val="0"/>
        <w:autoSpaceDE w:val="0"/>
        <w:autoSpaceDN w:val="0"/>
        <w:bidi w:val="0"/>
        <w:adjustRightInd/>
        <w:snapToGrid/>
        <w:spacing w:line="360" w:lineRule="auto"/>
        <w:ind w:firstLine="512" w:firstLineChars="200"/>
        <w:jc w:val="both"/>
        <w:textAlignment w:val="baseline"/>
        <w:rPr>
          <w:rFonts w:hint="default" w:ascii="宋体" w:hAnsi="宋体" w:eastAsia="宋体" w:cs="宋体"/>
          <w:spacing w:val="-12"/>
          <w:sz w:val="28"/>
          <w:szCs w:val="28"/>
          <w:lang w:val="en-US" w:eastAsia="zh-CN"/>
        </w:rPr>
      </w:pPr>
      <w:r>
        <w:rPr>
          <w:rFonts w:hint="eastAsia" w:ascii="宋体" w:hAnsi="宋体" w:eastAsia="宋体" w:cs="宋体"/>
          <w:b w:val="0"/>
          <w:bCs w:val="0"/>
          <w:spacing w:val="-12"/>
          <w:sz w:val="28"/>
          <w:szCs w:val="28"/>
          <w:lang w:val="en-US" w:eastAsia="zh-CN"/>
        </w:rPr>
        <w:t>2、主要生态问题：区域内有7座持证煤矿矿山和36座历史遗留的矿山，矿山开采挖损</w:t>
      </w:r>
      <w:r>
        <w:rPr>
          <w:rFonts w:hint="eastAsia" w:ascii="宋体" w:hAnsi="宋体" w:eastAsia="宋体" w:cs="宋体"/>
          <w:spacing w:val="-12"/>
          <w:sz w:val="28"/>
          <w:szCs w:val="28"/>
          <w:lang w:val="en-US" w:eastAsia="zh-CN"/>
        </w:rPr>
        <w:t>山体，造成土地损毁、地形地貌景观破坏、植被连续性破坏和其它地质环境问题，致使生态系统完整性受损，</w:t>
      </w:r>
      <w:r>
        <w:rPr>
          <w:rFonts w:hint="default" w:ascii="宋体" w:hAnsi="宋体" w:eastAsia="宋体" w:cs="宋体"/>
          <w:spacing w:val="-12"/>
          <w:sz w:val="28"/>
          <w:szCs w:val="28"/>
          <w:lang w:val="en-US" w:eastAsia="zh-CN"/>
        </w:rPr>
        <w:t>破坏生态系统的平衡</w:t>
      </w:r>
      <w:r>
        <w:rPr>
          <w:rFonts w:hint="eastAsia" w:ascii="宋体" w:hAnsi="宋体" w:eastAsia="宋体" w:cs="宋体"/>
          <w:spacing w:val="-12"/>
          <w:sz w:val="28"/>
          <w:szCs w:val="28"/>
          <w:lang w:val="en-US" w:eastAsia="zh-CN"/>
        </w:rPr>
        <w:t>，水土流失严重。另有以往采煤形成的采煤沉陷区，面积约6747.76亩。采煤活动形成的地下采空区诱发覆盖岩层变形破坏、地表形成采煤沉陷凹地、积水洼地、沉陷湖塘等，造成土地、道路、建筑、环境等均受到不同程度的破坏。区内石漠化面积达1805.70公顷，占县域石漠化总面积的4.07%，其中重度、极重度石漠化总面积35.89公顷。</w:t>
      </w:r>
    </w:p>
    <w:p>
      <w:pPr>
        <w:keepNext w:val="0"/>
        <w:keepLines w:val="0"/>
        <w:pageBreakBefore w:val="0"/>
        <w:widowControl/>
        <w:suppressLineNumbers w:val="0"/>
        <w:kinsoku w:val="0"/>
        <w:wordWrap/>
        <w:overflowPunct/>
        <w:topLinePunct w:val="0"/>
        <w:autoSpaceDE w:val="0"/>
        <w:autoSpaceDN w:val="0"/>
        <w:bidi w:val="0"/>
        <w:adjustRightInd/>
        <w:snapToGrid/>
        <w:spacing w:line="360" w:lineRule="auto"/>
        <w:ind w:firstLine="512" w:firstLineChars="200"/>
        <w:jc w:val="both"/>
        <w:textAlignment w:val="baseline"/>
        <w:rPr>
          <w:rFonts w:hint="eastAsia" w:ascii="宋体" w:hAnsi="宋体" w:eastAsia="宋体" w:cs="宋体"/>
          <w:b/>
          <w:sz w:val="28"/>
          <w:szCs w:val="28"/>
        </w:rPr>
      </w:pPr>
      <w:r>
        <w:rPr>
          <w:rFonts w:hint="eastAsia" w:ascii="宋体" w:hAnsi="宋体" w:eastAsia="宋体" w:cs="宋体"/>
          <w:b w:val="0"/>
          <w:bCs w:val="0"/>
          <w:spacing w:val="-12"/>
          <w:sz w:val="28"/>
          <w:szCs w:val="28"/>
          <w:lang w:val="en-US" w:eastAsia="zh-CN"/>
        </w:rPr>
        <w:t>3、生态修复主攻方向：</w:t>
      </w:r>
      <w:r>
        <w:rPr>
          <w:rFonts w:hint="eastAsia" w:ascii="宋体" w:hAnsi="宋体" w:eastAsia="宋体" w:cs="宋体"/>
          <w:spacing w:val="-12"/>
          <w:sz w:val="28"/>
          <w:szCs w:val="28"/>
          <w:lang w:val="en-US" w:eastAsia="zh-CN"/>
        </w:rPr>
        <w:t>以矿山生态环境修复和水土流失治理为重点。在矿山生态修复上，积极参与全县历史遗留矿山修复项目，加强历史遗留矿山生态修复力度，通过自然修复、地貌重塑、植被重建、土壤重构，使废弃矿山复耕复绿，减缓、减少石漠化和水土流失；生产矿山积极推进绿色矿山建设，严格按照“边开采，边修复’的原则规范生产，防止生产矿山问题转为历史遗留问题；推进雄壁镇大舍至瓦路一带采煤沉陷区综合治理，荒山荒坡补种人工林、水保林，加强封禁管护，加大森林抚育，恢复植被，加强退化生态系统恢复；在雄壁镇小阿舍小流域实施小流域国家水土保持重点工程，通过森林抚育、天然林保护、低效林改造、退化林修复、河道整治、污水处理等措施，控制水土流失，提高水土保持能力。以自然修复为主，结合矿山生态修复、采煤沉陷区综合治理和水土流失治理同步推进对区内石漠化进行治理。</w:t>
      </w:r>
    </w:p>
    <w:p>
      <w:pPr>
        <w:spacing w:before="100" w:line="360" w:lineRule="auto"/>
        <w:ind w:left="2502"/>
        <w:jc w:val="both"/>
        <w:outlineLvl w:val="1"/>
        <w:rPr>
          <w:rFonts w:hint="eastAsia" w:ascii="宋体" w:hAnsi="宋体" w:eastAsia="宋体" w:cs="宋体"/>
          <w:sz w:val="30"/>
          <w:szCs w:val="30"/>
        </w:rPr>
      </w:pPr>
      <w:bookmarkStart w:id="39" w:name="_Toc19894"/>
      <w:r>
        <w:rPr>
          <w:rFonts w:hint="eastAsia" w:ascii="宋体" w:hAnsi="宋体" w:eastAsia="宋体" w:cs="宋体"/>
          <w:b/>
          <w:bCs/>
          <w:spacing w:val="7"/>
          <w:position w:val="1"/>
          <w:sz w:val="30"/>
          <w:szCs w:val="30"/>
        </w:rPr>
        <w:t>第二节 重点区域的确定</w:t>
      </w:r>
      <w:bookmarkEnd w:id="39"/>
    </w:p>
    <w:p>
      <w:pPr>
        <w:keepNext w:val="0"/>
        <w:keepLines w:val="0"/>
        <w:widowControl/>
        <w:suppressLineNumbers w:val="0"/>
        <w:spacing w:line="360" w:lineRule="auto"/>
        <w:ind w:firstLine="512" w:firstLineChars="200"/>
        <w:jc w:val="both"/>
        <w:rPr>
          <w:rFonts w:hint="eastAsia" w:ascii="宋体" w:hAnsi="宋体" w:eastAsia="宋体" w:cs="宋体"/>
          <w:spacing w:val="2"/>
          <w:sz w:val="28"/>
          <w:szCs w:val="28"/>
          <w:lang w:val="en-US" w:eastAsia="zh-CN"/>
        </w:rPr>
      </w:pPr>
      <w:r>
        <w:rPr>
          <w:rFonts w:hint="eastAsia" w:ascii="宋体" w:hAnsi="宋体" w:eastAsia="宋体" w:cs="宋体"/>
          <w:spacing w:val="-12"/>
          <w:sz w:val="28"/>
          <w:szCs w:val="28"/>
          <w:lang w:val="en-US" w:eastAsia="zh-CN"/>
        </w:rPr>
        <w:t>将省级、市级国土空间生态修复规划确定的重点区域，结合师宗县国土空间总体规划生态格局，对师宗县生态安全有重大影响的关键地区（重要河流、生态保护红线、自然保护地）和全县生态问题诊断中迫切修复的区域，划为全县生态修复重点区域。将全县生态修复重点区域划分将全县生态修复重点区域划分为矿山生态修复重点区、水土流失治理重点区、石漠化综合治理重点区、水环境综合整治重点区、森林（草原）生态修复重点区、生物多样性保护重点区、农业空间生态修复重点区、城镇空间生态修复重点区8个重点修复区域。</w:t>
      </w:r>
      <w:r>
        <w:rPr>
          <w:rFonts w:hint="eastAsia" w:ascii="宋体" w:hAnsi="宋体" w:eastAsia="宋体" w:cs="宋体"/>
          <w:spacing w:val="2"/>
          <w:sz w:val="28"/>
          <w:szCs w:val="28"/>
          <w:lang w:val="en-US" w:eastAsia="zh-CN"/>
        </w:rPr>
        <w:t>见图6-3～图6-5。</w:t>
      </w:r>
    </w:p>
    <w:p>
      <w:pPr>
        <w:keepNext w:val="0"/>
        <w:keepLines w:val="0"/>
        <w:widowControl/>
        <w:suppressLineNumbers w:val="0"/>
        <w:spacing w:line="360" w:lineRule="auto"/>
        <w:ind w:firstLine="514" w:firstLineChars="200"/>
        <w:jc w:val="both"/>
        <w:outlineLvl w:val="3"/>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 xml:space="preserve">（一）矿山生态修复重点区 </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区域分布：雄壁镇扯乐村民委员会、束岗村民委员会、瓦鲁村民委员会、法召村民委员会、雄壁社区居民委员会、独龙村民委员会、大舍村民委员会、天生桥村民委员会、雨柱村民委员会、小哨村民委员会、下鸭子塘村民委员会、小阿舍村民委员会、长冲村民委员会、小黑纳村民委员会、蒲草塘村民委员会；葵山镇地利找村民委员会、温泉村民委员会、峰龙潭村民委员会、马厂村民委员会。详见</w:t>
      </w:r>
      <w:r>
        <w:rPr>
          <w:rFonts w:hint="eastAsia" w:ascii="宋体" w:hAnsi="宋体" w:eastAsia="宋体" w:cs="宋体"/>
          <w:spacing w:val="2"/>
          <w:sz w:val="28"/>
          <w:szCs w:val="28"/>
          <w:lang w:val="en-US" w:eastAsia="zh-CN"/>
        </w:rPr>
        <w:t>图6-3。</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主要修复工程类型：历史遗留矿山生态修复工程，竹菁河上游水土保持与矿山综合治理工程，采煤沉陷区综合治理工程，绿色矿山建设。</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snapToGrid/>
        <w:spacing w:line="360" w:lineRule="auto"/>
        <w:ind w:left="0"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修复任务：</w:t>
      </w:r>
      <w:r>
        <w:rPr>
          <w:rFonts w:hint="default" w:ascii="宋体" w:hAnsi="宋体" w:eastAsia="宋体" w:cs="宋体"/>
          <w:spacing w:val="-12"/>
          <w:sz w:val="28"/>
          <w:szCs w:val="28"/>
          <w:lang w:val="en-US" w:eastAsia="zh-CN"/>
        </w:rPr>
        <w:t>加快推进历史遗留矿山生态修复，因地制宜推进历史遗留矿山生态修复</w:t>
      </w:r>
      <w:r>
        <w:rPr>
          <w:rFonts w:hint="eastAsia" w:ascii="宋体" w:hAnsi="宋体" w:eastAsia="宋体" w:cs="宋体"/>
          <w:spacing w:val="-12"/>
          <w:sz w:val="28"/>
          <w:szCs w:val="28"/>
          <w:lang w:val="en-US" w:eastAsia="zh-CN"/>
        </w:rPr>
        <w:t>。按照“宜林则林、宜耕则耕、宜建则建、宜景则景”原则，通过地质环境治理、地形重塑、土壤重构、植被重建等综合治理措施，恢复矿山生态；积极推进雄壁镇采煤沉陷区综合治理，对沉陷影响区实施植树造林、</w:t>
      </w:r>
      <w:r>
        <w:rPr>
          <w:rFonts w:hint="eastAsia" w:asciiTheme="minorEastAsia" w:hAnsiTheme="minorEastAsia" w:eastAsiaTheme="minorEastAsia" w:cstheme="minorEastAsia"/>
          <w:spacing w:val="-12"/>
          <w:sz w:val="28"/>
          <w:szCs w:val="28"/>
          <w:lang w:val="en-US" w:eastAsia="zh-CN"/>
        </w:rPr>
        <w:t>封禁管护、森林抚育，</w:t>
      </w:r>
      <w:r>
        <w:rPr>
          <w:rFonts w:hint="eastAsia" w:ascii="宋体" w:hAnsi="宋体" w:eastAsia="宋体" w:cs="宋体"/>
          <w:spacing w:val="-12"/>
          <w:sz w:val="28"/>
          <w:szCs w:val="28"/>
          <w:lang w:val="en-US" w:eastAsia="zh-CN"/>
        </w:rPr>
        <w:t>通过采取路面翻修、塌方路段修复、新建道路、路面修补</w:t>
      </w:r>
      <w:r>
        <w:rPr>
          <w:rFonts w:hint="eastAsia" w:asciiTheme="minorEastAsia" w:hAnsiTheme="minorEastAsia" w:eastAsiaTheme="minorEastAsia" w:cstheme="minorEastAsia"/>
          <w:spacing w:val="-12"/>
          <w:sz w:val="28"/>
          <w:szCs w:val="28"/>
          <w:lang w:val="en-US" w:eastAsia="zh-CN"/>
        </w:rPr>
        <w:t>、</w:t>
      </w:r>
      <w:r>
        <w:rPr>
          <w:rFonts w:hint="eastAsia" w:ascii="宋体" w:hAnsi="宋体" w:eastAsia="宋体" w:cs="宋体"/>
          <w:spacing w:val="-12"/>
          <w:sz w:val="28"/>
          <w:szCs w:val="28"/>
          <w:lang w:val="en-US" w:eastAsia="zh-CN"/>
        </w:rPr>
        <w:t>道路绿化、修建沟渠等措施，加强建设和完善采煤沉陷区受损的道路、水利、市政管网等基础设施。对受沉陷影响的设施、地物进行恢复治理和综合利用，恢复和改善区内生态环境；生产矿山严格落实矿山环境治理恢复和土地复垦责任，遵循“谁开采、谁复垦”的原则，严格按照“边开采，边修复”的原则规范生产，加强生产矿山生态修复监管，防止生产矿山问题转为历史遗留问题。加强矿山生态环境保护，严控矿山数量，防止过度开采。重点加强自然保护地及重要水源地周边矿山生态环境保护修复，优化布局，集约高效开发利用矿山资源。</w:t>
      </w:r>
      <w:r>
        <w:rPr>
          <w:rFonts w:hint="default" w:ascii="宋体" w:hAnsi="宋体" w:eastAsia="宋体" w:cs="宋体"/>
          <w:spacing w:val="-12"/>
          <w:sz w:val="28"/>
          <w:szCs w:val="28"/>
          <w:lang w:val="en-US" w:eastAsia="zh-CN"/>
        </w:rPr>
        <w:t>因地制宜结合实际推动矿山升级改造</w:t>
      </w:r>
      <w:r>
        <w:rPr>
          <w:rFonts w:hint="eastAsia" w:ascii="宋体" w:hAnsi="宋体" w:eastAsia="宋体" w:cs="宋体"/>
          <w:spacing w:val="-12"/>
          <w:sz w:val="28"/>
          <w:szCs w:val="28"/>
          <w:lang w:val="en-US" w:eastAsia="zh-CN"/>
        </w:rPr>
        <w:t>，确保矿山关闭后地质环境、土地资源、生态环境和社会经济的可持续发展。</w:t>
      </w:r>
      <w:r>
        <w:rPr>
          <w:rFonts w:hint="default" w:ascii="宋体" w:hAnsi="宋体" w:eastAsia="宋体" w:cs="宋体"/>
          <w:spacing w:val="-12"/>
          <w:sz w:val="28"/>
          <w:szCs w:val="28"/>
          <w:lang w:val="en-US" w:eastAsia="zh-CN"/>
        </w:rPr>
        <w:t>新建矿山按照绿色矿山标准要求进行规划、设计、建设和运营管理</w:t>
      </w:r>
      <w:r>
        <w:rPr>
          <w:rFonts w:hint="eastAsia" w:ascii="宋体" w:hAnsi="宋体" w:eastAsia="宋体" w:cs="宋体"/>
          <w:spacing w:val="-12"/>
          <w:sz w:val="28"/>
          <w:szCs w:val="28"/>
          <w:lang w:val="en-US" w:eastAsia="zh-CN"/>
        </w:rPr>
        <w:t>。</w:t>
      </w:r>
    </w:p>
    <w:p>
      <w:pPr>
        <w:bidi w:val="0"/>
        <w:spacing w:line="36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drawing>
          <wp:inline distT="0" distB="0" distL="114300" distR="114300">
            <wp:extent cx="5520055" cy="3848100"/>
            <wp:effectExtent l="0" t="0" r="4445" b="0"/>
            <wp:docPr id="23" name="图片 23" descr="3-3-3 修复重点区域分布图（森林、矿山、生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3-3-3 修复重点区域分布图（森林、矿山、生物）"/>
                    <pic:cNvPicPr>
                      <a:picLocks noChangeAspect="1"/>
                    </pic:cNvPicPr>
                  </pic:nvPicPr>
                  <pic:blipFill>
                    <a:blip r:embed="rId18"/>
                    <a:srcRect l="6531" t="9516" r="6587" b="9838"/>
                    <a:stretch>
                      <a:fillRect/>
                    </a:stretch>
                  </pic:blipFill>
                  <pic:spPr>
                    <a:xfrm>
                      <a:off x="0" y="0"/>
                      <a:ext cx="5520055" cy="3848100"/>
                    </a:xfrm>
                    <a:prstGeom prst="rect">
                      <a:avLst/>
                    </a:prstGeom>
                  </pic:spPr>
                </pic:pic>
              </a:graphicData>
            </a:graphic>
          </wp:inline>
        </w:drawing>
      </w:r>
    </w:p>
    <w:p>
      <w:pPr>
        <w:keepNext w:val="0"/>
        <w:keepLines w:val="0"/>
        <w:widowControl/>
        <w:suppressLineNumbers w:val="0"/>
        <w:spacing w:line="360" w:lineRule="auto"/>
        <w:ind w:firstLine="964" w:firstLineChars="400"/>
        <w:jc w:val="both"/>
        <w:rPr>
          <w:rFonts w:hint="eastAsia" w:ascii="宋体" w:hAnsi="宋体" w:eastAsia="宋体" w:cs="宋体"/>
          <w:b/>
          <w:sz w:val="24"/>
          <w:szCs w:val="24"/>
          <w:lang w:val="en-US" w:eastAsia="zh-CN"/>
        </w:rPr>
      </w:pPr>
      <w:r>
        <w:rPr>
          <w:rFonts w:hint="eastAsia" w:ascii="宋体" w:hAnsi="宋体" w:eastAsia="宋体" w:cs="宋体"/>
          <w:b/>
          <w:sz w:val="24"/>
          <w:szCs w:val="24"/>
        </w:rPr>
        <w:t>图</w:t>
      </w:r>
      <w:r>
        <w:rPr>
          <w:rFonts w:hint="eastAsia" w:ascii="宋体" w:hAnsi="宋体" w:eastAsia="宋体" w:cs="宋体"/>
          <w:b/>
          <w:sz w:val="24"/>
          <w:szCs w:val="24"/>
          <w:lang w:val="en-US" w:eastAsia="zh-CN"/>
        </w:rPr>
        <w:t>6</w:t>
      </w:r>
      <w:r>
        <w:rPr>
          <w:rFonts w:hint="eastAsia" w:ascii="宋体" w:hAnsi="宋体" w:eastAsia="宋体" w:cs="宋体"/>
          <w:b/>
          <w:sz w:val="24"/>
          <w:szCs w:val="24"/>
        </w:rPr>
        <w:t>-</w:t>
      </w:r>
      <w:r>
        <w:rPr>
          <w:rFonts w:hint="eastAsia" w:ascii="宋体" w:hAnsi="宋体" w:eastAsia="宋体" w:cs="宋体"/>
          <w:b/>
          <w:sz w:val="24"/>
          <w:szCs w:val="24"/>
          <w:lang w:val="en-US" w:eastAsia="zh-CN"/>
        </w:rPr>
        <w:t>3</w:t>
      </w:r>
      <w:r>
        <w:rPr>
          <w:rFonts w:hint="eastAsia" w:ascii="宋体" w:hAnsi="宋体" w:eastAsia="宋体" w:cs="宋体"/>
          <w:b/>
          <w:sz w:val="24"/>
          <w:szCs w:val="24"/>
        </w:rPr>
        <w:t xml:space="preserve">  </w:t>
      </w:r>
      <w:r>
        <w:rPr>
          <w:rFonts w:hint="eastAsia" w:ascii="宋体" w:hAnsi="宋体" w:eastAsia="宋体" w:cs="宋体"/>
          <w:b/>
          <w:sz w:val="24"/>
          <w:szCs w:val="24"/>
          <w:lang w:val="en-US" w:eastAsia="zh-CN"/>
        </w:rPr>
        <w:t xml:space="preserve">    </w:t>
      </w:r>
      <w:r>
        <w:rPr>
          <w:rFonts w:hint="eastAsia" w:ascii="宋体" w:hAnsi="宋体" w:eastAsia="宋体" w:cs="宋体"/>
          <w:b/>
          <w:sz w:val="24"/>
          <w:szCs w:val="24"/>
        </w:rPr>
        <w:t>生态修复重点区域</w:t>
      </w:r>
      <w:r>
        <w:rPr>
          <w:rFonts w:hint="eastAsia" w:ascii="宋体" w:hAnsi="宋体" w:eastAsia="宋体" w:cs="宋体"/>
          <w:b/>
          <w:sz w:val="24"/>
          <w:szCs w:val="24"/>
          <w:lang w:val="en-US" w:eastAsia="zh-CN"/>
        </w:rPr>
        <w:t>分布图（矿山、生物多样性、森林）</w:t>
      </w:r>
    </w:p>
    <w:p>
      <w:pPr>
        <w:keepNext w:val="0"/>
        <w:keepLines w:val="0"/>
        <w:widowControl/>
        <w:suppressLineNumbers w:val="0"/>
        <w:spacing w:line="360" w:lineRule="auto"/>
        <w:ind w:firstLine="514" w:firstLineChars="200"/>
        <w:jc w:val="both"/>
        <w:outlineLvl w:val="3"/>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 xml:space="preserve">（二）水土流失综合治理重点区 </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snapToGrid/>
        <w:spacing w:line="360" w:lineRule="auto"/>
        <w:ind w:left="0"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区域分布：五龙壮族乡鲁克村民委员会、大厂村民委员会、南岩村民委员会、花桂村民委员会、狗街村民委员会、新庄科村民委员会、牛尾村民委员会；龙庆彝族壮族乡阿那黑村民委员会；高良壮族苗族瑶族乡团坡村民委员会、戈勒村民委员会、设里村民委员会、纳厦村民委员会；雄壁镇扯乐村民委员会、束岗村民委员会、瓦鲁村民委员会、法召村民委员会、雄壁社区居民委员会、独龙村民委员会、大舍村民委员会、天生桥村民委员会、雨柱村民委员会、小哨村民委员会、下鸭子塘村民委员会、小阿舍村民委员会、长冲村民委员会、小黑纳村民委员会、蒲草塘村民委员会；竹基镇斗坞村民委员会、龙甸村民委员会、阿白村民委员会、永安村民委员会。详见</w:t>
      </w:r>
      <w:r>
        <w:rPr>
          <w:rFonts w:hint="eastAsia" w:ascii="宋体" w:hAnsi="宋体" w:eastAsia="宋体" w:cs="宋体"/>
          <w:spacing w:val="2"/>
          <w:sz w:val="28"/>
          <w:szCs w:val="28"/>
          <w:lang w:val="en-US" w:eastAsia="zh-CN"/>
        </w:rPr>
        <w:t>图6-4。</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snapToGrid/>
        <w:spacing w:line="360" w:lineRule="auto"/>
        <w:ind w:right="0"/>
        <w:jc w:val="both"/>
        <w:textAlignment w:val="baseline"/>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drawing>
          <wp:inline distT="0" distB="0" distL="114300" distR="114300">
            <wp:extent cx="6044565" cy="3976370"/>
            <wp:effectExtent l="0" t="0" r="635" b="11430"/>
            <wp:docPr id="22" name="图片 22" descr="3-3-4 修复重点区域分布图（城镇、农业、水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3-4 修复重点区域分布图（城镇、农业、水土）"/>
                    <pic:cNvPicPr>
                      <a:picLocks noChangeAspect="1"/>
                    </pic:cNvPicPr>
                  </pic:nvPicPr>
                  <pic:blipFill>
                    <a:blip r:embed="rId19"/>
                    <a:srcRect l="6531" t="9598" r="6677" b="9721"/>
                    <a:stretch>
                      <a:fillRect/>
                    </a:stretch>
                  </pic:blipFill>
                  <pic:spPr>
                    <a:xfrm>
                      <a:off x="0" y="0"/>
                      <a:ext cx="6044565" cy="3976370"/>
                    </a:xfrm>
                    <a:prstGeom prst="rect">
                      <a:avLst/>
                    </a:prstGeom>
                  </pic:spPr>
                </pic:pic>
              </a:graphicData>
            </a:graphic>
          </wp:inline>
        </w:drawing>
      </w:r>
    </w:p>
    <w:p>
      <w:pPr>
        <w:bidi w:val="0"/>
        <w:spacing w:line="360" w:lineRule="auto"/>
        <w:ind w:firstLine="964" w:firstLineChars="400"/>
        <w:rPr>
          <w:rFonts w:hint="eastAsia" w:ascii="宋体" w:hAnsi="宋体" w:eastAsia="宋体" w:cs="宋体"/>
          <w:b/>
          <w:sz w:val="24"/>
          <w:szCs w:val="24"/>
          <w:lang w:val="en-US" w:eastAsia="zh-CN"/>
        </w:rPr>
      </w:pPr>
      <w:r>
        <w:rPr>
          <w:rFonts w:hint="eastAsia" w:ascii="宋体" w:hAnsi="宋体" w:eastAsia="宋体" w:cs="宋体"/>
          <w:b/>
          <w:sz w:val="24"/>
          <w:szCs w:val="24"/>
        </w:rPr>
        <w:t>图</w:t>
      </w:r>
      <w:r>
        <w:rPr>
          <w:rFonts w:hint="eastAsia" w:ascii="宋体" w:hAnsi="宋体" w:eastAsia="宋体" w:cs="宋体"/>
          <w:b/>
          <w:sz w:val="24"/>
          <w:szCs w:val="24"/>
          <w:lang w:val="en-US" w:eastAsia="zh-CN"/>
        </w:rPr>
        <w:t>6</w:t>
      </w:r>
      <w:r>
        <w:rPr>
          <w:rFonts w:hint="eastAsia" w:ascii="宋体" w:hAnsi="宋体" w:eastAsia="宋体" w:cs="宋体"/>
          <w:b/>
          <w:sz w:val="24"/>
          <w:szCs w:val="24"/>
        </w:rPr>
        <w:t>-</w:t>
      </w:r>
      <w:r>
        <w:rPr>
          <w:rFonts w:hint="eastAsia" w:ascii="宋体" w:hAnsi="宋体" w:eastAsia="宋体" w:cs="宋体"/>
          <w:b/>
          <w:sz w:val="24"/>
          <w:szCs w:val="24"/>
          <w:lang w:val="en-US" w:eastAsia="zh-CN"/>
        </w:rPr>
        <w:t>4</w:t>
      </w:r>
      <w:r>
        <w:rPr>
          <w:rFonts w:hint="eastAsia" w:ascii="宋体" w:hAnsi="宋体" w:eastAsia="宋体" w:cs="宋体"/>
          <w:b/>
          <w:sz w:val="24"/>
          <w:szCs w:val="24"/>
        </w:rPr>
        <w:t xml:space="preserve">  </w:t>
      </w:r>
      <w:r>
        <w:rPr>
          <w:rFonts w:hint="eastAsia" w:ascii="宋体" w:hAnsi="宋体" w:eastAsia="宋体" w:cs="宋体"/>
          <w:b/>
          <w:sz w:val="24"/>
          <w:szCs w:val="24"/>
          <w:lang w:val="en-US" w:eastAsia="zh-CN"/>
        </w:rPr>
        <w:t xml:space="preserve">    </w:t>
      </w:r>
      <w:r>
        <w:rPr>
          <w:rFonts w:hint="eastAsia" w:ascii="宋体" w:hAnsi="宋体" w:eastAsia="宋体" w:cs="宋体"/>
          <w:b/>
          <w:sz w:val="24"/>
          <w:szCs w:val="24"/>
        </w:rPr>
        <w:t>生态修复重点区域</w:t>
      </w:r>
      <w:r>
        <w:rPr>
          <w:rFonts w:hint="eastAsia" w:ascii="宋体" w:hAnsi="宋体" w:eastAsia="宋体" w:cs="宋体"/>
          <w:b/>
          <w:sz w:val="24"/>
          <w:szCs w:val="24"/>
          <w:lang w:val="en-US" w:eastAsia="zh-CN"/>
        </w:rPr>
        <w:t>分布图（城镇、农业、水土流失）</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snapToGrid/>
        <w:spacing w:line="360" w:lineRule="auto"/>
        <w:ind w:left="0"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主要修复工程类型：自然修复、小流域综合治理工程、河道治理工程、植被恢复。</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snapToGrid/>
        <w:spacing w:line="360" w:lineRule="auto"/>
        <w:ind w:left="0" w:right="0" w:firstLine="512" w:firstLineChars="200"/>
        <w:jc w:val="both"/>
        <w:textAlignment w:val="baseline"/>
        <w:rPr>
          <w:rFonts w:hint="eastAsia" w:ascii="宋体" w:hAnsi="宋体" w:eastAsia="宋体" w:cs="宋体"/>
          <w:b/>
          <w:sz w:val="24"/>
          <w:szCs w:val="24"/>
          <w:lang w:val="en-US" w:eastAsia="zh-CN"/>
        </w:rPr>
      </w:pPr>
      <w:r>
        <w:rPr>
          <w:rFonts w:hint="eastAsia" w:ascii="宋体" w:hAnsi="宋体" w:eastAsia="宋体" w:cs="宋体"/>
          <w:spacing w:val="-12"/>
          <w:sz w:val="28"/>
          <w:szCs w:val="28"/>
          <w:lang w:val="en-US" w:eastAsia="zh-CN"/>
        </w:rPr>
        <w:t>修复任务：坚持以自然恢复为主，工程恢复为辅。在侵蚀强度大的区域开展小流域国家水土保持重点工程，采取种植水保林、经果林、封禁治理、溪沟整治、污水处理等措施，控制水土流失，提高水土保持能力。开展南盘江大型河道堤岸支护，河堤疏浚，加高加固工程，防止水土流失。开展漾月街道小石山水库、竹基镇阿宜格水库、雄壁镇大舍河小阿舍流域开展小流域综合治理工程，</w:t>
      </w:r>
      <w:r>
        <w:rPr>
          <w:rFonts w:hint="default" w:ascii="宋体" w:hAnsi="宋体" w:eastAsia="宋体" w:cs="宋体"/>
          <w:spacing w:val="-12"/>
          <w:sz w:val="28"/>
          <w:szCs w:val="28"/>
          <w:lang w:val="en-US" w:eastAsia="zh-CN"/>
        </w:rPr>
        <w:t>采取种植水保林、经果林、封禁治理、</w:t>
      </w:r>
      <w:r>
        <w:rPr>
          <w:rFonts w:hint="eastAsia" w:ascii="宋体" w:hAnsi="宋体" w:eastAsia="宋体" w:cs="宋体"/>
          <w:spacing w:val="-12"/>
          <w:sz w:val="28"/>
          <w:szCs w:val="28"/>
          <w:lang w:val="en-US" w:eastAsia="zh-CN"/>
        </w:rPr>
        <w:t>坡面治理、河道</w:t>
      </w:r>
      <w:r>
        <w:rPr>
          <w:rFonts w:hint="default" w:ascii="宋体" w:hAnsi="宋体" w:eastAsia="宋体" w:cs="宋体"/>
          <w:spacing w:val="-12"/>
          <w:sz w:val="28"/>
          <w:szCs w:val="28"/>
          <w:lang w:val="en-US" w:eastAsia="zh-CN"/>
        </w:rPr>
        <w:t>整治、污水处理等措施，控制水土流失</w:t>
      </w:r>
      <w:r>
        <w:rPr>
          <w:rFonts w:hint="eastAsia" w:ascii="宋体" w:hAnsi="宋体" w:eastAsia="宋体" w:cs="宋体"/>
          <w:spacing w:val="-12"/>
          <w:sz w:val="28"/>
          <w:szCs w:val="28"/>
          <w:lang w:val="en-US" w:eastAsia="zh-CN"/>
        </w:rPr>
        <w:t>。</w:t>
      </w:r>
    </w:p>
    <w:p>
      <w:pPr>
        <w:keepNext w:val="0"/>
        <w:keepLines w:val="0"/>
        <w:widowControl/>
        <w:suppressLineNumbers w:val="0"/>
        <w:spacing w:line="360" w:lineRule="auto"/>
        <w:ind w:firstLine="514" w:firstLineChars="200"/>
        <w:jc w:val="both"/>
        <w:outlineLvl w:val="3"/>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（三）石漠化综合治理重点区</w:t>
      </w:r>
    </w:p>
    <w:p>
      <w:pPr>
        <w:keepNext w:val="0"/>
        <w:keepLines w:val="0"/>
        <w:widowControl/>
        <w:suppressLineNumbers w:val="0"/>
        <w:spacing w:line="360" w:lineRule="auto"/>
        <w:ind w:firstLine="562" w:firstLineChars="200"/>
        <w:jc w:val="both"/>
        <w:rPr>
          <w:rFonts w:hint="eastAsia" w:ascii="宋体" w:hAnsi="宋体" w:eastAsia="宋体" w:cs="宋体"/>
          <w:spacing w:val="-12"/>
          <w:sz w:val="28"/>
          <w:szCs w:val="28"/>
          <w:lang w:val="en-US" w:eastAsia="zh-CN"/>
        </w:rPr>
      </w:pPr>
      <w:r>
        <w:rPr>
          <w:rFonts w:hint="eastAsia" w:ascii="宋体" w:hAnsi="宋体" w:eastAsia="宋体" w:cs="宋体"/>
          <w:b/>
          <w:sz w:val="28"/>
          <w:szCs w:val="28"/>
        </w:rPr>
        <w:t>区域分布：</w:t>
      </w:r>
      <w:r>
        <w:rPr>
          <w:rFonts w:hint="eastAsia" w:ascii="宋体" w:hAnsi="宋体" w:eastAsia="宋体" w:cs="宋体"/>
          <w:spacing w:val="-12"/>
          <w:sz w:val="28"/>
          <w:szCs w:val="28"/>
          <w:lang w:val="en-US" w:eastAsia="zh-CN"/>
        </w:rPr>
        <w:t>漾月街道办事处峰岭村民委员会、</w:t>
      </w:r>
      <w:r>
        <w:rPr>
          <w:rFonts w:hint="eastAsia" w:ascii="宋体" w:hAnsi="宋体" w:eastAsia="宋体" w:cs="宋体"/>
          <w:spacing w:val="-12"/>
          <w:sz w:val="28"/>
          <w:szCs w:val="28"/>
          <w:lang w:val="en-US" w:eastAsia="zh-CN"/>
        </w:rPr>
        <w:tab/>
      </w:r>
      <w:r>
        <w:rPr>
          <w:rFonts w:hint="eastAsia" w:ascii="宋体" w:hAnsi="宋体" w:eastAsia="宋体" w:cs="宋体"/>
          <w:spacing w:val="-12"/>
          <w:sz w:val="28"/>
          <w:szCs w:val="28"/>
          <w:lang w:val="en-US" w:eastAsia="zh-CN"/>
        </w:rPr>
        <w:t>捏龙村民委员会、新村社区居民委员会、法雨社区居民委员会、法块社区居民委员会、西华社区居民委员会、路新社区居民委员会、漾月社区居民委员会、永安村民委员会；丹凤街道办事处海宴社区居民委员会、法杂村民委员会、淑足村民委员会、矣腊社区居民委员会、山龙村民委员会、大堵社区居民委员会、古城社区居民委员会、文笔社区居民委员会、丹凤社区居民委员会；竹基镇坞白村民委员会、阿白村民委员会、斗坞村民委员会、本寨村民委员会、七排村民委员会、抵鲁村民委员会、竹基社区居民委员会、界桥社区居民委员会、六丘村民委员会、龙甸村民委员会、小黑纳村民委员会、蒲草塘村民委员会、查拉村民委员会；葵山镇黎家坝村民委员会、者黑村民委员会、地利找村民委员会、瓦葵社区居民委员会、马厂村民委员会、峰龙潭村民委员会、温泉村民委员会、山乌果村民委员会、者黑村民委员会、马湾村民委员会；彩云镇足法村民委员会、红土村民委员会、额则村民委员会、务龙村民委员会、长街村民委员会、槟榔社区居民委员会、石洞村民委员会、路撒村民委员会；大同街道办事处牛宿村民委员会、大同社区居民委员会、糯白村民委员会、色从村民委员会、阿梅者村民委员会、黑那村民委员会、米车社区居民委员会、长桥村民委员会、官庄村民委员会、石碑社区居民委员会、新安社区居民委员会；五龙壮族乡鲁克村民委员会、大厂村民委员会、南岩村民委员会、花桂村民委员会、狗街村民委员会、新庄科村民委员会、牛尾村民委员会、曲祖村民委员会、法岗村民委员会、得勒村民委员会、保太村民委员会、平寨村民委员会、脚家箐村民委员会、泥槽村民委员会；龙庆彝族壮族乡朝阳村民委员会、扯寨村民委员会、下寨村民委员会、笼杂村民委员会、黑尔村民委员会、阿那黑村民委员会、落红甸村民委员会、龙庆村民委员会、杜吉村民委员会、庄科村民委员会、束米甸村民委员会、豆温村民委员会、山黑村民委员会；高良壮族苗族瑶族乡团坡村民委员会、戈勒村民委员会、纳非村民委员会、科白村民委员会、雨厦村民委员会、设里村民委员会、便料村民委员会、窝德村民委员会、坝林村民委员会、纳厦村民委员会、笼嘎村民委员会；雄壁镇扯乐村民委员会、束岗村民委员会、瓦鲁村民委员会、法召村民委员会、雄壁社区居民委员会、独龙村民委员会、大舍村民委员会、天生桥村民委员会、雨柱村民委员会、小哨村民委员会、下鸭子塘村民委员会、小阿舍村民委员会、长冲村民委员会、小黑纳村民委员会、蒲草塘村民委员会。</w:t>
      </w:r>
    </w:p>
    <w:p>
      <w:pPr>
        <w:spacing w:line="360" w:lineRule="auto"/>
        <w:ind w:firstLine="562"/>
        <w:jc w:val="both"/>
        <w:rPr>
          <w:rFonts w:hint="eastAsia" w:ascii="宋体" w:hAnsi="宋体" w:eastAsia="宋体" w:cs="宋体"/>
          <w:spacing w:val="-12"/>
          <w:sz w:val="28"/>
          <w:szCs w:val="28"/>
          <w:lang w:val="en-US" w:eastAsia="zh-CN"/>
        </w:rPr>
      </w:pPr>
      <w:r>
        <w:rPr>
          <w:rFonts w:hint="eastAsia" w:ascii="宋体" w:hAnsi="宋体" w:eastAsia="宋体" w:cs="宋体"/>
          <w:b/>
          <w:bCs/>
          <w:sz w:val="28"/>
          <w:szCs w:val="28"/>
        </w:rPr>
        <w:t>主要修复工程类型：</w:t>
      </w:r>
      <w:r>
        <w:rPr>
          <w:rFonts w:hint="default" w:ascii="宋体" w:hAnsi="宋体" w:eastAsia="宋体" w:cs="宋体"/>
          <w:spacing w:val="-12"/>
          <w:sz w:val="28"/>
          <w:szCs w:val="28"/>
          <w:lang w:val="en-US" w:eastAsia="zh-CN"/>
        </w:rPr>
        <w:t>石漠化综合治理工程、</w:t>
      </w:r>
      <w:r>
        <w:rPr>
          <w:rFonts w:hint="eastAsia" w:ascii="宋体" w:hAnsi="宋体" w:eastAsia="宋体" w:cs="宋体"/>
          <w:spacing w:val="-12"/>
          <w:sz w:val="28"/>
          <w:szCs w:val="28"/>
          <w:lang w:val="en-US" w:eastAsia="zh-CN"/>
        </w:rPr>
        <w:t>造林种草</w:t>
      </w:r>
      <w:r>
        <w:rPr>
          <w:rFonts w:hint="default" w:ascii="宋体" w:hAnsi="宋体" w:eastAsia="宋体" w:cs="宋体"/>
          <w:spacing w:val="-12"/>
          <w:sz w:val="28"/>
          <w:szCs w:val="28"/>
          <w:lang w:val="en-US" w:eastAsia="zh-CN"/>
        </w:rPr>
        <w:t>、</w:t>
      </w:r>
      <w:r>
        <w:rPr>
          <w:rFonts w:hint="eastAsia" w:ascii="宋体" w:hAnsi="宋体" w:eastAsia="宋体" w:cs="宋体"/>
          <w:spacing w:val="-12"/>
          <w:sz w:val="28"/>
          <w:szCs w:val="28"/>
          <w:lang w:val="en-US" w:eastAsia="zh-CN"/>
        </w:rPr>
        <w:t>基本农田和配套小型水利建设。</w:t>
      </w:r>
    </w:p>
    <w:p>
      <w:pPr>
        <w:spacing w:line="360" w:lineRule="auto"/>
        <w:ind w:firstLine="562" w:firstLineChars="200"/>
        <w:rPr>
          <w:rFonts w:hint="eastAsia" w:ascii="宋体" w:hAnsi="宋体" w:eastAsia="宋体" w:cs="宋体"/>
          <w:spacing w:val="-12"/>
          <w:sz w:val="28"/>
          <w:szCs w:val="28"/>
          <w:lang w:val="en-US" w:eastAsia="zh-CN"/>
        </w:rPr>
      </w:pPr>
      <w:r>
        <w:rPr>
          <w:rFonts w:hint="eastAsia" w:ascii="宋体" w:hAnsi="宋体" w:eastAsia="宋体" w:cs="宋体"/>
          <w:b/>
          <w:sz w:val="28"/>
          <w:szCs w:val="28"/>
        </w:rPr>
        <w:t>修复任务：</w:t>
      </w:r>
      <w:r>
        <w:rPr>
          <w:rFonts w:hint="eastAsia" w:ascii="宋体" w:hAnsi="宋体" w:eastAsia="宋体" w:cs="宋体"/>
          <w:spacing w:val="-12"/>
          <w:sz w:val="28"/>
          <w:szCs w:val="28"/>
          <w:lang w:val="en-US" w:eastAsia="zh-CN"/>
        </w:rPr>
        <w:t>加大封山育林与管护力度，保护好石漠化区域林草植被。</w:t>
      </w:r>
      <w:r>
        <w:rPr>
          <w:rFonts w:hint="eastAsia" w:ascii="宋体" w:hAnsi="宋体" w:eastAsia="宋体" w:cs="宋体"/>
          <w:sz w:val="28"/>
          <w:szCs w:val="28"/>
        </w:rPr>
        <w:t>对</w:t>
      </w:r>
      <w:r>
        <w:rPr>
          <w:rFonts w:hint="eastAsia" w:ascii="宋体" w:hAnsi="宋体" w:eastAsia="宋体" w:cs="宋体"/>
          <w:spacing w:val="-12"/>
          <w:sz w:val="28"/>
          <w:szCs w:val="28"/>
          <w:lang w:val="en-US" w:eastAsia="zh-CN"/>
        </w:rPr>
        <w:t>石漠化治理工程进行规划，通过采取造林种草、陡坡耕地退耕还林还草、加强基本农田和配套小型水利建设，优化农村能源结构，减少森林资源消耗，改善农村人畜饮水条件以及对不具备基本生存条件的地区实施生态移民等措施,有效推进石漠化防治工作。</w:t>
      </w:r>
    </w:p>
    <w:p>
      <w:pPr>
        <w:keepNext w:val="0"/>
        <w:keepLines w:val="0"/>
        <w:widowControl/>
        <w:suppressLineNumbers w:val="0"/>
        <w:spacing w:line="360" w:lineRule="auto"/>
        <w:ind w:firstLine="514" w:firstLineChars="200"/>
        <w:jc w:val="both"/>
        <w:outlineLvl w:val="3"/>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 xml:space="preserve">（四）水环境综合整治重点区 </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snapToGrid/>
        <w:spacing w:line="360" w:lineRule="auto"/>
        <w:ind w:left="0"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区域分布：师宗县110个村委会皆有分布。包括东风水库、大堵水库、溜子田水库三处规模较大的集中式饮用水水源地，南盘江、</w:t>
      </w:r>
      <w:r>
        <w:rPr>
          <w:rFonts w:hint="eastAsia" w:ascii="宋体" w:hAnsi="宋体" w:eastAsia="宋体" w:cs="宋体"/>
          <w:b w:val="0"/>
          <w:bCs w:val="0"/>
          <w:snapToGrid w:val="0"/>
          <w:color w:val="000000"/>
          <w:spacing w:val="-12"/>
          <w:kern w:val="0"/>
          <w:sz w:val="28"/>
          <w:szCs w:val="28"/>
          <w:lang w:val="en-US" w:eastAsia="zh-CN" w:bidi="ar-SA"/>
        </w:rPr>
        <w:t>甸溪河</w:t>
      </w:r>
      <w:r>
        <w:rPr>
          <w:rFonts w:hint="eastAsia" w:ascii="宋体" w:hAnsi="宋体" w:eastAsia="宋体" w:cs="宋体"/>
          <w:spacing w:val="-12"/>
          <w:sz w:val="28"/>
          <w:szCs w:val="28"/>
          <w:lang w:val="en-US" w:eastAsia="zh-CN"/>
        </w:rPr>
        <w:t>、子午河、九龙河等水域空间。详见</w:t>
      </w:r>
      <w:r>
        <w:rPr>
          <w:rFonts w:hint="eastAsia" w:ascii="宋体" w:hAnsi="宋体" w:eastAsia="宋体" w:cs="宋体"/>
          <w:spacing w:val="2"/>
          <w:sz w:val="28"/>
          <w:szCs w:val="28"/>
          <w:lang w:val="en-US" w:eastAsia="zh-CN"/>
        </w:rPr>
        <w:t>图6-5。</w:t>
      </w:r>
    </w:p>
    <w:p>
      <w:pPr>
        <w:spacing w:line="360" w:lineRule="auto"/>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drawing>
          <wp:inline distT="0" distB="0" distL="114300" distR="114300">
            <wp:extent cx="5587365" cy="3675380"/>
            <wp:effectExtent l="0" t="0" r="635" b="7620"/>
            <wp:docPr id="29" name="图片 29" descr="3-3-2 修复重点区域分布图（水环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3-2 修复重点区域分布图（水环境）"/>
                    <pic:cNvPicPr>
                      <a:picLocks noChangeAspect="1"/>
                    </pic:cNvPicPr>
                  </pic:nvPicPr>
                  <pic:blipFill>
                    <a:blip r:embed="rId20"/>
                    <a:srcRect l="6632" t="9611" r="6386" b="9531"/>
                    <a:stretch>
                      <a:fillRect/>
                    </a:stretch>
                  </pic:blipFill>
                  <pic:spPr>
                    <a:xfrm>
                      <a:off x="0" y="0"/>
                      <a:ext cx="5587365" cy="3675380"/>
                    </a:xfrm>
                    <a:prstGeom prst="rect">
                      <a:avLst/>
                    </a:prstGeom>
                  </pic:spPr>
                </pic:pic>
              </a:graphicData>
            </a:graphic>
          </wp:inline>
        </w:drawing>
      </w:r>
    </w:p>
    <w:p>
      <w:pPr>
        <w:bidi w:val="0"/>
        <w:spacing w:line="240" w:lineRule="auto"/>
        <w:ind w:firstLine="964" w:firstLineChars="400"/>
        <w:rPr>
          <w:rFonts w:hint="eastAsia" w:ascii="宋体" w:hAnsi="宋体" w:eastAsia="宋体" w:cs="宋体"/>
          <w:b/>
          <w:sz w:val="24"/>
          <w:szCs w:val="24"/>
          <w:lang w:val="en-US" w:eastAsia="zh-CN"/>
        </w:rPr>
      </w:pPr>
      <w:r>
        <w:rPr>
          <w:rFonts w:hint="eastAsia" w:ascii="宋体" w:hAnsi="宋体" w:eastAsia="宋体" w:cs="宋体"/>
          <w:b/>
          <w:sz w:val="24"/>
          <w:szCs w:val="24"/>
        </w:rPr>
        <w:t>图</w:t>
      </w:r>
      <w:r>
        <w:rPr>
          <w:rFonts w:hint="eastAsia" w:ascii="宋体" w:hAnsi="宋体" w:eastAsia="宋体" w:cs="宋体"/>
          <w:b/>
          <w:sz w:val="24"/>
          <w:szCs w:val="24"/>
          <w:lang w:val="en-US" w:eastAsia="zh-CN"/>
        </w:rPr>
        <w:t>6</w:t>
      </w:r>
      <w:r>
        <w:rPr>
          <w:rFonts w:hint="eastAsia" w:ascii="宋体" w:hAnsi="宋体" w:eastAsia="宋体" w:cs="宋体"/>
          <w:b/>
          <w:sz w:val="24"/>
          <w:szCs w:val="24"/>
        </w:rPr>
        <w:t>-</w:t>
      </w:r>
      <w:r>
        <w:rPr>
          <w:rFonts w:hint="eastAsia" w:ascii="宋体" w:hAnsi="宋体" w:eastAsia="宋体" w:cs="宋体"/>
          <w:b/>
          <w:sz w:val="24"/>
          <w:szCs w:val="24"/>
          <w:lang w:val="en-US" w:eastAsia="zh-CN"/>
        </w:rPr>
        <w:t>5</w:t>
      </w:r>
      <w:r>
        <w:rPr>
          <w:rFonts w:hint="eastAsia" w:ascii="宋体" w:hAnsi="宋体" w:eastAsia="宋体" w:cs="宋体"/>
          <w:b/>
          <w:sz w:val="24"/>
          <w:szCs w:val="24"/>
        </w:rPr>
        <w:t xml:space="preserve">  </w:t>
      </w:r>
      <w:r>
        <w:rPr>
          <w:rFonts w:hint="eastAsia" w:ascii="宋体" w:hAnsi="宋体" w:eastAsia="宋体" w:cs="宋体"/>
          <w:b/>
          <w:sz w:val="24"/>
          <w:szCs w:val="24"/>
          <w:lang w:val="en-US" w:eastAsia="zh-CN"/>
        </w:rPr>
        <w:t xml:space="preserve">      </w:t>
      </w:r>
      <w:r>
        <w:rPr>
          <w:rFonts w:hint="eastAsia" w:ascii="宋体" w:hAnsi="宋体" w:eastAsia="宋体" w:cs="宋体"/>
          <w:b/>
          <w:sz w:val="24"/>
          <w:szCs w:val="24"/>
        </w:rPr>
        <w:t>生态修复重点区域</w:t>
      </w:r>
      <w:r>
        <w:rPr>
          <w:rFonts w:hint="eastAsia" w:ascii="宋体" w:hAnsi="宋体" w:eastAsia="宋体" w:cs="宋体"/>
          <w:b/>
          <w:sz w:val="24"/>
          <w:szCs w:val="24"/>
          <w:lang w:val="en-US" w:eastAsia="zh-CN"/>
        </w:rPr>
        <w:t>分布图（水环境）</w:t>
      </w:r>
    </w:p>
    <w:p>
      <w:pPr>
        <w:spacing w:line="360" w:lineRule="auto"/>
        <w:ind w:firstLine="512" w:firstLineChars="200"/>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主要修复工程类型：集中式饮用水源地规范化建设工程、河道治理工程、农村黑臭水体整治工程、湿地公园水源涵养综合治理工程。</w:t>
      </w:r>
    </w:p>
    <w:p>
      <w:pPr>
        <w:spacing w:line="360" w:lineRule="auto"/>
        <w:ind w:firstLine="512" w:firstLineChars="200"/>
        <w:rPr>
          <w:rFonts w:hint="eastAsia" w:ascii="宋体" w:hAnsi="宋体" w:eastAsia="宋体" w:cs="宋体"/>
          <w:b/>
          <w:sz w:val="24"/>
          <w:szCs w:val="24"/>
          <w:lang w:val="en-US" w:eastAsia="zh-CN"/>
        </w:rPr>
      </w:pPr>
      <w:r>
        <w:rPr>
          <w:rFonts w:hint="eastAsia" w:ascii="宋体" w:hAnsi="宋体" w:eastAsia="宋体" w:cs="宋体"/>
          <w:spacing w:val="-12"/>
          <w:sz w:val="28"/>
          <w:szCs w:val="28"/>
          <w:lang w:val="en-US" w:eastAsia="zh-CN"/>
        </w:rPr>
        <w:t>修复任务：统筹包括水源地、河流等水域空间水资源、水生态、水环境治理，改善河流、水库生态环境和水域生态功能。开展水环境治理，加强骨干河流水库水生态保护，构建覆盖全县的生态水网。</w:t>
      </w:r>
    </w:p>
    <w:p>
      <w:pPr>
        <w:keepNext w:val="0"/>
        <w:keepLines w:val="0"/>
        <w:widowControl/>
        <w:suppressLineNumbers w:val="0"/>
        <w:spacing w:line="360" w:lineRule="auto"/>
        <w:ind w:firstLine="514" w:firstLineChars="200"/>
        <w:jc w:val="both"/>
        <w:outlineLvl w:val="3"/>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 xml:space="preserve">（五）森林（草原）生态修复重点区 </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区域分布：五龙壮族乡鲁克村民委员会、大厂村民委员会、南岩村民委员会、花桂村民委员会、狗街村民委员会、新庄科村民委员会、牛尾村民委员会、曲祖村民委员会、法岗村民委员会、得勒村民委员会、保太村民委员会、平寨村民委员会；龙庆彝族壮族乡泥槽村民委员会、朝阳村民委员会、扯寨村民委员会、下寨村民委员会、笼杂村民委员会、黑尔村民委员会、阿那黑村民委员会、落红甸村民委员会、龙庆村民委员会、杜吉村民委员会、庄科村民委员会、束米甸村民委员会、豆温村民委员会、山黑村民委员会；高良壮族苗族瑶族乡团坡村民委员会、戈勒村民委员会、纳非村民委员会、科白村民委员会、雨厦村民委员会、设里村民委员会、便料村民委员会、窝德村民委员会、坝林村民委员会、纳厦村民委员会、笼嘎村民委员会；大同街道办事处牛宿村民委员会、糯白村民委员会、阿梅者村民委员会、黑那村民委员会；丹凤街道办事处海宴社区居民委员会、法杂村民委员会、淑足村民委员会、文笔社区居民委员会、矣腊社区居民委员会、大堵社区居民委员会；漾月街道办事处峰岭村民委员会、捏龙村民委员会、法雨社区居民委员会、西华社区居民委员会；彩云镇务龙村民委员会。详见</w:t>
      </w:r>
      <w:r>
        <w:rPr>
          <w:rFonts w:hint="eastAsia" w:ascii="宋体" w:hAnsi="宋体" w:eastAsia="宋体" w:cs="宋体"/>
          <w:spacing w:val="2"/>
          <w:sz w:val="28"/>
          <w:szCs w:val="28"/>
          <w:lang w:val="en-US" w:eastAsia="zh-CN"/>
        </w:rPr>
        <w:t>图6-3。</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主要修复工程类型：公益林管护工程、城乡面山植被恢复工程、水源涵养林建设工程。</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修复任务：持保护优先、自然恢复为主、人工修复为辅的原则。以南盘江流域为重点，开展生态保育。以自然保护为主要功能导向，需强制性严格保护的区域，主要为生态保护红线划定区域，集中于云南师宗丁累大箐自然保护区和云南师宗南丹山风景名胜区等区域；提高南盘江两岸森林的水源涵养能力，提升森林生态系统水源涵养、水土保持和防风固沙功能。深化增草增林增绿治理，实施低产低效林改造和中幼龄林抚育工程、退化林修复，营造灌木林，提高森林质量，提高森林覆盖度，增加林木多样性。</w:t>
      </w:r>
    </w:p>
    <w:p>
      <w:pPr>
        <w:keepNext w:val="0"/>
        <w:keepLines w:val="0"/>
        <w:widowControl/>
        <w:suppressLineNumbers w:val="0"/>
        <w:spacing w:line="360" w:lineRule="auto"/>
        <w:ind w:firstLine="514" w:firstLineChars="200"/>
        <w:jc w:val="both"/>
        <w:outlineLvl w:val="3"/>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（六）生物多样性保护重点区</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区域分布：五龙壮族乡鲁克村民委员会、大厂村民委员会、南岩村民委员会、花桂村民委员会、狗街村民委员会、新庄科村民委员会、牛尾村民委员会、曲祖村民委员会、法岗村民委员会、得勒村民委员会、保太村民委员会、平寨村民委员会；龙庆彝族壮族乡泥槽村民委员会、朝阳村民委员会、扯寨村民委员会、下寨村民委员会、笼杂村民委员会、黑尔村民委员会、阿那黑村民委员会、落红甸村民委员会、龙庆村民委员会、杜吉村民委员会、庄科村民委员会、束米甸村民委员会、豆温村民委员会、山黑村民委员会；高良壮族苗族瑶族乡团坡村民委员会、戈勒村民委员会、纳非村民委员会、科白村民委员会、雨厦村民委员会、设里村民委员会、便料村民委员会、窝德村民委员会、坝林村民委员会、纳厦村民委员会、笼嘎村民委员会；大同街道办事处牛宿村民委员会、糯白村民委员会、阿梅者村民委员会、黑那村民委员会；丹凤街道办事处海宴社区居民委员会、法杂村民委员会、淑足村民委员会、文笔社区居民委员会、矣腊社区居民委员会、大堵社区居民委员会；漾月街道办事处峰岭村民委员会、捏龙村民委员会、法雨社区居民委员会、西华社区居民委员会；彩云镇务龙村民委员会。详见</w:t>
      </w:r>
      <w:r>
        <w:rPr>
          <w:rFonts w:hint="eastAsia" w:ascii="宋体" w:hAnsi="宋体" w:eastAsia="宋体" w:cs="宋体"/>
          <w:spacing w:val="2"/>
          <w:sz w:val="28"/>
          <w:szCs w:val="28"/>
          <w:lang w:val="en-US" w:eastAsia="zh-CN"/>
        </w:rPr>
        <w:t>图6-3。</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主要修复工程类型：生物多样性保护工程、生物多样性保护宣传与教育工程、珍稀濒危物种野外救护与繁育工程、猕猴保护工程。</w:t>
      </w:r>
    </w:p>
    <w:p>
      <w:pPr>
        <w:pStyle w:val="9"/>
        <w:spacing w:line="360" w:lineRule="auto"/>
        <w:ind w:right="0" w:firstLine="512" w:firstLineChars="200"/>
        <w:jc w:val="both"/>
        <w:rPr>
          <w:rFonts w:hint="eastAsia" w:ascii="宋体" w:hAnsi="宋体" w:eastAsia="宋体" w:cs="宋体"/>
          <w:snapToGrid w:val="0"/>
          <w:color w:val="000000"/>
          <w:spacing w:val="-12"/>
          <w:kern w:val="0"/>
          <w:sz w:val="28"/>
          <w:szCs w:val="28"/>
          <w:lang w:val="en-US" w:eastAsia="zh-CN" w:bidi="ar-SA"/>
        </w:rPr>
      </w:pPr>
      <w:r>
        <w:rPr>
          <w:rFonts w:hint="eastAsia" w:ascii="宋体" w:hAnsi="宋体" w:eastAsia="宋体" w:cs="宋体"/>
          <w:spacing w:val="-12"/>
          <w:sz w:val="28"/>
          <w:szCs w:val="28"/>
          <w:lang w:val="en-US" w:eastAsia="zh-CN"/>
        </w:rPr>
        <w:t>修复任务：</w:t>
      </w:r>
      <w:r>
        <w:rPr>
          <w:rFonts w:hint="eastAsia" w:ascii="宋体" w:hAnsi="宋体" w:eastAsia="宋体" w:cs="宋体"/>
          <w:snapToGrid w:val="0"/>
          <w:color w:val="000000"/>
          <w:spacing w:val="-12"/>
          <w:kern w:val="0"/>
          <w:sz w:val="28"/>
          <w:szCs w:val="28"/>
          <w:lang w:val="en-US" w:eastAsia="zh-CN" w:bidi="ar-SA"/>
        </w:rPr>
        <w:t>加强野生动植物保护，重点推进自然保护区建设，加</w:t>
      </w:r>
    </w:p>
    <w:p>
      <w:pPr>
        <w:pStyle w:val="9"/>
        <w:spacing w:line="360" w:lineRule="auto"/>
        <w:ind w:right="0"/>
        <w:jc w:val="both"/>
        <w:rPr>
          <w:rFonts w:hint="eastAsia" w:ascii="宋体" w:hAnsi="宋体" w:eastAsia="宋体" w:cs="宋体"/>
          <w:snapToGrid w:val="0"/>
          <w:color w:val="000000"/>
          <w:spacing w:val="-12"/>
          <w:kern w:val="0"/>
          <w:sz w:val="28"/>
          <w:szCs w:val="28"/>
          <w:lang w:val="en-US" w:eastAsia="zh-CN" w:bidi="ar-SA"/>
        </w:rPr>
      </w:pPr>
      <w:r>
        <w:rPr>
          <w:rFonts w:hint="eastAsia" w:ascii="宋体" w:hAnsi="宋体" w:eastAsia="宋体" w:cs="宋体"/>
          <w:snapToGrid w:val="0"/>
          <w:color w:val="000000"/>
          <w:spacing w:val="-12"/>
          <w:kern w:val="0"/>
          <w:sz w:val="28"/>
          <w:szCs w:val="28"/>
          <w:lang w:val="en-US" w:eastAsia="zh-CN" w:bidi="ar-SA"/>
        </w:rPr>
        <w:t>强生物多样性保护的宣传教育，初步建立生物多样性宣传与教育体系，民众生物多样性保护意识明显提高。加强重要物种及其遗传资源的迁地保护，重点开展一些高濒危物种的拯救工作。对菌子山自然保护区有着良好开发前景的乡土树种，包括濒临灭绝及珍稀名贵的物种进行普查，建立珍稀濒危物种植物园。加大珍稀野生动植物保护力度，建立动态监测档案，对保护地内的珍稀濒危动植物，古树名木等重点保护对象，制定特殊保护措施，实施有效保护。编制猕猴保护规划，开展猕猴栖息地植被恢复。加强区内天然林保护，为区内生物提供栖息地，加强外来物种入侵防治，保障区内生物多样性。结合湿地公园建设对重要河湖湿地、大型水库及其周边等区域开展湿地生态修复。</w:t>
      </w:r>
    </w:p>
    <w:p>
      <w:pPr>
        <w:keepNext w:val="0"/>
        <w:keepLines w:val="0"/>
        <w:widowControl/>
        <w:suppressLineNumbers w:val="0"/>
        <w:spacing w:line="360" w:lineRule="auto"/>
        <w:ind w:firstLine="514" w:firstLineChars="200"/>
        <w:jc w:val="both"/>
        <w:outlineLvl w:val="3"/>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 xml:space="preserve">（七）农业空间生态修复重点区 </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区域分布：丹凤街道海宴社区居民委员会、大堵社区居民委员会；大同街道米车社区居民委员会、新安社区居民委员会、大堵社区居民委员会、路撒村民委员会；龙庆乡束米甸村民委员会、笼杂村民委员会、落红甸村民委员会；彩云镇足法村民委员会、红土村民委员会、额则村民委员会、务龙村民委员会、长街村民委员会、槟榔社区居民委员会、石洞村民委员会、路撒村民委员会；葵山镇查拉村民委员会、黎家坝村民委员会、者黑村民委员会、地利找村民委员会、瓦葵社区居民委员会、峰龙潭村民委员会、温泉村民委员会、山乌果村民委员会、者黑村民委员会、马湾村民委员会。详见</w:t>
      </w:r>
      <w:r>
        <w:rPr>
          <w:rFonts w:hint="eastAsia" w:ascii="宋体" w:hAnsi="宋体" w:eastAsia="宋体" w:cs="宋体"/>
          <w:spacing w:val="2"/>
          <w:sz w:val="28"/>
          <w:szCs w:val="28"/>
          <w:lang w:val="en-US" w:eastAsia="zh-CN"/>
        </w:rPr>
        <w:t>图6-4。</w:t>
      </w:r>
    </w:p>
    <w:p>
      <w:pPr>
        <w:keepNext w:val="0"/>
        <w:keepLines w:val="0"/>
        <w:widowControl/>
        <w:suppressLineNumbers w:val="0"/>
        <w:spacing w:line="360" w:lineRule="auto"/>
        <w:ind w:firstLine="512" w:firstLineChars="200"/>
        <w:jc w:val="left"/>
        <w:rPr>
          <w:rFonts w:hint="eastAsia" w:ascii="宋体" w:hAnsi="宋体" w:eastAsia="宋体" w:cs="宋体"/>
          <w:snapToGrid w:val="0"/>
          <w:color w:val="000000"/>
          <w:spacing w:val="-12"/>
          <w:kern w:val="0"/>
          <w:sz w:val="28"/>
          <w:szCs w:val="28"/>
          <w:lang w:val="en-US" w:eastAsia="zh-CN" w:bidi="ar-SA"/>
        </w:rPr>
      </w:pPr>
      <w:r>
        <w:rPr>
          <w:rFonts w:hint="eastAsia" w:ascii="宋体" w:hAnsi="宋体" w:eastAsia="宋体" w:cs="宋体"/>
          <w:spacing w:val="-12"/>
          <w:sz w:val="28"/>
          <w:szCs w:val="28"/>
          <w:lang w:val="en-US" w:eastAsia="zh-CN"/>
        </w:rPr>
        <w:t>主要修复工程类型：国土综合整治工程、高标准农田建设、耕地质量提升改造、耕地生产</w:t>
      </w:r>
      <w:r>
        <w:rPr>
          <w:rFonts w:hint="eastAsia" w:ascii="宋体" w:hAnsi="宋体" w:eastAsia="宋体" w:cs="宋体"/>
          <w:snapToGrid w:val="0"/>
          <w:color w:val="000000"/>
          <w:spacing w:val="-12"/>
          <w:kern w:val="0"/>
          <w:sz w:val="28"/>
          <w:szCs w:val="28"/>
          <w:lang w:val="en-US" w:eastAsia="zh-CN" w:bidi="ar-SA"/>
        </w:rPr>
        <w:t>障碍修复、农村人居环境综合整治、农业面源污染防治。</w:t>
      </w:r>
    </w:p>
    <w:p>
      <w:pPr>
        <w:keepNext w:val="0"/>
        <w:keepLines w:val="0"/>
        <w:widowControl/>
        <w:suppressLineNumbers w:val="0"/>
        <w:spacing w:line="360" w:lineRule="auto"/>
        <w:ind w:firstLine="512" w:firstLineChars="200"/>
        <w:jc w:val="left"/>
        <w:rPr>
          <w:rFonts w:hint="eastAsia" w:ascii="宋体" w:hAnsi="宋体" w:eastAsia="宋体" w:cs="宋体"/>
          <w:spacing w:val="-12"/>
          <w:sz w:val="28"/>
          <w:szCs w:val="28"/>
          <w:lang w:val="en-US" w:eastAsia="zh-CN"/>
        </w:rPr>
      </w:pPr>
      <w:r>
        <w:rPr>
          <w:rFonts w:hint="eastAsia" w:ascii="宋体" w:hAnsi="宋体" w:eastAsia="宋体" w:cs="宋体"/>
          <w:snapToGrid w:val="0"/>
          <w:color w:val="000000"/>
          <w:spacing w:val="-12"/>
          <w:kern w:val="0"/>
          <w:sz w:val="28"/>
          <w:szCs w:val="28"/>
          <w:lang w:val="en-US" w:eastAsia="zh-CN" w:bidi="ar-SA"/>
        </w:rPr>
        <w:t>修复任务：推</w:t>
      </w:r>
      <w:r>
        <w:rPr>
          <w:rFonts w:hint="eastAsia" w:ascii="宋体" w:hAnsi="宋体" w:eastAsia="宋体" w:cs="宋体"/>
          <w:spacing w:val="-12"/>
          <w:sz w:val="28"/>
          <w:szCs w:val="28"/>
          <w:lang w:val="en-US" w:eastAsia="zh-CN"/>
        </w:rPr>
        <w:t>进</w:t>
      </w:r>
      <w:r>
        <w:rPr>
          <w:rFonts w:hint="default" w:ascii="宋体" w:hAnsi="宋体" w:eastAsia="宋体" w:cs="宋体"/>
          <w:spacing w:val="-12"/>
          <w:sz w:val="28"/>
          <w:szCs w:val="28"/>
          <w:lang w:val="en-US" w:eastAsia="zh-CN"/>
        </w:rPr>
        <w:t>全域土地综合整治</w:t>
      </w:r>
      <w:r>
        <w:rPr>
          <w:rFonts w:hint="eastAsia" w:ascii="宋体" w:hAnsi="宋体" w:eastAsia="宋体" w:cs="宋体"/>
          <w:spacing w:val="-12"/>
          <w:sz w:val="28"/>
          <w:szCs w:val="28"/>
          <w:lang w:val="en-US" w:eastAsia="zh-CN"/>
        </w:rPr>
        <w:t>，</w:t>
      </w:r>
      <w:r>
        <w:rPr>
          <w:rFonts w:hint="default" w:ascii="宋体" w:hAnsi="宋体" w:eastAsia="宋体" w:cs="宋体"/>
          <w:spacing w:val="-12"/>
          <w:sz w:val="28"/>
          <w:szCs w:val="28"/>
          <w:lang w:val="en-US" w:eastAsia="zh-CN"/>
        </w:rPr>
        <w:t>通过整合农用地、建设用地和生态用地，提升土地利用效率，生态环境</w:t>
      </w:r>
      <w:r>
        <w:rPr>
          <w:rFonts w:hint="eastAsia" w:ascii="宋体" w:hAnsi="宋体" w:eastAsia="宋体" w:cs="宋体"/>
          <w:spacing w:val="-12"/>
          <w:sz w:val="28"/>
          <w:szCs w:val="28"/>
          <w:lang w:val="en-US" w:eastAsia="zh-CN"/>
        </w:rPr>
        <w:t>持续</w:t>
      </w:r>
      <w:r>
        <w:rPr>
          <w:rFonts w:hint="default" w:ascii="宋体" w:hAnsi="宋体" w:eastAsia="宋体" w:cs="宋体"/>
          <w:spacing w:val="-12"/>
          <w:sz w:val="28"/>
          <w:szCs w:val="28"/>
          <w:lang w:val="en-US" w:eastAsia="zh-CN"/>
        </w:rPr>
        <w:t>改善，促进乡村振兴</w:t>
      </w:r>
      <w:r>
        <w:rPr>
          <w:rFonts w:hint="eastAsia" w:ascii="宋体" w:hAnsi="宋体" w:eastAsia="宋体" w:cs="宋体"/>
          <w:spacing w:val="-12"/>
          <w:sz w:val="28"/>
          <w:szCs w:val="28"/>
          <w:lang w:val="en-US" w:eastAsia="zh-CN"/>
        </w:rPr>
        <w:t>。加快高标准农田建设，加强对低效及不合理利用农用地的利用，提高耕地质量和土地集中连片度。以小流域为单元进行综合治理，建设配套小型水利水保工程，解决基本农田灌溉问题。对原有的耕地质量进行改造提升，降低农业生产成本，完善农业基础设施，科学指导化肥规范使用，减少面源污染；开展耕地生产障碍项目修复利用，对农村生活污水、农村黑臭水体进行专项治理，改善人居环境。</w:t>
      </w:r>
    </w:p>
    <w:p>
      <w:pPr>
        <w:keepNext w:val="0"/>
        <w:keepLines w:val="0"/>
        <w:widowControl/>
        <w:suppressLineNumbers w:val="0"/>
        <w:spacing w:line="360" w:lineRule="auto"/>
        <w:ind w:firstLine="514" w:firstLineChars="200"/>
        <w:jc w:val="both"/>
        <w:outlineLvl w:val="3"/>
        <w:rPr>
          <w:rFonts w:hint="eastAsia" w:ascii="宋体" w:hAnsi="宋体" w:eastAsia="宋体" w:cs="宋体"/>
          <w:b/>
          <w:bCs/>
          <w:spacing w:val="-12"/>
          <w:sz w:val="28"/>
          <w:szCs w:val="28"/>
          <w:lang w:val="en-US" w:eastAsia="zh-CN"/>
        </w:rPr>
      </w:pPr>
      <w:r>
        <w:rPr>
          <w:rFonts w:hint="eastAsia" w:ascii="宋体" w:hAnsi="宋体" w:eastAsia="宋体" w:cs="宋体"/>
          <w:b/>
          <w:bCs/>
          <w:spacing w:val="-12"/>
          <w:sz w:val="28"/>
          <w:szCs w:val="28"/>
          <w:lang w:val="en-US" w:eastAsia="zh-CN"/>
        </w:rPr>
        <w:t xml:space="preserve">（八）城镇空间生态修复重点区 </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区域分布：丹凤街道办事处古城社区居民委员会、文笔社区居民委员会、丹凤社区居民委员会；漾月街道办事处西华社区居民委员会、法雨社区居民委员会、路新社区居民委员会、漾月社区居民委员会；雄壁社区居民委员会；大同街道办事处大同社区居民委员会、米车社区居民委员会；葵山镇温泉村民委员会、瓦葵社区居民委员会；竹基镇竹基社区居民委员会；彩云镇师宗县彩云中学、红土村民委员会、师宗县农场；高良壮族苗族瑶族乡设里村民委员会；五龙壮族乡狗街村民委员会；龙庆彝族壮族乡龙庆村民委员会。详见</w:t>
      </w:r>
      <w:r>
        <w:rPr>
          <w:rFonts w:hint="eastAsia" w:ascii="宋体" w:hAnsi="宋体" w:eastAsia="宋体" w:cs="宋体"/>
          <w:spacing w:val="2"/>
          <w:sz w:val="28"/>
          <w:szCs w:val="28"/>
          <w:lang w:val="en-US" w:eastAsia="zh-CN"/>
        </w:rPr>
        <w:t>图6-4。</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主要修复工程类型：人居环境整治提升工程、城市道路增植补绿工程、餐厨垃圾资源化处理工程、国家级园林城市创建工程。</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修复任务：重点围绕师宗县中心城区生态功能的提升，开展城市绿地系统、环保基础设施配套建设，完善蓝绿空间结构。对城市道路进行提升改造，增植补绿。改造公园绿道，路灯安装及补植扩绿，通过绿化建设不断提高人均绿地面积和城市绿地率。对餐厨垃圾进行资源化处理利用，加强城市雨污水分流管理，严格控制公共建筑，私人建筑雨污水分流，完善化粪池设施等，控制好雨污分流的增量，逐步减少存量，使城镇生态环境问题得到有效治理，城市人居环境明显改善。</w:t>
      </w:r>
    </w:p>
    <w:p>
      <w:pPr>
        <w:pageBreakBefore w:val="0"/>
        <w:widowControl/>
        <w:kinsoku w:val="0"/>
        <w:wordWrap/>
        <w:overflowPunct/>
        <w:topLinePunct w:val="0"/>
        <w:autoSpaceDE w:val="0"/>
        <w:autoSpaceDN w:val="0"/>
        <w:bidi w:val="0"/>
        <w:adjustRightInd/>
        <w:snapToGrid/>
        <w:spacing w:line="360" w:lineRule="auto"/>
        <w:ind w:left="0"/>
        <w:jc w:val="center"/>
        <w:textAlignment w:val="baseline"/>
        <w:outlineLvl w:val="1"/>
        <w:rPr>
          <w:rFonts w:hint="eastAsia" w:ascii="宋体" w:hAnsi="宋体" w:eastAsia="宋体" w:cs="宋体"/>
          <w:sz w:val="30"/>
          <w:szCs w:val="30"/>
        </w:rPr>
      </w:pPr>
      <w:bookmarkStart w:id="40" w:name="_Toc6787"/>
      <w:r>
        <w:rPr>
          <w:rFonts w:hint="eastAsia" w:ascii="宋体" w:hAnsi="宋体" w:eastAsia="宋体" w:cs="宋体"/>
          <w:b/>
          <w:bCs/>
          <w:spacing w:val="7"/>
          <w:position w:val="1"/>
          <w:sz w:val="30"/>
          <w:szCs w:val="30"/>
        </w:rPr>
        <w:t>第三节 项目部署</w:t>
      </w:r>
      <w:bookmarkEnd w:id="40"/>
    </w:p>
    <w:p>
      <w:pPr>
        <w:pageBreakBefore w:val="0"/>
        <w:widowControl/>
        <w:kinsoku w:val="0"/>
        <w:wordWrap/>
        <w:overflowPunct/>
        <w:topLinePunct w:val="0"/>
        <w:autoSpaceDE w:val="0"/>
        <w:autoSpaceDN w:val="0"/>
        <w:bidi w:val="0"/>
        <w:adjustRightInd/>
        <w:snapToGrid/>
        <w:spacing w:line="360" w:lineRule="auto"/>
        <w:ind w:left="0" w:firstLine="560"/>
        <w:jc w:val="both"/>
        <w:textAlignment w:val="baseline"/>
        <w:rPr>
          <w:rFonts w:hint="eastAsia" w:ascii="宋体" w:hAnsi="宋体" w:eastAsia="宋体" w:cs="宋体"/>
          <w:spacing w:val="-12"/>
          <w:sz w:val="28"/>
          <w:szCs w:val="28"/>
          <w:lang w:val="en-US" w:eastAsia="zh-CN"/>
        </w:rPr>
      </w:pPr>
      <w:bookmarkStart w:id="41" w:name="_Toc14255"/>
      <w:bookmarkStart w:id="42" w:name="_Toc5027"/>
      <w:r>
        <w:rPr>
          <w:rFonts w:hint="eastAsia" w:ascii="宋体" w:hAnsi="宋体" w:eastAsia="宋体" w:cs="宋体"/>
          <w:spacing w:val="-12"/>
          <w:sz w:val="28"/>
          <w:szCs w:val="28"/>
          <w:lang w:val="en-US" w:eastAsia="zh-CN"/>
        </w:rPr>
        <w:t>落实曲靖市在师宗县辖区内布局的生态保护修复重点工程和项目，坚持山水林田湖草沙一体化保护和系统治理，结合地方实际需求，在生态修复分区基础上，以重点区域为指引，根据生态问题的严重性、生态修复的紧迫性和生态系统的退化程度、恢复能力水平等，统筹县级相关部门生态修复项目，按照生态空间、农业空间、城镇空间、支撑体系四个方面，分别部署矿山生态修复工程、水土流失综合治理工程、石漠化综合治理工程、水环境综合治理工程、森林质量提升工程、生物多样性保护工程、土地综合整治工程、人居环境整治提升工程及支撑体系建设9个重点工程、55个项目，全域全要素推进国土空间生态修复。</w:t>
      </w:r>
    </w:p>
    <w:p>
      <w:pPr>
        <w:pageBreakBefore w:val="0"/>
        <w:widowControl/>
        <w:kinsoku w:val="0"/>
        <w:wordWrap/>
        <w:overflowPunct/>
        <w:topLinePunct w:val="0"/>
        <w:autoSpaceDE w:val="0"/>
        <w:autoSpaceDN w:val="0"/>
        <w:bidi w:val="0"/>
        <w:adjustRightInd/>
        <w:snapToGrid/>
        <w:spacing w:line="360" w:lineRule="auto"/>
        <w:ind w:left="0" w:firstLine="590" w:firstLineChars="200"/>
        <w:jc w:val="both"/>
        <w:textAlignment w:val="baseline"/>
        <w:outlineLvl w:val="2"/>
        <w:rPr>
          <w:rFonts w:hint="eastAsia" w:ascii="宋体" w:hAnsi="宋体" w:eastAsia="宋体" w:cs="宋体"/>
          <w:b/>
          <w:bCs/>
          <w:sz w:val="28"/>
          <w:szCs w:val="28"/>
        </w:rPr>
      </w:pPr>
      <w:r>
        <w:rPr>
          <w:rFonts w:hint="eastAsia" w:ascii="宋体" w:hAnsi="宋体" w:eastAsia="宋体" w:cs="宋体"/>
          <w:b/>
          <w:bCs/>
          <w:spacing w:val="7"/>
          <w:position w:val="1"/>
          <w:sz w:val="28"/>
          <w:szCs w:val="28"/>
          <w:lang w:val="en-US" w:eastAsia="zh-CN"/>
        </w:rPr>
        <w:t>一、</w:t>
      </w:r>
      <w:r>
        <w:rPr>
          <w:rFonts w:hint="eastAsia" w:ascii="宋体" w:hAnsi="宋体" w:eastAsia="宋体" w:cs="宋体"/>
          <w:b/>
          <w:bCs/>
          <w:spacing w:val="7"/>
          <w:position w:val="1"/>
          <w:sz w:val="28"/>
          <w:szCs w:val="28"/>
        </w:rPr>
        <w:t xml:space="preserve"> 生态空间生态修复</w:t>
      </w:r>
      <w:bookmarkEnd w:id="41"/>
      <w:bookmarkEnd w:id="42"/>
    </w:p>
    <w:p>
      <w:pPr>
        <w:pStyle w:val="5"/>
        <w:spacing w:line="360" w:lineRule="auto"/>
        <w:ind w:firstLine="562" w:firstLineChars="200"/>
        <w:jc w:val="both"/>
        <w:outlineLvl w:val="3"/>
        <w:rPr>
          <w:rFonts w:hint="eastAsia" w:ascii="宋体" w:hAnsi="宋体" w:eastAsia="宋体" w:cs="宋体"/>
          <w:spacing w:val="-12"/>
          <w:sz w:val="28"/>
          <w:szCs w:val="28"/>
          <w:lang w:val="en-US" w:eastAsia="zh-CN"/>
        </w:rPr>
      </w:pPr>
      <w:r>
        <w:rPr>
          <w:rFonts w:hint="eastAsia" w:ascii="宋体" w:hAnsi="宋体" w:eastAsia="宋体" w:cs="宋体"/>
          <w:sz w:val="28"/>
          <w:szCs w:val="28"/>
          <w:lang w:val="en-US" w:eastAsia="zh-CN"/>
        </w:rPr>
        <w:t>（一）矿山生态修复</w:t>
      </w:r>
      <w:r>
        <w:rPr>
          <w:rFonts w:hint="eastAsia" w:ascii="宋体" w:hAnsi="宋体" w:eastAsia="宋体" w:cs="宋体"/>
          <w:sz w:val="28"/>
          <w:szCs w:val="28"/>
        </w:rPr>
        <w:t>重点工程</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推进历史遗留废弃矿山生态修复，因地制宜采取地貌重塑、土壤重构、恢复破损植被，生物多样性重组等措施，恢复矿山生态。开展采煤沉陷区综合治理，恢复和改善沉陷区人居环境。全面推进竹菁河上游水土保持治理工程，控制水土流失和石漠化。详见专栏6-1。</w:t>
      </w:r>
    </w:p>
    <w:tbl>
      <w:tblPr>
        <w:tblStyle w:val="25"/>
        <w:tblW w:w="8526" w:type="dxa"/>
        <w:tblInd w:w="3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526" w:type="dxa"/>
            <w:vAlign w:val="top"/>
          </w:tcPr>
          <w:p>
            <w:pPr>
              <w:spacing w:before="99" w:line="360" w:lineRule="auto"/>
              <w:ind w:firstLine="506" w:firstLineChars="200"/>
              <w:jc w:val="both"/>
              <w:rPr>
                <w:rFonts w:hint="eastAsia" w:ascii="宋体" w:hAnsi="宋体" w:eastAsia="宋体" w:cs="宋体"/>
                <w:sz w:val="24"/>
                <w:szCs w:val="24"/>
              </w:rPr>
            </w:pPr>
            <w:r>
              <w:rPr>
                <w:rFonts w:hint="eastAsia" w:ascii="宋体" w:hAnsi="宋体" w:eastAsia="宋体" w:cs="宋体"/>
                <w:b/>
                <w:bCs/>
                <w:spacing w:val="6"/>
                <w:sz w:val="24"/>
                <w:szCs w:val="24"/>
              </w:rPr>
              <w:t>专栏</w:t>
            </w:r>
            <w:r>
              <w:rPr>
                <w:rFonts w:hint="eastAsia" w:ascii="宋体" w:hAnsi="宋体" w:eastAsia="宋体" w:cs="宋体"/>
                <w:b/>
                <w:bCs/>
                <w:spacing w:val="6"/>
                <w:sz w:val="24"/>
                <w:szCs w:val="24"/>
                <w:lang w:val="en-US" w:eastAsia="zh-CN"/>
              </w:rPr>
              <w:t>6-1</w:t>
            </w:r>
            <w:r>
              <w:rPr>
                <w:rFonts w:hint="eastAsia" w:ascii="宋体" w:hAnsi="宋体" w:eastAsia="宋体" w:cs="宋体"/>
                <w:b/>
                <w:bCs/>
                <w:spacing w:val="18"/>
                <w:sz w:val="24"/>
                <w:szCs w:val="24"/>
              </w:rPr>
              <w:t xml:space="preserve"> </w:t>
            </w:r>
            <w:r>
              <w:rPr>
                <w:rFonts w:hint="eastAsia" w:ascii="宋体" w:hAnsi="宋体" w:eastAsia="宋体" w:cs="宋体"/>
                <w:b/>
                <w:bCs/>
                <w:spacing w:val="6"/>
                <w:sz w:val="24"/>
                <w:szCs w:val="24"/>
              </w:rPr>
              <w:t xml:space="preserve"> </w:t>
            </w:r>
            <w:r>
              <w:rPr>
                <w:rFonts w:hint="eastAsia" w:ascii="宋体" w:hAnsi="宋体" w:eastAsia="宋体" w:cs="宋体"/>
                <w:b/>
                <w:bCs/>
                <w:spacing w:val="6"/>
                <w:sz w:val="24"/>
                <w:szCs w:val="24"/>
                <w:lang w:val="en-US" w:eastAsia="zh-CN"/>
              </w:rPr>
              <w:t xml:space="preserve">           矿山生态修复重点工程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526" w:type="dxa"/>
            <w:vAlign w:val="top"/>
          </w:tcPr>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06" w:firstLineChars="200"/>
              <w:jc w:val="both"/>
              <w:textAlignment w:val="baseline"/>
              <w:rPr>
                <w:rFonts w:hint="eastAsia" w:ascii="宋体" w:hAnsi="宋体" w:eastAsia="宋体" w:cs="宋体"/>
                <w:b/>
                <w:bCs/>
                <w:spacing w:val="11"/>
                <w:sz w:val="24"/>
                <w:szCs w:val="24"/>
              </w:rPr>
            </w:pPr>
            <w:r>
              <w:rPr>
                <w:rFonts w:hint="eastAsia" w:ascii="宋体" w:hAnsi="宋体" w:eastAsia="宋体" w:cs="宋体"/>
                <w:b/>
                <w:bCs/>
                <w:spacing w:val="6"/>
                <w:sz w:val="24"/>
                <w:szCs w:val="24"/>
                <w:lang w:val="en-US" w:eastAsia="zh-CN"/>
              </w:rPr>
              <w:t>1、</w:t>
            </w:r>
            <w:r>
              <w:rPr>
                <w:rFonts w:hint="eastAsia" w:ascii="宋体" w:hAnsi="宋体" w:eastAsia="宋体" w:cs="宋体"/>
                <w:b/>
                <w:bCs/>
                <w:spacing w:val="18"/>
                <w:sz w:val="24"/>
                <w:szCs w:val="24"/>
              </w:rPr>
              <w:t xml:space="preserve"> </w:t>
            </w:r>
            <w:r>
              <w:rPr>
                <w:rFonts w:hint="eastAsia" w:ascii="宋体" w:hAnsi="宋体" w:eastAsia="宋体" w:cs="宋体"/>
                <w:b/>
                <w:bCs/>
                <w:spacing w:val="18"/>
                <w:sz w:val="24"/>
                <w:szCs w:val="24"/>
                <w:lang w:val="en-US" w:eastAsia="zh-CN"/>
              </w:rPr>
              <w:t>师宗县</w:t>
            </w:r>
            <w:r>
              <w:rPr>
                <w:rFonts w:hint="eastAsia" w:ascii="宋体" w:hAnsi="宋体" w:eastAsia="宋体" w:cs="宋体"/>
                <w:b/>
                <w:bCs/>
                <w:spacing w:val="6"/>
                <w:sz w:val="24"/>
                <w:szCs w:val="24"/>
              </w:rPr>
              <w:t>历史遗留废弃矿山生态修复工程</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34"/>
              <w:jc w:val="both"/>
              <w:textAlignment w:val="baseline"/>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实施区域：</w:t>
            </w:r>
            <w:r>
              <w:rPr>
                <w:rFonts w:hint="eastAsia" w:ascii="宋体" w:hAnsi="宋体" w:eastAsia="宋体" w:cs="宋体"/>
                <w:spacing w:val="4"/>
                <w:sz w:val="24"/>
                <w:szCs w:val="24"/>
                <w:lang w:val="en-US" w:eastAsia="zh-CN"/>
              </w:rPr>
              <w:t>主要分布于雄壁镇。</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02" w:firstLineChars="200"/>
              <w:jc w:val="both"/>
              <w:textAlignment w:val="baseline"/>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安排工程数量：</w:t>
            </w:r>
            <w:r>
              <w:rPr>
                <w:rFonts w:hint="eastAsia" w:ascii="宋体" w:hAnsi="宋体" w:eastAsia="宋体" w:cs="宋体"/>
                <w:spacing w:val="5"/>
                <w:sz w:val="24"/>
                <w:szCs w:val="24"/>
                <w:lang w:val="en-US" w:eastAsia="zh-CN"/>
              </w:rPr>
              <w:t>1个，及师宗县历史遗留矿山生态修复。</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02" w:firstLineChars="200"/>
              <w:jc w:val="both"/>
              <w:textAlignment w:val="baseline"/>
              <w:rPr>
                <w:rFonts w:hint="default"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预期目标：</w:t>
            </w:r>
            <w:r>
              <w:rPr>
                <w:rFonts w:hint="eastAsia" w:ascii="宋体" w:hAnsi="宋体" w:eastAsia="宋体" w:cs="宋体"/>
                <w:spacing w:val="5"/>
                <w:sz w:val="24"/>
                <w:szCs w:val="24"/>
                <w:lang w:val="en-US" w:eastAsia="zh-CN"/>
              </w:rPr>
              <w:t>完成历史遗留矿山生态修复面积398.10公顷。</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02" w:firstLineChars="200"/>
              <w:jc w:val="both"/>
              <w:textAlignment w:val="baseline"/>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修复措施：</w:t>
            </w:r>
            <w:r>
              <w:rPr>
                <w:rFonts w:hint="eastAsia" w:ascii="宋体" w:hAnsi="宋体" w:eastAsia="宋体" w:cs="宋体"/>
                <w:spacing w:val="5"/>
                <w:sz w:val="24"/>
                <w:szCs w:val="24"/>
                <w:lang w:val="en-US" w:eastAsia="zh-CN"/>
              </w:rPr>
              <w:t>结合师宗县历史遗留矿山现状，因矿制宜修复历史遗留矿山。按照“宜林则林、宜耕则耕、宜建则建、宜景则景”原则，通过地质环境治理、地貌重塑、土壤重构、植被重建等综合治理措施，恢复矿山生态，逐步控制水土流失和石漠化，改善矿区生态环境。</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建设时序：</w:t>
            </w:r>
            <w:r>
              <w:rPr>
                <w:rFonts w:hint="eastAsia" w:ascii="宋体" w:hAnsi="宋体" w:eastAsia="宋体" w:cs="宋体"/>
                <w:spacing w:val="5"/>
                <w:sz w:val="24"/>
                <w:szCs w:val="24"/>
                <w:lang w:val="en-US" w:eastAsia="zh-CN"/>
              </w:rPr>
              <w:t>2021-2026年。</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02" w:firstLineChars="200"/>
              <w:jc w:val="both"/>
              <w:textAlignment w:val="baseline"/>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资金总投资：</w:t>
            </w:r>
            <w:r>
              <w:rPr>
                <w:rFonts w:hint="eastAsia" w:ascii="宋体" w:hAnsi="宋体" w:eastAsia="宋体" w:cs="宋体"/>
                <w:spacing w:val="5"/>
                <w:sz w:val="24"/>
                <w:szCs w:val="24"/>
                <w:lang w:val="en-US" w:eastAsia="zh-CN"/>
              </w:rPr>
              <w:t>3079.77万元。</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06" w:firstLineChars="200"/>
              <w:jc w:val="both"/>
              <w:textAlignment w:val="baseline"/>
              <w:rPr>
                <w:rFonts w:hint="eastAsia" w:ascii="宋体" w:hAnsi="宋体" w:eastAsia="宋体" w:cs="宋体"/>
                <w:b w:val="0"/>
                <w:bCs w:val="0"/>
                <w:spacing w:val="4"/>
                <w:sz w:val="24"/>
                <w:szCs w:val="24"/>
              </w:rPr>
            </w:pPr>
            <w:r>
              <w:rPr>
                <w:rFonts w:hint="eastAsia" w:ascii="宋体" w:hAnsi="宋体" w:eastAsia="宋体" w:cs="宋体"/>
                <w:b/>
                <w:bCs/>
                <w:spacing w:val="6"/>
                <w:sz w:val="24"/>
                <w:szCs w:val="24"/>
                <w:lang w:val="en-US" w:eastAsia="zh-CN"/>
              </w:rPr>
              <w:t>2、</w:t>
            </w:r>
            <w:r>
              <w:rPr>
                <w:rFonts w:hint="eastAsia" w:ascii="宋体" w:hAnsi="宋体" w:eastAsia="宋体" w:cs="宋体"/>
                <w:b/>
                <w:bCs/>
                <w:spacing w:val="6"/>
                <w:sz w:val="24"/>
                <w:szCs w:val="24"/>
              </w:rPr>
              <w:t>师宗县</w:t>
            </w:r>
            <w:r>
              <w:rPr>
                <w:rFonts w:hint="eastAsia" w:ascii="宋体" w:hAnsi="宋体" w:eastAsia="宋体" w:cs="宋体"/>
                <w:b/>
                <w:bCs/>
                <w:spacing w:val="6"/>
                <w:sz w:val="24"/>
                <w:szCs w:val="24"/>
                <w:lang w:eastAsia="zh-CN"/>
              </w:rPr>
              <w:t>“十四五”</w:t>
            </w:r>
            <w:r>
              <w:rPr>
                <w:rFonts w:hint="eastAsia" w:ascii="宋体" w:hAnsi="宋体" w:eastAsia="宋体" w:cs="宋体"/>
                <w:b/>
                <w:bCs/>
                <w:spacing w:val="6"/>
                <w:sz w:val="24"/>
                <w:szCs w:val="24"/>
              </w:rPr>
              <w:t>重点采煤沉陷区综合治理工程</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34"/>
              <w:jc w:val="both"/>
              <w:textAlignment w:val="baseline"/>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实施区域：</w:t>
            </w:r>
            <w:r>
              <w:rPr>
                <w:rFonts w:hint="eastAsia" w:ascii="宋体" w:hAnsi="宋体" w:eastAsia="宋体" w:cs="宋体"/>
                <w:spacing w:val="4"/>
                <w:sz w:val="24"/>
                <w:szCs w:val="24"/>
                <w:lang w:val="en-US" w:eastAsia="zh-CN"/>
              </w:rPr>
              <w:t>主要分布于雄壁镇。</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02" w:firstLineChars="200"/>
              <w:jc w:val="both"/>
              <w:textAlignment w:val="baseline"/>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安排工程数量：</w:t>
            </w:r>
            <w:r>
              <w:rPr>
                <w:rFonts w:hint="eastAsia" w:ascii="宋体" w:hAnsi="宋体" w:eastAsia="宋体" w:cs="宋体"/>
                <w:spacing w:val="5"/>
                <w:sz w:val="24"/>
                <w:szCs w:val="24"/>
                <w:lang w:val="en-US" w:eastAsia="zh-CN"/>
              </w:rPr>
              <w:t>1个，即师宗县“十四五”重点采煤沉陷区综合治理工程。</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02" w:firstLineChars="200"/>
              <w:jc w:val="both"/>
              <w:textAlignment w:val="baseline"/>
              <w:rPr>
                <w:rFonts w:hint="default" w:ascii="宋体" w:hAnsi="宋体" w:eastAsia="宋体" w:cs="宋体"/>
                <w:b w:val="0"/>
                <w:bCs w:val="0"/>
                <w:snapToGrid w:val="0"/>
                <w:color w:val="000000"/>
                <w:spacing w:val="4"/>
                <w:kern w:val="0"/>
                <w:sz w:val="24"/>
                <w:szCs w:val="24"/>
                <w:lang w:val="en-US" w:eastAsia="zh-CN" w:bidi="ar-SA"/>
              </w:rPr>
            </w:pPr>
            <w:r>
              <w:rPr>
                <w:rFonts w:hint="eastAsia" w:ascii="宋体" w:hAnsi="宋体" w:eastAsia="宋体" w:cs="宋体"/>
                <w:b/>
                <w:bCs/>
                <w:spacing w:val="5"/>
                <w:sz w:val="24"/>
                <w:szCs w:val="24"/>
                <w:lang w:val="en-US" w:eastAsia="zh-CN"/>
              </w:rPr>
              <w:t>预期目标：</w:t>
            </w:r>
            <w:r>
              <w:rPr>
                <w:rFonts w:hint="eastAsia" w:ascii="宋体" w:hAnsi="宋体" w:eastAsia="宋体" w:cs="宋体"/>
                <w:b w:val="0"/>
                <w:bCs w:val="0"/>
                <w:snapToGrid w:val="0"/>
                <w:color w:val="000000"/>
                <w:spacing w:val="4"/>
                <w:kern w:val="0"/>
                <w:sz w:val="24"/>
                <w:szCs w:val="24"/>
                <w:lang w:val="en-US" w:eastAsia="zh-CN" w:bidi="ar-SA"/>
              </w:rPr>
              <w:t>完成采煤沉陷区治理面积6747.76亩（449.85公顷）。</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snapToGrid/>
              <w:spacing w:line="360" w:lineRule="auto"/>
              <w:ind w:left="0" w:right="0" w:firstLine="502" w:firstLineChars="200"/>
              <w:jc w:val="both"/>
              <w:textAlignment w:val="baseline"/>
              <w:rPr>
                <w:rFonts w:hint="eastAsia" w:ascii="宋体" w:hAnsi="宋体" w:eastAsia="宋体" w:cs="宋体"/>
                <w:b w:val="0"/>
                <w:bCs w:val="0"/>
                <w:snapToGrid w:val="0"/>
                <w:color w:val="000000"/>
                <w:spacing w:val="4"/>
                <w:kern w:val="0"/>
                <w:sz w:val="24"/>
                <w:szCs w:val="24"/>
                <w:lang w:val="en-US" w:eastAsia="zh-CN" w:bidi="ar-SA"/>
              </w:rPr>
            </w:pPr>
            <w:r>
              <w:rPr>
                <w:rFonts w:hint="eastAsia" w:ascii="宋体" w:hAnsi="宋体" w:eastAsia="宋体" w:cs="宋体"/>
                <w:b/>
                <w:bCs/>
                <w:spacing w:val="5"/>
                <w:sz w:val="24"/>
                <w:szCs w:val="24"/>
                <w:lang w:val="en-US" w:eastAsia="zh-CN"/>
              </w:rPr>
              <w:t>修复措施：</w:t>
            </w:r>
            <w:r>
              <w:rPr>
                <w:sz w:val="24"/>
              </w:rPr>
              <w:t>推</w:t>
            </w:r>
            <w:r>
              <w:rPr>
                <w:rFonts w:ascii="宋体" w:hAnsi="宋体" w:cs="宋体"/>
                <w:kern w:val="0"/>
                <w:sz w:val="24"/>
              </w:rPr>
              <w:t>进</w:t>
            </w:r>
            <w:r>
              <w:rPr>
                <w:rFonts w:hint="eastAsia" w:ascii="宋体" w:hAnsi="宋体" w:cs="宋体"/>
                <w:kern w:val="0"/>
                <w:sz w:val="24"/>
                <w:lang w:val="en-US" w:eastAsia="zh-CN"/>
              </w:rPr>
              <w:t>师宗</w:t>
            </w:r>
            <w:r>
              <w:rPr>
                <w:rFonts w:ascii="宋体" w:hAnsi="宋体" w:cs="宋体"/>
                <w:kern w:val="0"/>
                <w:sz w:val="24"/>
              </w:rPr>
              <w:t>县</w:t>
            </w:r>
            <w:r>
              <w:rPr>
                <w:rFonts w:hint="eastAsia" w:ascii="宋体" w:hAnsi="宋体" w:cs="宋体"/>
                <w:kern w:val="0"/>
                <w:sz w:val="24"/>
                <w:lang w:val="en-US" w:eastAsia="zh-CN"/>
              </w:rPr>
              <w:t>雄壁镇</w:t>
            </w:r>
            <w:r>
              <w:rPr>
                <w:rFonts w:hint="eastAsia" w:ascii="宋体" w:hAnsi="宋体" w:cs="宋体"/>
                <w:kern w:val="0"/>
                <w:sz w:val="24"/>
              </w:rPr>
              <w:t>采煤沉陷区</w:t>
            </w:r>
            <w:r>
              <w:rPr>
                <w:rFonts w:ascii="宋体" w:hAnsi="宋体" w:cs="宋体"/>
                <w:kern w:val="0"/>
                <w:sz w:val="24"/>
              </w:rPr>
              <w:t>治理工作</w:t>
            </w:r>
            <w:r>
              <w:rPr>
                <w:rFonts w:hint="eastAsia" w:ascii="宋体" w:hAnsi="宋体" w:eastAsia="宋体" w:cs="宋体"/>
                <w:kern w:val="0"/>
                <w:sz w:val="24"/>
                <w:lang w:eastAsia="zh-CN"/>
              </w:rPr>
              <w:t>，</w:t>
            </w:r>
            <w:r>
              <w:rPr>
                <w:rFonts w:ascii="宋体" w:hAnsi="宋体" w:cs="宋体"/>
                <w:kern w:val="0"/>
                <w:sz w:val="24"/>
              </w:rPr>
              <w:t>采取</w:t>
            </w:r>
            <w:r>
              <w:rPr>
                <w:rFonts w:hint="eastAsia" w:ascii="宋体" w:hAnsi="宋体" w:cs="宋体"/>
                <w:kern w:val="0"/>
                <w:sz w:val="24"/>
              </w:rPr>
              <w:t>道路路面翻修、塌方路段修复</w:t>
            </w:r>
            <w:r>
              <w:rPr>
                <w:rFonts w:hint="eastAsia" w:ascii="宋体" w:hAnsi="宋体" w:eastAsia="宋体" w:cs="宋体"/>
                <w:kern w:val="0"/>
                <w:sz w:val="24"/>
                <w:lang w:eastAsia="zh-CN"/>
              </w:rPr>
              <w:t>、</w:t>
            </w:r>
            <w:r>
              <w:rPr>
                <w:rFonts w:hint="eastAsia" w:ascii="宋体" w:hAnsi="宋体" w:cs="宋体"/>
                <w:kern w:val="0"/>
                <w:sz w:val="24"/>
              </w:rPr>
              <w:t>新建道路、路面修补、道路绿化</w:t>
            </w: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修建</w:t>
            </w:r>
            <w:r>
              <w:rPr>
                <w:rFonts w:hint="eastAsia" w:ascii="宋体" w:hAnsi="宋体" w:cs="宋体"/>
                <w:kern w:val="0"/>
                <w:sz w:val="24"/>
                <w:lang w:val="en-US" w:eastAsia="zh-CN"/>
              </w:rPr>
              <w:t>沟渠</w:t>
            </w:r>
            <w:r>
              <w:rPr>
                <w:rFonts w:hint="eastAsia" w:ascii="宋体" w:hAnsi="宋体" w:cs="宋体"/>
                <w:kern w:val="0"/>
                <w:sz w:val="24"/>
              </w:rPr>
              <w:t>等</w:t>
            </w:r>
            <w:r>
              <w:rPr>
                <w:rFonts w:ascii="宋体" w:hAnsi="宋体" w:cs="宋体"/>
                <w:kern w:val="0"/>
                <w:sz w:val="24"/>
              </w:rPr>
              <w:t>工程措施</w:t>
            </w:r>
            <w:r>
              <w:rPr>
                <w:rFonts w:hint="eastAsia" w:ascii="宋体" w:hAnsi="宋体" w:eastAsia="宋体" w:cs="宋体"/>
                <w:kern w:val="0"/>
                <w:sz w:val="24"/>
                <w:lang w:eastAsia="zh-CN"/>
              </w:rPr>
              <w:t>，</w:t>
            </w:r>
            <w:r>
              <w:rPr>
                <w:rFonts w:hint="eastAsia" w:ascii="宋体" w:hAnsi="宋体" w:eastAsia="宋体" w:cs="宋体"/>
                <w:b w:val="0"/>
                <w:bCs w:val="0"/>
                <w:snapToGrid w:val="0"/>
                <w:color w:val="000000"/>
                <w:spacing w:val="4"/>
                <w:kern w:val="0"/>
                <w:sz w:val="24"/>
                <w:szCs w:val="24"/>
                <w:lang w:val="en-US" w:eastAsia="zh-CN" w:bidi="ar-SA"/>
              </w:rPr>
              <w:t>加强建设和完善采煤沉陷区受损的道路、水利、市政管网等基础设施。</w:t>
            </w:r>
            <w:r>
              <w:rPr>
                <w:rFonts w:ascii="宋体" w:hAnsi="宋体" w:cs="宋体"/>
                <w:kern w:val="0"/>
                <w:sz w:val="24"/>
              </w:rPr>
              <w:t>对受沉陷影响的设施、地物进行恢复治理和综合利用</w:t>
            </w:r>
            <w:r>
              <w:rPr>
                <w:rFonts w:hint="eastAsia" w:ascii="宋体" w:hAnsi="宋体" w:eastAsia="宋体" w:cs="宋体"/>
                <w:kern w:val="0"/>
                <w:sz w:val="24"/>
                <w:lang w:eastAsia="zh-CN"/>
              </w:rPr>
              <w:t>，</w:t>
            </w:r>
            <w:r>
              <w:rPr>
                <w:rFonts w:hint="eastAsia" w:ascii="宋体" w:hAnsi="宋体" w:eastAsia="宋体" w:cs="宋体"/>
                <w:b w:val="0"/>
                <w:bCs w:val="0"/>
                <w:snapToGrid w:val="0"/>
                <w:color w:val="000000"/>
                <w:spacing w:val="4"/>
                <w:kern w:val="0"/>
                <w:sz w:val="24"/>
                <w:szCs w:val="24"/>
                <w:lang w:val="en-US" w:eastAsia="zh-CN" w:bidi="ar-SA"/>
              </w:rPr>
              <w:t>消除地质灾害隐患，恢复和改善区内生态环境。</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建设时序：</w:t>
            </w:r>
            <w:r>
              <w:rPr>
                <w:rFonts w:hint="eastAsia" w:ascii="宋体" w:hAnsi="宋体" w:eastAsia="宋体" w:cs="宋体"/>
                <w:spacing w:val="5"/>
                <w:sz w:val="24"/>
                <w:szCs w:val="24"/>
                <w:lang w:val="en-US" w:eastAsia="zh-CN"/>
              </w:rPr>
              <w:t>2021-2026年。</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snapToGrid/>
              <w:spacing w:line="360" w:lineRule="auto"/>
              <w:ind w:left="0" w:right="0" w:firstLine="502" w:firstLineChars="200"/>
              <w:jc w:val="both"/>
              <w:textAlignment w:val="baseline"/>
              <w:rPr>
                <w:rFonts w:hint="eastAsia" w:ascii="宋体" w:hAnsi="宋体" w:eastAsia="宋体" w:cs="宋体"/>
                <w:b w:val="0"/>
                <w:bCs w:val="0"/>
                <w:snapToGrid w:val="0"/>
                <w:color w:val="000000"/>
                <w:spacing w:val="4"/>
                <w:kern w:val="0"/>
                <w:sz w:val="24"/>
                <w:szCs w:val="24"/>
                <w:lang w:val="en-US" w:eastAsia="zh-CN" w:bidi="ar-SA"/>
              </w:rPr>
            </w:pPr>
            <w:r>
              <w:rPr>
                <w:rFonts w:hint="eastAsia" w:ascii="宋体" w:hAnsi="宋体" w:eastAsia="宋体" w:cs="宋体"/>
                <w:b/>
                <w:bCs/>
                <w:spacing w:val="5"/>
                <w:sz w:val="24"/>
                <w:szCs w:val="24"/>
                <w:lang w:val="en-US" w:eastAsia="zh-CN"/>
              </w:rPr>
              <w:t>资金总投资：</w:t>
            </w:r>
            <w:r>
              <w:rPr>
                <w:rFonts w:hint="eastAsia" w:ascii="宋体" w:hAnsi="宋体" w:eastAsia="宋体" w:cs="宋体"/>
                <w:spacing w:val="5"/>
                <w:sz w:val="24"/>
                <w:szCs w:val="24"/>
                <w:lang w:val="en-US" w:eastAsia="zh-CN"/>
              </w:rPr>
              <w:t>5748万元。</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06" w:firstLineChars="200"/>
              <w:jc w:val="both"/>
              <w:textAlignment w:val="baseline"/>
              <w:rPr>
                <w:rFonts w:hint="eastAsia" w:ascii="宋体" w:hAnsi="宋体" w:eastAsia="宋体" w:cs="宋体"/>
                <w:b/>
                <w:bCs/>
                <w:spacing w:val="6"/>
                <w:sz w:val="24"/>
                <w:szCs w:val="24"/>
                <w:lang w:val="en-US" w:eastAsia="zh-CN"/>
              </w:rPr>
            </w:pPr>
            <w:r>
              <w:rPr>
                <w:rFonts w:hint="eastAsia" w:ascii="宋体" w:hAnsi="宋体" w:eastAsia="宋体" w:cs="宋体"/>
                <w:b/>
                <w:bCs/>
                <w:spacing w:val="6"/>
                <w:sz w:val="24"/>
                <w:szCs w:val="24"/>
                <w:lang w:val="en-US" w:eastAsia="zh-CN"/>
              </w:rPr>
              <w:t>3、竹菁河上游水土保持与矿山综合治理工程</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34"/>
              <w:jc w:val="both"/>
              <w:textAlignment w:val="baseline"/>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实施区域：</w:t>
            </w:r>
            <w:r>
              <w:rPr>
                <w:rFonts w:hint="eastAsia" w:ascii="宋体" w:hAnsi="宋体" w:eastAsia="宋体" w:cs="宋体"/>
                <w:spacing w:val="4"/>
                <w:sz w:val="24"/>
                <w:szCs w:val="24"/>
                <w:lang w:val="en-US" w:eastAsia="zh-CN"/>
              </w:rPr>
              <w:t>主要分布于雄壁镇。</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02" w:firstLineChars="200"/>
              <w:jc w:val="both"/>
              <w:textAlignment w:val="baseline"/>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安排工程数量：</w:t>
            </w:r>
            <w:r>
              <w:rPr>
                <w:rFonts w:hint="eastAsia" w:ascii="宋体" w:hAnsi="宋体" w:eastAsia="宋体" w:cs="宋体"/>
                <w:spacing w:val="5"/>
                <w:sz w:val="24"/>
                <w:szCs w:val="24"/>
                <w:lang w:val="en-US" w:eastAsia="zh-CN"/>
              </w:rPr>
              <w:t>1个，即竹菁河上游水土保持与矿山综合治理工程</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02" w:firstLineChars="200"/>
              <w:jc w:val="both"/>
              <w:textAlignment w:val="baseline"/>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预期目标：</w:t>
            </w:r>
            <w:r>
              <w:rPr>
                <w:rFonts w:hint="eastAsia" w:ascii="宋体" w:hAnsi="宋体" w:eastAsia="宋体" w:cs="宋体"/>
                <w:b w:val="0"/>
                <w:bCs w:val="0"/>
                <w:snapToGrid w:val="0"/>
                <w:color w:val="000000"/>
                <w:spacing w:val="4"/>
                <w:kern w:val="0"/>
                <w:sz w:val="24"/>
                <w:szCs w:val="24"/>
                <w:lang w:val="en-US" w:eastAsia="zh-CN" w:bidi="ar-SA"/>
              </w:rPr>
              <w:t>完成治理面积1314.32公顷。</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02" w:firstLineChars="200"/>
              <w:jc w:val="both"/>
              <w:textAlignment w:val="baseline"/>
              <w:rPr>
                <w:rFonts w:hint="eastAsia" w:ascii="宋体" w:hAnsi="宋体" w:cs="宋体"/>
                <w:kern w:val="0"/>
                <w:sz w:val="24"/>
                <w:lang w:val="en-US" w:eastAsia="zh-CN"/>
              </w:rPr>
            </w:pPr>
            <w:r>
              <w:rPr>
                <w:rFonts w:hint="eastAsia" w:ascii="宋体" w:hAnsi="宋体" w:eastAsia="宋体" w:cs="宋体"/>
                <w:b/>
                <w:bCs/>
                <w:spacing w:val="5"/>
                <w:sz w:val="24"/>
                <w:szCs w:val="24"/>
                <w:lang w:val="en-US" w:eastAsia="zh-CN"/>
              </w:rPr>
              <w:t>修复措施：</w:t>
            </w:r>
            <w:r>
              <w:rPr>
                <w:rFonts w:hint="eastAsia" w:ascii="宋体" w:hAnsi="宋体" w:cs="宋体"/>
                <w:kern w:val="0"/>
                <w:sz w:val="24"/>
                <w:lang w:val="en-US" w:eastAsia="zh-CN"/>
              </w:rPr>
              <w:t>全面推进竹菁河上游水土保持治理工程，通过植树造林，封禁治理，溪沟整治，污水处理等措施，</w:t>
            </w:r>
            <w:r>
              <w:rPr>
                <w:rFonts w:hint="eastAsia" w:ascii="宋体" w:hAnsi="宋体" w:eastAsia="宋体" w:cs="宋体"/>
                <w:spacing w:val="5"/>
                <w:sz w:val="24"/>
                <w:szCs w:val="24"/>
                <w:lang w:val="en-US" w:eastAsia="zh-CN"/>
              </w:rPr>
              <w:t>控制水土流失和石漠化。</w:t>
            </w:r>
            <w:r>
              <w:rPr>
                <w:rFonts w:hint="eastAsia" w:ascii="宋体" w:hAnsi="宋体" w:cs="宋体"/>
                <w:kern w:val="0"/>
                <w:sz w:val="24"/>
                <w:lang w:val="en-US" w:eastAsia="zh-CN"/>
              </w:rPr>
              <w:t>以辅助修复为主，加大森林抚育，恢复植被，加强退化生态系统恢复，维护生物多样性，提高森林覆盖率。加强珍稀野生动植物及其栖息地保护，废弃矿山复绿、退耕还林。加强矿山生态修复，综合治理采煤沉陷区，助推绿色矿山建设，进行生态重塑，废弃矿山复绿、退耕还林。</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建设时序：</w:t>
            </w:r>
            <w:r>
              <w:rPr>
                <w:rFonts w:hint="eastAsia" w:ascii="宋体" w:hAnsi="宋体" w:eastAsia="宋体" w:cs="宋体"/>
                <w:spacing w:val="5"/>
                <w:sz w:val="24"/>
                <w:szCs w:val="24"/>
                <w:lang w:val="en-US" w:eastAsia="zh-CN"/>
              </w:rPr>
              <w:t>2021-2026年。</w:t>
            </w:r>
          </w:p>
          <w:p>
            <w:pPr>
              <w:keepNext w:val="0"/>
              <w:keepLines w:val="0"/>
              <w:pageBreakBefore w:val="0"/>
              <w:widowControl/>
              <w:suppressLineNumbers w:val="0"/>
              <w:kinsoku w:val="0"/>
              <w:wordWrap/>
              <w:overflowPunct/>
              <w:topLinePunct w:val="0"/>
              <w:autoSpaceDE w:val="0"/>
              <w:autoSpaceDN w:val="0"/>
              <w:bidi w:val="0"/>
              <w:adjustRightInd/>
              <w:snapToGrid/>
              <w:spacing w:line="360" w:lineRule="auto"/>
              <w:ind w:left="0" w:right="0" w:firstLine="502" w:firstLineChars="200"/>
              <w:jc w:val="both"/>
              <w:textAlignment w:val="baseline"/>
              <w:rPr>
                <w:rFonts w:hint="eastAsia" w:ascii="宋体" w:hAnsi="宋体" w:cs="宋体"/>
                <w:kern w:val="0"/>
                <w:sz w:val="24"/>
                <w:lang w:val="en-US" w:eastAsia="zh-CN"/>
              </w:rPr>
            </w:pPr>
            <w:r>
              <w:rPr>
                <w:rFonts w:hint="eastAsia" w:ascii="宋体" w:hAnsi="宋体" w:eastAsia="宋体" w:cs="宋体"/>
                <w:b/>
                <w:bCs/>
                <w:spacing w:val="5"/>
                <w:sz w:val="24"/>
                <w:szCs w:val="24"/>
                <w:lang w:val="en-US" w:eastAsia="zh-CN"/>
              </w:rPr>
              <w:t>资金总投资：</w:t>
            </w:r>
            <w:r>
              <w:rPr>
                <w:rFonts w:hint="eastAsia" w:ascii="宋体" w:hAnsi="宋体" w:eastAsia="宋体" w:cs="宋体"/>
                <w:spacing w:val="5"/>
                <w:sz w:val="24"/>
                <w:szCs w:val="24"/>
                <w:lang w:val="en-US" w:eastAsia="zh-CN"/>
              </w:rPr>
              <w:t>4800万元。</w:t>
            </w:r>
          </w:p>
        </w:tc>
      </w:tr>
    </w:tbl>
    <w:p>
      <w:pPr>
        <w:pStyle w:val="5"/>
        <w:spacing w:line="360" w:lineRule="auto"/>
        <w:ind w:firstLine="562" w:firstLineChars="200"/>
        <w:jc w:val="both"/>
        <w:outlineLvl w:val="3"/>
        <w:rPr>
          <w:rFonts w:hint="eastAsia" w:ascii="宋体" w:hAnsi="宋体" w:eastAsia="宋体" w:cs="宋体"/>
          <w:spacing w:val="-12"/>
          <w:sz w:val="28"/>
          <w:szCs w:val="28"/>
          <w:lang w:val="en-US" w:eastAsia="zh-CN"/>
        </w:rPr>
      </w:pPr>
      <w:r>
        <w:rPr>
          <w:rFonts w:hint="eastAsia" w:ascii="宋体" w:hAnsi="宋体" w:eastAsia="宋体" w:cs="宋体"/>
          <w:sz w:val="28"/>
          <w:szCs w:val="28"/>
          <w:lang w:val="en-US" w:eastAsia="zh-CN"/>
        </w:rPr>
        <w:t>（二）</w:t>
      </w:r>
      <w:r>
        <w:rPr>
          <w:rFonts w:hint="eastAsia" w:ascii="宋体" w:hAnsi="宋体" w:eastAsia="宋体" w:cs="宋体"/>
          <w:b/>
          <w:bCs/>
          <w:snapToGrid w:val="0"/>
          <w:color w:val="000000"/>
          <w:kern w:val="0"/>
          <w:sz w:val="28"/>
          <w:szCs w:val="28"/>
          <w:lang w:val="en-US" w:eastAsia="zh-CN" w:bidi="ar"/>
        </w:rPr>
        <w:t>水土流失综合治理重点工程</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采取自然修复、辅助再生为主的修复策略，重点开展小流域国家水土保持重点工程、河道治理工程、植被恢复协同开展石漠化综合治理，控制水土流失，提高水土保持能力。详见专栏6-2。</w:t>
      </w:r>
    </w:p>
    <w:tbl>
      <w:tblPr>
        <w:tblStyle w:val="25"/>
        <w:tblW w:w="8567" w:type="dxa"/>
        <w:tblInd w:w="3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567" w:type="dxa"/>
            <w:vAlign w:val="top"/>
          </w:tcPr>
          <w:p>
            <w:pPr>
              <w:spacing w:before="99" w:line="188" w:lineRule="auto"/>
              <w:ind w:firstLine="765" w:firstLineChars="300"/>
              <w:jc w:val="both"/>
              <w:outlineLvl w:val="9"/>
              <w:rPr>
                <w:rFonts w:hint="eastAsia" w:ascii="宋体" w:hAnsi="宋体" w:eastAsia="宋体" w:cs="宋体"/>
                <w:sz w:val="28"/>
                <w:szCs w:val="28"/>
              </w:rPr>
            </w:pPr>
            <w:r>
              <w:rPr>
                <w:rFonts w:hint="eastAsia" w:ascii="宋体" w:hAnsi="宋体" w:eastAsia="宋体" w:cs="宋体"/>
                <w:b/>
                <w:bCs/>
                <w:spacing w:val="7"/>
                <w:sz w:val="24"/>
                <w:szCs w:val="24"/>
              </w:rPr>
              <w:t>专栏</w:t>
            </w:r>
            <w:r>
              <w:rPr>
                <w:rFonts w:hint="eastAsia" w:ascii="宋体" w:hAnsi="宋体" w:eastAsia="宋体" w:cs="宋体"/>
                <w:b/>
                <w:bCs/>
                <w:spacing w:val="7"/>
                <w:sz w:val="24"/>
                <w:szCs w:val="24"/>
                <w:lang w:val="en-US" w:eastAsia="zh-CN"/>
              </w:rPr>
              <w:t>6-2</w:t>
            </w:r>
            <w:r>
              <w:rPr>
                <w:rFonts w:hint="eastAsia" w:ascii="宋体" w:hAnsi="宋体" w:eastAsia="宋体" w:cs="宋体"/>
                <w:b/>
                <w:bCs/>
                <w:spacing w:val="7"/>
                <w:sz w:val="24"/>
                <w:szCs w:val="24"/>
              </w:rPr>
              <w:t xml:space="preserve">   </w:t>
            </w:r>
            <w:r>
              <w:rPr>
                <w:rFonts w:hint="eastAsia" w:ascii="宋体" w:hAnsi="宋体" w:eastAsia="宋体" w:cs="宋体"/>
                <w:b/>
                <w:bCs/>
                <w:spacing w:val="7"/>
                <w:sz w:val="24"/>
                <w:szCs w:val="24"/>
                <w:lang w:val="en-US" w:eastAsia="zh-CN"/>
              </w:rPr>
              <w:t xml:space="preserve">       </w:t>
            </w:r>
            <w:r>
              <w:rPr>
                <w:rFonts w:hint="eastAsia" w:ascii="宋体" w:hAnsi="宋体" w:eastAsia="宋体" w:cs="宋体"/>
                <w:b/>
                <w:bCs/>
                <w:spacing w:val="7"/>
                <w:sz w:val="24"/>
                <w:szCs w:val="24"/>
              </w:rPr>
              <w:t>水土流失综合治理重点工程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8567" w:type="dxa"/>
            <w:vAlign w:val="top"/>
          </w:tcPr>
          <w:p>
            <w:pPr>
              <w:spacing w:before="19" w:line="360" w:lineRule="auto"/>
              <w:ind w:left="117" w:right="107" w:firstLine="434"/>
              <w:jc w:val="both"/>
              <w:outlineLvl w:val="9"/>
              <w:rPr>
                <w:rFonts w:hint="eastAsia" w:ascii="宋体" w:hAnsi="宋体" w:eastAsia="宋体" w:cs="宋体"/>
                <w:b/>
                <w:bCs/>
                <w:spacing w:val="5"/>
                <w:sz w:val="24"/>
                <w:szCs w:val="24"/>
                <w:lang w:val="en-US" w:eastAsia="zh-CN"/>
              </w:rPr>
            </w:pPr>
            <w:r>
              <w:rPr>
                <w:rFonts w:hint="eastAsia" w:ascii="宋体" w:hAnsi="宋体" w:eastAsia="宋体" w:cs="宋体"/>
                <w:b/>
                <w:bCs/>
                <w:spacing w:val="5"/>
                <w:sz w:val="24"/>
                <w:szCs w:val="24"/>
                <w:lang w:val="en-US" w:eastAsia="zh-CN"/>
              </w:rPr>
              <w:t>1、南盘江下游水土保持工程</w:t>
            </w:r>
          </w:p>
          <w:p>
            <w:pPr>
              <w:spacing w:before="19" w:line="360" w:lineRule="auto"/>
              <w:ind w:left="117" w:right="107" w:firstLine="434"/>
              <w:jc w:val="both"/>
              <w:outlineLvl w:val="9"/>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实施区域：</w:t>
            </w:r>
            <w:r>
              <w:rPr>
                <w:rFonts w:hint="eastAsia" w:ascii="宋体" w:hAnsi="宋体" w:eastAsia="宋体" w:cs="宋体"/>
                <w:spacing w:val="5"/>
                <w:sz w:val="24"/>
                <w:szCs w:val="24"/>
                <w:lang w:val="en-US" w:eastAsia="zh-CN"/>
              </w:rPr>
              <w:t>龙庆乡、五龙乡、高良乡。</w:t>
            </w:r>
          </w:p>
          <w:p>
            <w:pPr>
              <w:spacing w:before="19" w:line="360" w:lineRule="auto"/>
              <w:ind w:left="117" w:right="107" w:firstLine="434"/>
              <w:jc w:val="both"/>
              <w:outlineLvl w:val="9"/>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安排工程数量：</w:t>
            </w:r>
            <w:r>
              <w:rPr>
                <w:rFonts w:hint="eastAsia" w:ascii="宋体" w:hAnsi="宋体" w:eastAsia="宋体" w:cs="宋体"/>
                <w:spacing w:val="5"/>
                <w:sz w:val="24"/>
                <w:szCs w:val="24"/>
                <w:lang w:val="en-US" w:eastAsia="zh-CN"/>
              </w:rPr>
              <w:t>4个，分别是牛尾小流域国家水土保持重点工程、设里小流域国家水土保持重点工程、豆温小流域国家水土保持重点工程、南盘江河道治理重大工程。</w:t>
            </w:r>
          </w:p>
          <w:p>
            <w:pPr>
              <w:spacing w:before="19" w:line="360" w:lineRule="auto"/>
              <w:ind w:left="117" w:right="107" w:firstLine="434"/>
              <w:jc w:val="both"/>
              <w:outlineLvl w:val="9"/>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预期目标：</w:t>
            </w:r>
            <w:r>
              <w:rPr>
                <w:rFonts w:hint="default" w:ascii="宋体" w:hAnsi="宋体" w:eastAsia="宋体" w:cs="宋体"/>
                <w:spacing w:val="5"/>
                <w:sz w:val="24"/>
                <w:szCs w:val="24"/>
                <w:lang w:val="en-US" w:eastAsia="zh-CN"/>
              </w:rPr>
              <w:t>完成水土流失治理</w:t>
            </w:r>
            <w:r>
              <w:rPr>
                <w:rFonts w:hint="eastAsia" w:ascii="宋体" w:hAnsi="宋体" w:eastAsia="宋体" w:cs="宋体"/>
                <w:spacing w:val="5"/>
                <w:sz w:val="24"/>
                <w:szCs w:val="24"/>
                <w:lang w:val="en-US" w:eastAsia="zh-CN"/>
              </w:rPr>
              <w:t>面积11052.07</w:t>
            </w:r>
            <w:r>
              <w:rPr>
                <w:rFonts w:hint="default" w:ascii="宋体" w:hAnsi="宋体" w:eastAsia="宋体" w:cs="宋体"/>
                <w:spacing w:val="5"/>
                <w:sz w:val="24"/>
                <w:szCs w:val="24"/>
                <w:lang w:val="en-US" w:eastAsia="zh-CN"/>
              </w:rPr>
              <w:t>公顷</w:t>
            </w:r>
            <w:r>
              <w:rPr>
                <w:rFonts w:hint="eastAsia" w:ascii="宋体" w:hAnsi="宋体" w:eastAsia="宋体" w:cs="宋体"/>
                <w:spacing w:val="5"/>
                <w:sz w:val="24"/>
                <w:szCs w:val="24"/>
                <w:lang w:val="en-US" w:eastAsia="zh-CN"/>
              </w:rPr>
              <w:t>。</w:t>
            </w:r>
          </w:p>
          <w:p>
            <w:pPr>
              <w:spacing w:before="19" w:line="360" w:lineRule="auto"/>
              <w:ind w:left="117" w:right="107" w:firstLine="434"/>
              <w:jc w:val="both"/>
              <w:outlineLvl w:val="9"/>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修复措施：</w:t>
            </w:r>
            <w:r>
              <w:rPr>
                <w:rFonts w:hint="eastAsia" w:ascii="宋体" w:hAnsi="宋体" w:cs="宋体"/>
                <w:kern w:val="0"/>
                <w:sz w:val="24"/>
                <w:lang w:val="en-US" w:eastAsia="zh-CN"/>
              </w:rPr>
              <w:t xml:space="preserve">以南盘江流域水土保持为重点，采用保育保护、自然恢复、辅助再生相结合的修复策略。在南盘江下游两岸水土流失脆弱集中区，以小流域为单元，采取种植水保林、经果林、封禁治理、溪沟整治、河道堤岸支护，河堤疏浚，加高加固工程、污水处理等措施，协同开展石漠化治理，控制水土流失。 </w:t>
            </w:r>
            <w:r>
              <w:rPr>
                <w:rFonts w:hint="eastAsia" w:ascii="宋体" w:hAnsi="宋体" w:eastAsia="宋体" w:cs="宋体"/>
                <w:spacing w:val="5"/>
                <w:sz w:val="24"/>
                <w:szCs w:val="24"/>
                <w:lang w:val="en-US" w:eastAsia="zh-CN"/>
              </w:rPr>
              <w:t xml:space="preserve">  </w:t>
            </w:r>
          </w:p>
          <w:p>
            <w:pPr>
              <w:spacing w:before="19" w:line="360" w:lineRule="auto"/>
              <w:ind w:left="117" w:right="107" w:firstLine="434"/>
              <w:jc w:val="both"/>
              <w:outlineLvl w:val="9"/>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建设时序：</w:t>
            </w:r>
            <w:r>
              <w:rPr>
                <w:rFonts w:hint="eastAsia" w:ascii="宋体" w:hAnsi="宋体" w:eastAsia="宋体" w:cs="宋体"/>
                <w:spacing w:val="5"/>
                <w:sz w:val="24"/>
                <w:szCs w:val="24"/>
                <w:lang w:val="en-US" w:eastAsia="zh-CN"/>
              </w:rPr>
              <w:t>2021-2030年。</w:t>
            </w:r>
          </w:p>
          <w:p>
            <w:pPr>
              <w:spacing w:before="19" w:line="360" w:lineRule="auto"/>
              <w:ind w:left="117" w:right="107" w:firstLine="434"/>
              <w:jc w:val="both"/>
              <w:outlineLvl w:val="9"/>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资金总投资：</w:t>
            </w:r>
            <w:r>
              <w:rPr>
                <w:rFonts w:hint="eastAsia" w:ascii="宋体" w:hAnsi="宋体" w:eastAsia="宋体" w:cs="宋体"/>
                <w:spacing w:val="5"/>
                <w:sz w:val="24"/>
                <w:szCs w:val="24"/>
                <w:lang w:val="en-US" w:eastAsia="zh-CN"/>
              </w:rPr>
              <w:t>4346万元</w:t>
            </w:r>
          </w:p>
          <w:p>
            <w:pPr>
              <w:spacing w:before="19" w:line="360" w:lineRule="auto"/>
              <w:ind w:left="117" w:right="107" w:firstLine="434"/>
              <w:jc w:val="both"/>
              <w:outlineLvl w:val="9"/>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2、中北部水土流失综合治理工程</w:t>
            </w:r>
          </w:p>
          <w:p>
            <w:pPr>
              <w:spacing w:before="19" w:line="360" w:lineRule="auto"/>
              <w:ind w:left="117" w:right="107" w:firstLine="434"/>
              <w:jc w:val="both"/>
              <w:outlineLvl w:val="9"/>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实施区域：</w:t>
            </w:r>
            <w:r>
              <w:rPr>
                <w:rFonts w:hint="eastAsia" w:ascii="宋体" w:hAnsi="宋体" w:eastAsia="宋体" w:cs="宋体"/>
                <w:spacing w:val="5"/>
                <w:sz w:val="24"/>
                <w:szCs w:val="24"/>
                <w:lang w:val="en-US" w:eastAsia="zh-CN"/>
              </w:rPr>
              <w:t>漾月街道、竹基镇、雄壁镇。</w:t>
            </w:r>
          </w:p>
          <w:p>
            <w:pPr>
              <w:spacing w:before="19" w:line="360" w:lineRule="auto"/>
              <w:ind w:left="117" w:right="107" w:firstLine="434"/>
              <w:jc w:val="both"/>
              <w:outlineLvl w:val="9"/>
              <w:rPr>
                <w:rFonts w:hint="eastAsia" w:ascii="宋体" w:hAnsi="宋体" w:cs="宋体"/>
                <w:kern w:val="0"/>
                <w:sz w:val="24"/>
                <w:lang w:val="en-US" w:eastAsia="zh-CN"/>
              </w:rPr>
            </w:pPr>
            <w:r>
              <w:rPr>
                <w:rFonts w:hint="eastAsia" w:ascii="宋体" w:hAnsi="宋体" w:eastAsia="宋体" w:cs="宋体"/>
                <w:b/>
                <w:bCs/>
                <w:spacing w:val="5"/>
                <w:sz w:val="24"/>
                <w:szCs w:val="24"/>
                <w:lang w:val="en-US" w:eastAsia="zh-CN"/>
              </w:rPr>
              <w:t>安排工程数量：</w:t>
            </w:r>
            <w:r>
              <w:rPr>
                <w:rFonts w:hint="eastAsia" w:ascii="宋体" w:hAnsi="宋体" w:cs="宋体"/>
                <w:kern w:val="0"/>
                <w:sz w:val="24"/>
                <w:lang w:val="en-US" w:eastAsia="zh-CN"/>
              </w:rPr>
              <w:t>3个，分别是小石山水库小流域国家水土保持重点工程、阿宜格水库小流域国家水土保持重点工程、小阿舍小流域国家水土保持重点工程。</w:t>
            </w:r>
          </w:p>
          <w:p>
            <w:pPr>
              <w:spacing w:before="19" w:line="360" w:lineRule="auto"/>
              <w:ind w:left="117" w:right="107" w:firstLine="434"/>
              <w:jc w:val="both"/>
              <w:outlineLvl w:val="9"/>
              <w:rPr>
                <w:rFonts w:hint="default"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预期目标：</w:t>
            </w:r>
            <w:r>
              <w:rPr>
                <w:rFonts w:hint="default" w:ascii="宋体" w:hAnsi="宋体" w:eastAsia="宋体" w:cs="宋体"/>
                <w:spacing w:val="5"/>
                <w:sz w:val="24"/>
                <w:szCs w:val="24"/>
                <w:lang w:val="en-US" w:eastAsia="zh-CN"/>
              </w:rPr>
              <w:t>完成水土流失治理</w:t>
            </w:r>
            <w:r>
              <w:rPr>
                <w:rFonts w:hint="eastAsia" w:ascii="宋体" w:hAnsi="宋体" w:eastAsia="宋体" w:cs="宋体"/>
                <w:spacing w:val="5"/>
                <w:sz w:val="24"/>
                <w:szCs w:val="24"/>
                <w:lang w:val="en-US" w:eastAsia="zh-CN"/>
              </w:rPr>
              <w:t>面积2802.1</w:t>
            </w:r>
            <w:r>
              <w:rPr>
                <w:rFonts w:hint="default" w:ascii="宋体" w:hAnsi="宋体" w:eastAsia="宋体" w:cs="宋体"/>
                <w:spacing w:val="5"/>
                <w:sz w:val="24"/>
                <w:szCs w:val="24"/>
                <w:lang w:val="en-US" w:eastAsia="zh-CN"/>
              </w:rPr>
              <w:t>公顷</w:t>
            </w:r>
            <w:r>
              <w:rPr>
                <w:rFonts w:hint="eastAsia" w:ascii="宋体" w:hAnsi="宋体" w:eastAsia="宋体" w:cs="宋体"/>
                <w:spacing w:val="5"/>
                <w:sz w:val="24"/>
                <w:szCs w:val="24"/>
                <w:lang w:val="en-US" w:eastAsia="zh-CN"/>
              </w:rPr>
              <w:t>。</w:t>
            </w:r>
          </w:p>
          <w:p>
            <w:pPr>
              <w:spacing w:before="19" w:line="360" w:lineRule="auto"/>
              <w:ind w:left="117" w:right="107" w:firstLine="434"/>
              <w:jc w:val="both"/>
              <w:outlineLvl w:val="9"/>
              <w:rPr>
                <w:rFonts w:hint="eastAsia" w:ascii="宋体" w:hAnsi="宋体" w:cs="宋体"/>
                <w:kern w:val="0"/>
                <w:sz w:val="24"/>
                <w:lang w:val="en-US" w:eastAsia="zh-CN"/>
              </w:rPr>
            </w:pPr>
            <w:r>
              <w:rPr>
                <w:rFonts w:hint="eastAsia" w:ascii="宋体" w:hAnsi="宋体" w:eastAsia="宋体" w:cs="宋体"/>
                <w:b/>
                <w:bCs/>
                <w:spacing w:val="5"/>
                <w:sz w:val="24"/>
                <w:szCs w:val="24"/>
                <w:lang w:val="en-US" w:eastAsia="zh-CN"/>
              </w:rPr>
              <w:t>修复措施：</w:t>
            </w:r>
            <w:r>
              <w:rPr>
                <w:rFonts w:hint="eastAsia" w:ascii="宋体" w:hAnsi="宋体" w:cs="宋体"/>
                <w:kern w:val="0"/>
                <w:sz w:val="24"/>
                <w:lang w:val="en-US" w:eastAsia="zh-CN"/>
              </w:rPr>
              <w:t>以水土保持为重点，采用保育保护、自然恢复、辅助再生相结合的修复策略。采取封山育林、植树造林，封禁治理、坡改梯、河道整治及污水处理等措施，对该区域水土流失进行治理。</w:t>
            </w:r>
          </w:p>
          <w:p>
            <w:pPr>
              <w:spacing w:before="19" w:line="360" w:lineRule="auto"/>
              <w:ind w:left="117" w:right="107" w:firstLine="434"/>
              <w:jc w:val="both"/>
              <w:outlineLvl w:val="9"/>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建设时序：</w:t>
            </w:r>
            <w:r>
              <w:rPr>
                <w:rFonts w:hint="eastAsia" w:ascii="宋体" w:hAnsi="宋体" w:eastAsia="宋体" w:cs="宋体"/>
                <w:spacing w:val="5"/>
                <w:sz w:val="24"/>
                <w:szCs w:val="24"/>
                <w:lang w:val="en-US" w:eastAsia="zh-CN"/>
              </w:rPr>
              <w:t>2021-2030年。</w:t>
            </w:r>
          </w:p>
          <w:p>
            <w:pPr>
              <w:spacing w:before="19" w:line="360" w:lineRule="auto"/>
              <w:ind w:left="117" w:right="107" w:firstLine="434"/>
              <w:jc w:val="both"/>
              <w:outlineLvl w:val="9"/>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资金总投资：</w:t>
            </w:r>
            <w:r>
              <w:rPr>
                <w:rFonts w:hint="eastAsia" w:ascii="宋体" w:hAnsi="宋体" w:eastAsia="宋体" w:cs="宋体"/>
                <w:spacing w:val="5"/>
                <w:sz w:val="24"/>
                <w:szCs w:val="24"/>
                <w:lang w:val="en-US" w:eastAsia="zh-CN"/>
              </w:rPr>
              <w:t>2800万元</w:t>
            </w:r>
          </w:p>
        </w:tc>
      </w:tr>
    </w:tbl>
    <w:p>
      <w:pPr>
        <w:pStyle w:val="5"/>
        <w:spacing w:line="360" w:lineRule="auto"/>
        <w:ind w:firstLine="562" w:firstLineChars="200"/>
        <w:jc w:val="both"/>
        <w:outlineLvl w:val="3"/>
        <w:rPr>
          <w:rFonts w:hint="eastAsia" w:ascii="宋体" w:hAnsi="宋体" w:eastAsia="宋体" w:cs="宋体"/>
          <w:spacing w:val="-12"/>
          <w:sz w:val="28"/>
          <w:szCs w:val="28"/>
          <w:lang w:val="en-US" w:eastAsia="zh-CN"/>
        </w:rPr>
      </w:pPr>
      <w:r>
        <w:rPr>
          <w:rFonts w:hint="eastAsia" w:ascii="宋体" w:hAnsi="宋体" w:eastAsia="宋体" w:cs="宋体"/>
          <w:sz w:val="28"/>
          <w:szCs w:val="28"/>
          <w:lang w:val="en-US" w:eastAsia="zh-CN"/>
        </w:rPr>
        <w:t>（三）</w:t>
      </w:r>
      <w:r>
        <w:rPr>
          <w:rFonts w:hint="eastAsia" w:ascii="宋体" w:hAnsi="宋体" w:eastAsia="宋体" w:cs="宋体"/>
          <w:b/>
          <w:bCs/>
          <w:snapToGrid w:val="0"/>
          <w:color w:val="000000"/>
          <w:kern w:val="0"/>
          <w:sz w:val="28"/>
          <w:szCs w:val="28"/>
          <w:lang w:val="en-US" w:eastAsia="zh-CN" w:bidi="ar"/>
        </w:rPr>
        <w:t>石漠化综合治理重点工程</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加大封山育林与管护力度，保护好石漠化区域林草植被。对石漠化治理工程进行规划，通过采取造林种草、陡坡耕地退耕还林还草、加强基本农田和配套小型水利建设，优化农村能源结构，减少森林资源消耗，改善农村人畜饮水条件以及对不具备基本生存条件的地区实施生态移民等措施,有效推进石漠化防治工作。详见专栏6-3。</w:t>
      </w:r>
    </w:p>
    <w:tbl>
      <w:tblPr>
        <w:tblStyle w:val="2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526" w:type="dxa"/>
            <w:vAlign w:val="top"/>
          </w:tcPr>
          <w:p>
            <w:pPr>
              <w:spacing w:before="99" w:line="188" w:lineRule="auto"/>
              <w:ind w:firstLine="765" w:firstLineChars="300"/>
              <w:jc w:val="both"/>
              <w:rPr>
                <w:rFonts w:hint="eastAsia" w:ascii="宋体" w:hAnsi="宋体" w:eastAsia="宋体" w:cs="宋体"/>
                <w:sz w:val="28"/>
                <w:szCs w:val="28"/>
              </w:rPr>
            </w:pPr>
            <w:r>
              <w:rPr>
                <w:rFonts w:hint="eastAsia" w:ascii="宋体" w:hAnsi="宋体" w:eastAsia="宋体" w:cs="宋体"/>
                <w:b/>
                <w:bCs/>
                <w:spacing w:val="7"/>
                <w:sz w:val="24"/>
                <w:szCs w:val="24"/>
              </w:rPr>
              <w:t>专栏</w:t>
            </w:r>
            <w:r>
              <w:rPr>
                <w:rFonts w:hint="eastAsia" w:ascii="宋体" w:hAnsi="宋体" w:eastAsia="宋体" w:cs="宋体"/>
                <w:b/>
                <w:bCs/>
                <w:spacing w:val="7"/>
                <w:sz w:val="24"/>
                <w:szCs w:val="24"/>
                <w:lang w:val="en-US" w:eastAsia="zh-CN"/>
              </w:rPr>
              <w:t>6-3</w:t>
            </w:r>
            <w:r>
              <w:rPr>
                <w:rFonts w:hint="eastAsia" w:ascii="宋体" w:hAnsi="宋体" w:eastAsia="宋体" w:cs="宋体"/>
                <w:b/>
                <w:bCs/>
                <w:spacing w:val="7"/>
                <w:sz w:val="24"/>
                <w:szCs w:val="24"/>
              </w:rPr>
              <w:t xml:space="preserve">   </w:t>
            </w:r>
            <w:r>
              <w:rPr>
                <w:rFonts w:hint="eastAsia" w:ascii="宋体" w:hAnsi="宋体" w:eastAsia="宋体" w:cs="宋体"/>
                <w:b/>
                <w:bCs/>
                <w:spacing w:val="7"/>
                <w:sz w:val="24"/>
                <w:szCs w:val="24"/>
                <w:lang w:val="en-US" w:eastAsia="zh-CN"/>
              </w:rPr>
              <w:t xml:space="preserve">       </w:t>
            </w:r>
            <w:r>
              <w:rPr>
                <w:rFonts w:hint="eastAsia" w:ascii="宋体" w:hAnsi="宋体" w:eastAsia="宋体" w:cs="宋体"/>
                <w:b/>
                <w:bCs/>
                <w:spacing w:val="7"/>
                <w:sz w:val="24"/>
                <w:szCs w:val="24"/>
              </w:rPr>
              <w:t>石漠化综合治理重点工程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5" w:hRule="atLeast"/>
        </w:trPr>
        <w:tc>
          <w:tcPr>
            <w:tcW w:w="8526" w:type="dxa"/>
            <w:vAlign w:val="top"/>
          </w:tcPr>
          <w:p>
            <w:pPr>
              <w:spacing w:before="19" w:line="360" w:lineRule="auto"/>
              <w:ind w:left="117" w:right="107" w:firstLine="434"/>
              <w:jc w:val="both"/>
              <w:rPr>
                <w:rFonts w:hint="eastAsia" w:ascii="宋体" w:hAnsi="宋体" w:eastAsia="宋体" w:cs="宋体"/>
                <w:b/>
                <w:bCs/>
                <w:spacing w:val="5"/>
                <w:sz w:val="24"/>
                <w:szCs w:val="24"/>
                <w:lang w:val="en-US" w:eastAsia="zh-CN"/>
              </w:rPr>
            </w:pPr>
            <w:r>
              <w:rPr>
                <w:rFonts w:hint="eastAsia" w:ascii="宋体" w:hAnsi="宋体" w:eastAsia="宋体" w:cs="宋体"/>
                <w:b/>
                <w:bCs/>
                <w:spacing w:val="5"/>
                <w:sz w:val="24"/>
                <w:szCs w:val="24"/>
                <w:lang w:val="en-US" w:eastAsia="zh-CN"/>
              </w:rPr>
              <w:t>1、石漠化治理示范工程</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实施区域：</w:t>
            </w:r>
            <w:r>
              <w:rPr>
                <w:rFonts w:hint="eastAsia" w:ascii="宋体" w:hAnsi="宋体" w:eastAsia="宋体" w:cs="宋体"/>
                <w:spacing w:val="5"/>
                <w:sz w:val="24"/>
                <w:szCs w:val="24"/>
                <w:lang w:val="en-US" w:eastAsia="zh-CN"/>
              </w:rPr>
              <w:t>漾月街道办、雄壁镇。</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安排工程数量：</w:t>
            </w:r>
            <w:r>
              <w:rPr>
                <w:rFonts w:hint="eastAsia" w:ascii="宋体" w:hAnsi="宋体" w:eastAsia="宋体" w:cs="宋体"/>
                <w:spacing w:val="5"/>
                <w:sz w:val="24"/>
                <w:szCs w:val="24"/>
                <w:lang w:val="en-US" w:eastAsia="zh-CN"/>
              </w:rPr>
              <w:t>1个，即石漠化治理示范工程。</w:t>
            </w:r>
          </w:p>
          <w:p>
            <w:pPr>
              <w:spacing w:before="19" w:line="360" w:lineRule="auto"/>
              <w:ind w:left="117" w:right="107" w:firstLine="434"/>
              <w:jc w:val="both"/>
              <w:outlineLvl w:val="9"/>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预期目标：</w:t>
            </w:r>
            <w:r>
              <w:rPr>
                <w:rFonts w:hint="eastAsia" w:ascii="宋体" w:hAnsi="宋体" w:eastAsia="宋体" w:cs="宋体"/>
                <w:spacing w:val="5"/>
                <w:sz w:val="24"/>
                <w:szCs w:val="24"/>
                <w:lang w:val="en-US" w:eastAsia="zh-CN"/>
              </w:rPr>
              <w:t>完成石漠化治理面积60公顷。</w:t>
            </w:r>
          </w:p>
          <w:p>
            <w:pPr>
              <w:pStyle w:val="44"/>
              <w:spacing w:line="360" w:lineRule="auto"/>
              <w:ind w:left="102" w:right="102" w:firstLine="502" w:firstLineChars="200"/>
              <w:jc w:val="both"/>
              <w:rPr>
                <w:rFonts w:hint="eastAsia" w:ascii="宋体" w:hAnsi="宋体" w:eastAsia="宋体" w:cs="宋体"/>
                <w:snapToGrid w:val="0"/>
                <w:color w:val="000000"/>
                <w:spacing w:val="5"/>
                <w:kern w:val="0"/>
                <w:sz w:val="24"/>
                <w:szCs w:val="24"/>
                <w:lang w:val="en-US" w:eastAsia="zh-CN" w:bidi="ar-SA"/>
              </w:rPr>
            </w:pPr>
            <w:r>
              <w:rPr>
                <w:rFonts w:hint="eastAsia" w:ascii="宋体" w:hAnsi="宋体" w:eastAsia="宋体" w:cs="宋体"/>
                <w:b/>
                <w:bCs/>
                <w:spacing w:val="5"/>
                <w:sz w:val="24"/>
                <w:szCs w:val="24"/>
                <w:lang w:val="en-US" w:eastAsia="zh-CN"/>
              </w:rPr>
              <w:t>修复措施：</w:t>
            </w:r>
            <w:r>
              <w:rPr>
                <w:rFonts w:hint="eastAsia" w:ascii="宋体" w:hAnsi="宋体" w:eastAsia="宋体" w:cs="宋体"/>
                <w:snapToGrid w:val="0"/>
                <w:color w:val="000000"/>
                <w:spacing w:val="5"/>
                <w:kern w:val="0"/>
                <w:sz w:val="24"/>
                <w:szCs w:val="24"/>
                <w:lang w:val="en-US" w:eastAsia="zh-CN" w:bidi="ar-SA"/>
              </w:rPr>
              <w:t xml:space="preserve">采用保育保护、自然恢复、辅助再生相结合的修复策略。在漾月街道办、雄壁镇石漠化分布集中区，对师宗县石漠化治理示范工程进行规划；确定植被恢复的造林树种；营造混交林，形成复层森林结构；建设石漠化治理示范基地60公顷。其中在阴凉箐至大舍流域雄壁镇实施面积30公顷，在子午河流域漾月街道实施面积30公顷。 </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建设时序：</w:t>
            </w:r>
            <w:r>
              <w:rPr>
                <w:rFonts w:hint="eastAsia" w:ascii="宋体" w:hAnsi="宋体" w:eastAsia="宋体" w:cs="宋体"/>
                <w:spacing w:val="5"/>
                <w:sz w:val="24"/>
                <w:szCs w:val="24"/>
                <w:lang w:val="en-US" w:eastAsia="zh-CN"/>
              </w:rPr>
              <w:t>2021-2030年。</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资金总投资：</w:t>
            </w:r>
            <w:r>
              <w:rPr>
                <w:rFonts w:hint="eastAsia" w:ascii="宋体" w:hAnsi="宋体" w:eastAsia="宋体" w:cs="宋体"/>
                <w:spacing w:val="5"/>
                <w:sz w:val="24"/>
                <w:szCs w:val="24"/>
                <w:lang w:val="en-US" w:eastAsia="zh-CN"/>
              </w:rPr>
              <w:t>1000万元</w:t>
            </w:r>
          </w:p>
          <w:p>
            <w:pPr>
              <w:spacing w:before="19" w:line="360" w:lineRule="auto"/>
              <w:ind w:left="117" w:right="107" w:firstLine="434"/>
              <w:jc w:val="both"/>
              <w:rPr>
                <w:rFonts w:hint="eastAsia" w:ascii="宋体" w:hAnsi="宋体" w:eastAsia="宋体" w:cs="宋体"/>
                <w:b/>
                <w:bCs/>
                <w:spacing w:val="5"/>
                <w:sz w:val="24"/>
                <w:szCs w:val="24"/>
                <w:lang w:val="en-US" w:eastAsia="zh-CN"/>
              </w:rPr>
            </w:pPr>
            <w:r>
              <w:rPr>
                <w:rFonts w:hint="eastAsia" w:ascii="宋体" w:hAnsi="宋体" w:eastAsia="宋体" w:cs="宋体"/>
                <w:b/>
                <w:bCs/>
                <w:spacing w:val="5"/>
                <w:sz w:val="24"/>
                <w:szCs w:val="24"/>
                <w:lang w:val="en-US" w:eastAsia="zh-CN"/>
              </w:rPr>
              <w:t>2、石漠化治理工程</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实施区域：</w:t>
            </w:r>
            <w:r>
              <w:rPr>
                <w:rFonts w:hint="eastAsia" w:ascii="宋体" w:hAnsi="宋体" w:eastAsia="宋体" w:cs="宋体"/>
                <w:spacing w:val="5"/>
                <w:sz w:val="24"/>
                <w:szCs w:val="24"/>
                <w:lang w:val="en-US" w:eastAsia="zh-CN"/>
              </w:rPr>
              <w:t>龙庆乡、五龙乡、大同街道办。</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安排工程数量：</w:t>
            </w:r>
            <w:r>
              <w:rPr>
                <w:rFonts w:hint="eastAsia" w:ascii="宋体" w:hAnsi="宋体" w:eastAsia="宋体" w:cs="宋体"/>
                <w:spacing w:val="5"/>
                <w:sz w:val="24"/>
                <w:szCs w:val="24"/>
                <w:lang w:val="en-US" w:eastAsia="zh-CN"/>
              </w:rPr>
              <w:t>3个，分别是大同石漠化治理工程、五龙石漠化治理工程、龙庆石漠化治理工程。</w:t>
            </w:r>
          </w:p>
          <w:p>
            <w:pPr>
              <w:spacing w:before="19" w:line="360" w:lineRule="auto"/>
              <w:ind w:left="117" w:right="107" w:firstLine="434"/>
              <w:jc w:val="both"/>
              <w:outlineLvl w:val="9"/>
              <w:rPr>
                <w:rFonts w:hint="default"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预期目标：</w:t>
            </w:r>
            <w:r>
              <w:rPr>
                <w:rFonts w:hint="default" w:ascii="宋体" w:hAnsi="宋体" w:eastAsia="宋体" w:cs="宋体"/>
                <w:spacing w:val="5"/>
                <w:sz w:val="24"/>
                <w:szCs w:val="24"/>
                <w:lang w:val="en-US" w:eastAsia="zh-CN"/>
              </w:rPr>
              <w:t>完成</w:t>
            </w:r>
            <w:r>
              <w:rPr>
                <w:rFonts w:hint="eastAsia" w:ascii="宋体" w:hAnsi="宋体" w:eastAsia="宋体" w:cs="宋体"/>
                <w:spacing w:val="5"/>
                <w:sz w:val="24"/>
                <w:szCs w:val="24"/>
                <w:lang w:val="en-US" w:eastAsia="zh-CN"/>
              </w:rPr>
              <w:t>石漠化</w:t>
            </w:r>
            <w:r>
              <w:rPr>
                <w:rFonts w:hint="default" w:ascii="宋体" w:hAnsi="宋体" w:eastAsia="宋体" w:cs="宋体"/>
                <w:spacing w:val="5"/>
                <w:sz w:val="24"/>
                <w:szCs w:val="24"/>
                <w:lang w:val="en-US" w:eastAsia="zh-CN"/>
              </w:rPr>
              <w:t>治理</w:t>
            </w:r>
            <w:r>
              <w:rPr>
                <w:rFonts w:hint="eastAsia" w:ascii="宋体" w:hAnsi="宋体" w:eastAsia="宋体" w:cs="宋体"/>
                <w:spacing w:val="5"/>
                <w:sz w:val="24"/>
                <w:szCs w:val="24"/>
                <w:lang w:val="en-US" w:eastAsia="zh-CN"/>
              </w:rPr>
              <w:t>面积7359</w:t>
            </w:r>
            <w:r>
              <w:rPr>
                <w:rFonts w:hint="default" w:ascii="宋体" w:hAnsi="宋体" w:eastAsia="宋体" w:cs="宋体"/>
                <w:spacing w:val="5"/>
                <w:sz w:val="24"/>
                <w:szCs w:val="24"/>
                <w:lang w:val="en-US" w:eastAsia="zh-CN"/>
              </w:rPr>
              <w:t>公顷</w:t>
            </w:r>
            <w:r>
              <w:rPr>
                <w:rFonts w:hint="eastAsia" w:ascii="宋体" w:hAnsi="宋体" w:eastAsia="宋体" w:cs="宋体"/>
                <w:spacing w:val="5"/>
                <w:sz w:val="24"/>
                <w:szCs w:val="24"/>
                <w:lang w:val="en-US" w:eastAsia="zh-CN"/>
              </w:rPr>
              <w:t>。</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修复措施：</w:t>
            </w:r>
            <w:r>
              <w:rPr>
                <w:rFonts w:hint="eastAsia" w:ascii="宋体" w:hAnsi="宋体" w:eastAsia="宋体" w:cs="宋体"/>
                <w:spacing w:val="5"/>
                <w:sz w:val="24"/>
                <w:szCs w:val="24"/>
                <w:lang w:val="en-US" w:eastAsia="zh-CN"/>
              </w:rPr>
              <w:t>采用保育保护、自然恢复、辅助再生相结合的修复策略。在龙庆乡、五龙乡、大同街道办石漠化分布集中区，通过采取造林种草、陡坡耕地退耕还林还草、加强基本农田和配套小型水利建设，积极发展农村能源，改善农村人畜饮水条件以及对不具备基本生存条件的地区实施生态移民等措施对石漠化土地进行综合治理。</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建设时序：</w:t>
            </w:r>
            <w:r>
              <w:rPr>
                <w:rFonts w:hint="eastAsia" w:ascii="宋体" w:hAnsi="宋体" w:eastAsia="宋体" w:cs="宋体"/>
                <w:spacing w:val="5"/>
                <w:sz w:val="24"/>
                <w:szCs w:val="24"/>
                <w:lang w:val="en-US" w:eastAsia="zh-CN"/>
              </w:rPr>
              <w:t>2026-2035年。</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资金总投资：</w:t>
            </w:r>
            <w:r>
              <w:rPr>
                <w:rFonts w:hint="eastAsia" w:ascii="宋体" w:hAnsi="宋体" w:eastAsia="宋体" w:cs="宋体"/>
                <w:spacing w:val="5"/>
                <w:sz w:val="24"/>
                <w:szCs w:val="24"/>
                <w:lang w:val="en-US" w:eastAsia="zh-CN"/>
              </w:rPr>
              <w:t>5087.27万元。</w:t>
            </w:r>
          </w:p>
        </w:tc>
      </w:tr>
    </w:tbl>
    <w:p>
      <w:pPr>
        <w:keepNext w:val="0"/>
        <w:keepLines w:val="0"/>
        <w:widowControl/>
        <w:numPr>
          <w:ilvl w:val="0"/>
          <w:numId w:val="0"/>
        </w:numPr>
        <w:suppressLineNumbers w:val="0"/>
        <w:spacing w:line="360" w:lineRule="auto"/>
        <w:jc w:val="both"/>
        <w:outlineLvl w:val="9"/>
        <w:rPr>
          <w:rFonts w:hint="eastAsia" w:ascii="宋体" w:hAnsi="宋体" w:eastAsia="宋体" w:cs="宋体"/>
          <w:b/>
          <w:bCs/>
          <w:snapToGrid w:val="0"/>
          <w:color w:val="000000"/>
          <w:kern w:val="0"/>
          <w:sz w:val="28"/>
          <w:szCs w:val="28"/>
          <w:lang w:val="en-US" w:eastAsia="zh-CN" w:bidi="ar-SA"/>
        </w:rPr>
      </w:pPr>
    </w:p>
    <w:p>
      <w:pPr>
        <w:keepNext w:val="0"/>
        <w:keepLines w:val="0"/>
        <w:widowControl/>
        <w:numPr>
          <w:ilvl w:val="0"/>
          <w:numId w:val="0"/>
        </w:numPr>
        <w:suppressLineNumbers w:val="0"/>
        <w:spacing w:line="360" w:lineRule="auto"/>
        <w:ind w:firstLine="562" w:firstLineChars="200"/>
        <w:jc w:val="both"/>
        <w:outlineLvl w:val="3"/>
        <w:rPr>
          <w:rFonts w:hint="eastAsia" w:ascii="宋体" w:hAnsi="宋体" w:eastAsia="宋体" w:cs="宋体"/>
          <w:b/>
          <w:bCs/>
          <w:snapToGrid w:val="0"/>
          <w:color w:val="000000"/>
          <w:kern w:val="0"/>
          <w:sz w:val="28"/>
          <w:szCs w:val="28"/>
          <w:lang w:val="en-US" w:eastAsia="zh-CN" w:bidi="ar"/>
        </w:rPr>
      </w:pPr>
      <w:r>
        <w:rPr>
          <w:rFonts w:hint="eastAsia" w:ascii="宋体" w:hAnsi="宋体" w:eastAsia="宋体" w:cs="宋体"/>
          <w:b/>
          <w:bCs/>
          <w:snapToGrid w:val="0"/>
          <w:color w:val="000000"/>
          <w:kern w:val="0"/>
          <w:sz w:val="28"/>
          <w:szCs w:val="28"/>
          <w:lang w:val="en-US" w:eastAsia="zh-CN" w:bidi="ar"/>
        </w:rPr>
        <w:t>（四）水环境综合治理重点工程</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全面增强水资源涵养能力，对东风水库、溜子田水库、大堵水库三个较大的集中饮用水水源地，师宗丹凤湿地公园及其它骨干河流水库等重要区域生态环境进行修复与保护。以水环境治理为核心，重点推进河道清淤疏浚、加固，修建堤防、护脚、排洪管、排涝口、取水闸，两岸布置亲水台阶。同步开展河岸带与景观带修复，实施流域水污染防治及污水处理设施与管网建设。详见专栏6-4。</w:t>
      </w:r>
    </w:p>
    <w:tbl>
      <w:tblPr>
        <w:tblStyle w:val="2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526" w:type="dxa"/>
            <w:vAlign w:val="top"/>
          </w:tcPr>
          <w:p>
            <w:pPr>
              <w:keepNext w:val="0"/>
              <w:keepLines w:val="0"/>
              <w:pageBreakBefore w:val="0"/>
              <w:widowControl/>
              <w:kinsoku w:val="0"/>
              <w:wordWrap/>
              <w:overflowPunct/>
              <w:topLinePunct w:val="0"/>
              <w:autoSpaceDE w:val="0"/>
              <w:autoSpaceDN w:val="0"/>
              <w:bidi w:val="0"/>
              <w:adjustRightInd/>
              <w:snapToGrid/>
              <w:spacing w:line="360" w:lineRule="auto"/>
              <w:ind w:right="0" w:firstLine="510" w:firstLineChars="200"/>
              <w:jc w:val="both"/>
              <w:textAlignment w:val="baseline"/>
              <w:rPr>
                <w:rFonts w:hint="eastAsia" w:ascii="宋体" w:hAnsi="宋体" w:eastAsia="宋体" w:cs="宋体"/>
                <w:sz w:val="24"/>
                <w:szCs w:val="24"/>
              </w:rPr>
            </w:pPr>
            <w:r>
              <w:rPr>
                <w:rFonts w:hint="eastAsia" w:ascii="宋体" w:hAnsi="宋体" w:eastAsia="宋体" w:cs="宋体"/>
                <w:b/>
                <w:bCs/>
                <w:spacing w:val="7"/>
                <w:sz w:val="24"/>
                <w:szCs w:val="24"/>
              </w:rPr>
              <w:t>专栏</w:t>
            </w:r>
            <w:r>
              <w:rPr>
                <w:rFonts w:hint="eastAsia" w:ascii="宋体" w:hAnsi="宋体" w:eastAsia="宋体" w:cs="宋体"/>
                <w:b/>
                <w:bCs/>
                <w:spacing w:val="7"/>
                <w:sz w:val="24"/>
                <w:szCs w:val="24"/>
                <w:lang w:val="en-US" w:eastAsia="zh-CN"/>
              </w:rPr>
              <w:t>6-4</w:t>
            </w:r>
            <w:r>
              <w:rPr>
                <w:rFonts w:hint="eastAsia" w:ascii="宋体" w:hAnsi="宋体" w:eastAsia="宋体" w:cs="宋体"/>
                <w:b/>
                <w:bCs/>
                <w:spacing w:val="22"/>
                <w:w w:val="101"/>
                <w:sz w:val="24"/>
                <w:szCs w:val="24"/>
              </w:rPr>
              <w:t xml:space="preserve">   </w:t>
            </w:r>
            <w:r>
              <w:rPr>
                <w:rFonts w:hint="eastAsia" w:ascii="宋体" w:hAnsi="宋体" w:eastAsia="宋体" w:cs="宋体"/>
                <w:b/>
                <w:bCs/>
                <w:spacing w:val="22"/>
                <w:w w:val="101"/>
                <w:sz w:val="24"/>
                <w:szCs w:val="24"/>
                <w:lang w:val="en-US" w:eastAsia="zh-CN"/>
              </w:rPr>
              <w:t xml:space="preserve">      </w:t>
            </w:r>
            <w:r>
              <w:rPr>
                <w:rFonts w:hint="eastAsia" w:ascii="宋体" w:hAnsi="宋体" w:eastAsia="宋体" w:cs="宋体"/>
                <w:b/>
                <w:bCs/>
                <w:spacing w:val="7"/>
                <w:sz w:val="24"/>
                <w:szCs w:val="24"/>
              </w:rPr>
              <w:t>水</w:t>
            </w:r>
            <w:r>
              <w:rPr>
                <w:rFonts w:hint="eastAsia" w:ascii="宋体" w:hAnsi="宋体" w:eastAsia="宋体" w:cs="宋体"/>
                <w:b/>
                <w:bCs/>
                <w:spacing w:val="7"/>
                <w:sz w:val="24"/>
                <w:szCs w:val="24"/>
                <w:lang w:val="en-US" w:eastAsia="zh-CN"/>
              </w:rPr>
              <w:t>环境</w:t>
            </w:r>
            <w:r>
              <w:rPr>
                <w:rFonts w:hint="eastAsia" w:ascii="宋体" w:hAnsi="宋体" w:eastAsia="宋体" w:cs="宋体"/>
                <w:b/>
                <w:bCs/>
                <w:spacing w:val="7"/>
                <w:sz w:val="24"/>
                <w:szCs w:val="24"/>
              </w:rPr>
              <w:t>综合治理重点工程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2" w:hRule="atLeast"/>
        </w:trPr>
        <w:tc>
          <w:tcPr>
            <w:tcW w:w="8526" w:type="dxa"/>
            <w:vAlign w:val="top"/>
          </w:tcPr>
          <w:p>
            <w:pPr>
              <w:spacing w:before="19" w:line="360" w:lineRule="auto"/>
              <w:ind w:left="117" w:right="107" w:firstLine="434"/>
              <w:jc w:val="both"/>
              <w:rPr>
                <w:rFonts w:hint="eastAsia" w:ascii="宋体" w:hAnsi="宋体" w:eastAsia="宋体" w:cs="宋体"/>
                <w:b/>
                <w:bCs/>
                <w:spacing w:val="5"/>
                <w:sz w:val="24"/>
                <w:szCs w:val="24"/>
              </w:rPr>
            </w:pPr>
            <w:r>
              <w:rPr>
                <w:rFonts w:hint="eastAsia" w:ascii="宋体" w:hAnsi="宋体" w:eastAsia="宋体" w:cs="宋体"/>
                <w:b/>
                <w:bCs/>
                <w:spacing w:val="5"/>
                <w:sz w:val="24"/>
                <w:szCs w:val="24"/>
              </w:rPr>
              <w:t>1、水环境综合治理工程</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实施区域：</w:t>
            </w:r>
            <w:r>
              <w:rPr>
                <w:rFonts w:hint="eastAsia" w:ascii="宋体" w:hAnsi="宋体" w:eastAsia="宋体" w:cs="宋体"/>
                <w:spacing w:val="5"/>
                <w:sz w:val="24"/>
                <w:szCs w:val="24"/>
                <w:lang w:val="en-US" w:eastAsia="zh-CN"/>
              </w:rPr>
              <w:t>丹凤街道、漾月街道、大同街道、葵山镇、竹基镇、彩云镇。</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安排工程数量：</w:t>
            </w:r>
            <w:r>
              <w:rPr>
                <w:rFonts w:hint="eastAsia" w:ascii="宋体" w:hAnsi="宋体" w:eastAsia="宋体" w:cs="宋体"/>
                <w:spacing w:val="5"/>
                <w:sz w:val="24"/>
                <w:szCs w:val="24"/>
                <w:lang w:val="en-US" w:eastAsia="zh-CN"/>
              </w:rPr>
              <w:t>10个，分别是师宗县子午河天然湿地流域治理、师宗县通源河黑臭水体治理及改造绿化、师宗县千吨万人饮用水源径流区环境治理项目、师宗县子午河西舍古至响水段治理工程、师宗县污水处理厂尾水人工湿地水质净化工程、南盘江师宗县段干流及主要支入河排污口进行规范整治、师宗县者黑村农村黑臭水体整治工程、师宗县设里河鲁古至蚌古楼段治理工程、师宗县响水河西舍古至响水段治理工程、曲靖市九龙河师宗段河道治理工程。</w:t>
            </w:r>
          </w:p>
          <w:p>
            <w:pPr>
              <w:spacing w:before="19" w:line="360" w:lineRule="auto"/>
              <w:ind w:left="117" w:right="107" w:firstLine="434"/>
              <w:jc w:val="both"/>
              <w:rPr>
                <w:rFonts w:hint="default"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预期目标：</w:t>
            </w:r>
            <w:r>
              <w:rPr>
                <w:rFonts w:hint="eastAsia" w:ascii="宋体" w:hAnsi="宋体" w:eastAsia="宋体" w:cs="宋体"/>
                <w:spacing w:val="5"/>
                <w:sz w:val="24"/>
                <w:szCs w:val="24"/>
                <w:lang w:val="en-US" w:eastAsia="zh-CN"/>
              </w:rPr>
              <w:t>主要饮用水水源地、河流水库水生态环境明显改善。</w:t>
            </w:r>
          </w:p>
          <w:p>
            <w:pPr>
              <w:spacing w:before="19" w:line="360" w:lineRule="auto"/>
              <w:ind w:left="117" w:right="107" w:firstLine="434"/>
              <w:jc w:val="both"/>
              <w:rPr>
                <w:rFonts w:hint="default"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修复措施：</w:t>
            </w:r>
            <w:r>
              <w:rPr>
                <w:rFonts w:hint="eastAsia" w:ascii="宋体" w:hAnsi="宋体" w:eastAsia="宋体" w:cs="宋体"/>
                <w:spacing w:val="5"/>
                <w:sz w:val="24"/>
                <w:szCs w:val="24"/>
                <w:lang w:val="en-US" w:eastAsia="zh-CN"/>
              </w:rPr>
              <w:t>以水资源保护为重点，通过实施河道治理工程、农村黑臭水体整治工程、湿地公园水源涵养综合治理工程和污水处理厂尾水人工湿地水质净化工程建设，改善东风水库、溜子田水库、大堵水库三个较大的集中饮用水水源地、师宗丹凤湿地公园及其它骨干河流水库水生态环境和水域生态功能。</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建设时序：</w:t>
            </w:r>
            <w:r>
              <w:rPr>
                <w:rFonts w:hint="eastAsia" w:ascii="宋体" w:hAnsi="宋体" w:eastAsia="宋体" w:cs="宋体"/>
                <w:spacing w:val="5"/>
                <w:sz w:val="24"/>
                <w:szCs w:val="24"/>
                <w:lang w:val="en-US" w:eastAsia="zh-CN"/>
              </w:rPr>
              <w:t>2021-2026年。</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资金总投资：</w:t>
            </w:r>
            <w:r>
              <w:rPr>
                <w:rFonts w:hint="eastAsia" w:ascii="宋体" w:hAnsi="宋体" w:eastAsia="宋体" w:cs="宋体"/>
                <w:spacing w:val="5"/>
                <w:sz w:val="24"/>
                <w:szCs w:val="24"/>
                <w:lang w:val="en-US" w:eastAsia="zh-CN"/>
              </w:rPr>
              <w:t>203073万元。</w:t>
            </w:r>
          </w:p>
        </w:tc>
      </w:tr>
    </w:tbl>
    <w:p>
      <w:pPr>
        <w:keepNext w:val="0"/>
        <w:keepLines w:val="0"/>
        <w:widowControl/>
        <w:numPr>
          <w:ilvl w:val="0"/>
          <w:numId w:val="0"/>
        </w:numPr>
        <w:suppressLineNumbers w:val="0"/>
        <w:spacing w:line="360" w:lineRule="auto"/>
        <w:ind w:firstLine="562" w:firstLineChars="200"/>
        <w:jc w:val="both"/>
        <w:outlineLvl w:val="3"/>
        <w:rPr>
          <w:rFonts w:hint="eastAsia" w:ascii="宋体" w:hAnsi="宋体" w:eastAsia="宋体" w:cs="宋体"/>
          <w:b/>
          <w:bCs/>
          <w:snapToGrid w:val="0"/>
          <w:color w:val="000000"/>
          <w:kern w:val="0"/>
          <w:sz w:val="28"/>
          <w:szCs w:val="28"/>
          <w:lang w:val="en-US" w:eastAsia="zh-CN" w:bidi="ar"/>
        </w:rPr>
      </w:pPr>
      <w:r>
        <w:rPr>
          <w:rFonts w:hint="eastAsia" w:ascii="宋体" w:hAnsi="宋体" w:eastAsia="宋体" w:cs="宋体"/>
          <w:b/>
          <w:bCs/>
          <w:snapToGrid w:val="0"/>
          <w:color w:val="000000"/>
          <w:kern w:val="0"/>
          <w:sz w:val="28"/>
          <w:szCs w:val="28"/>
          <w:lang w:val="en-US" w:eastAsia="zh-CN" w:bidi="ar"/>
        </w:rPr>
        <w:t>（五）林草质量提升工程</w:t>
      </w:r>
    </w:p>
    <w:p>
      <w:pPr>
        <w:keepNext w:val="0"/>
        <w:keepLines w:val="0"/>
        <w:widowControl/>
        <w:suppressLineNumbers w:val="0"/>
        <w:spacing w:line="360" w:lineRule="auto"/>
        <w:ind w:firstLine="512" w:firstLineChars="200"/>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坚持保护优先、自然恢复为主、人工修复为辅的原则。以南盘江流域为中心，重点开展生态保育，以自然保护为主要功能导向，需强制性严格保护的区域，主要为生态保护红线划定区域，集中于云南师宗丁累大箐自然保护区和云南师宗南丹山风景名胜区等区域。提高南盘江两岸及大堵水库、东风水库区域森林水源涵养能力，提升森林生态系统水源涵养、水土保持和防风固沙功能。深化增草增林增绿治理，实施低产低效林改造和中幼龄林抚育工程，退化林修复、营造灌木林，提高森林质量，提高森林覆盖度，增加林木多样性。详见专栏6-5。</w:t>
      </w:r>
    </w:p>
    <w:tbl>
      <w:tblPr>
        <w:tblStyle w:val="2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526" w:type="dxa"/>
            <w:vAlign w:val="top"/>
          </w:tcPr>
          <w:p>
            <w:pPr>
              <w:spacing w:before="99" w:line="188" w:lineRule="auto"/>
              <w:ind w:firstLine="765" w:firstLineChars="300"/>
              <w:jc w:val="both"/>
              <w:rPr>
                <w:rFonts w:hint="eastAsia" w:ascii="宋体" w:hAnsi="宋体" w:eastAsia="宋体" w:cs="宋体"/>
                <w:sz w:val="28"/>
                <w:szCs w:val="28"/>
              </w:rPr>
            </w:pPr>
            <w:r>
              <w:rPr>
                <w:rFonts w:hint="eastAsia" w:ascii="宋体" w:hAnsi="宋体" w:eastAsia="宋体" w:cs="宋体"/>
                <w:b/>
                <w:bCs/>
                <w:spacing w:val="7"/>
                <w:sz w:val="24"/>
                <w:szCs w:val="24"/>
              </w:rPr>
              <w:t>专栏</w:t>
            </w:r>
            <w:r>
              <w:rPr>
                <w:rFonts w:hint="eastAsia" w:ascii="宋体" w:hAnsi="宋体" w:eastAsia="宋体" w:cs="宋体"/>
                <w:b/>
                <w:bCs/>
                <w:spacing w:val="7"/>
                <w:sz w:val="24"/>
                <w:szCs w:val="24"/>
                <w:lang w:val="en-US" w:eastAsia="zh-CN"/>
              </w:rPr>
              <w:t>6-5</w:t>
            </w:r>
            <w:r>
              <w:rPr>
                <w:rFonts w:hint="eastAsia" w:ascii="宋体" w:hAnsi="宋体" w:eastAsia="宋体" w:cs="宋体"/>
                <w:b/>
                <w:bCs/>
                <w:spacing w:val="7"/>
                <w:sz w:val="24"/>
                <w:szCs w:val="24"/>
              </w:rPr>
              <w:t xml:space="preserve">   </w:t>
            </w:r>
            <w:r>
              <w:rPr>
                <w:rFonts w:hint="eastAsia" w:ascii="宋体" w:hAnsi="宋体" w:eastAsia="宋体" w:cs="宋体"/>
                <w:b/>
                <w:bCs/>
                <w:spacing w:val="7"/>
                <w:sz w:val="24"/>
                <w:szCs w:val="24"/>
                <w:lang w:val="en-US" w:eastAsia="zh-CN"/>
              </w:rPr>
              <w:t xml:space="preserve">       林草质量提升</w:t>
            </w:r>
            <w:r>
              <w:rPr>
                <w:rFonts w:hint="eastAsia" w:ascii="宋体" w:hAnsi="宋体" w:eastAsia="宋体" w:cs="宋体"/>
                <w:b/>
                <w:bCs/>
                <w:spacing w:val="7"/>
                <w:sz w:val="24"/>
                <w:szCs w:val="24"/>
              </w:rPr>
              <w:t>重点工程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2" w:hRule="atLeast"/>
        </w:trPr>
        <w:tc>
          <w:tcPr>
            <w:tcW w:w="8526" w:type="dxa"/>
            <w:vAlign w:val="top"/>
          </w:tcPr>
          <w:p>
            <w:pPr>
              <w:spacing w:before="19" w:line="360" w:lineRule="auto"/>
              <w:ind w:left="117" w:right="107" w:firstLine="434"/>
              <w:jc w:val="both"/>
              <w:rPr>
                <w:rFonts w:hint="eastAsia" w:ascii="宋体" w:hAnsi="宋体" w:eastAsia="宋体" w:cs="宋体"/>
                <w:b/>
                <w:bCs/>
                <w:spacing w:val="5"/>
                <w:sz w:val="24"/>
                <w:szCs w:val="24"/>
                <w:lang w:val="en-US" w:eastAsia="zh-CN"/>
              </w:rPr>
            </w:pPr>
            <w:r>
              <w:rPr>
                <w:rFonts w:hint="eastAsia" w:ascii="宋体" w:hAnsi="宋体" w:eastAsia="宋体" w:cs="宋体"/>
                <w:b/>
                <w:bCs/>
                <w:spacing w:val="5"/>
                <w:sz w:val="24"/>
                <w:szCs w:val="24"/>
                <w:lang w:val="en-US" w:eastAsia="zh-CN"/>
              </w:rPr>
              <w:t>1、公益林管护工程</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实施区域：</w:t>
            </w:r>
            <w:r>
              <w:rPr>
                <w:rFonts w:hint="eastAsia" w:ascii="宋体" w:hAnsi="宋体" w:eastAsia="宋体" w:cs="宋体"/>
                <w:spacing w:val="-12"/>
                <w:sz w:val="28"/>
                <w:szCs w:val="28"/>
                <w:lang w:val="en-US" w:eastAsia="zh-CN"/>
              </w:rPr>
              <w:t>龙庆乡、五龙乡、高良乡</w:t>
            </w:r>
            <w:r>
              <w:rPr>
                <w:rFonts w:hint="eastAsia" w:ascii="宋体" w:hAnsi="宋体" w:eastAsia="宋体" w:cs="宋体"/>
                <w:spacing w:val="5"/>
                <w:sz w:val="24"/>
                <w:szCs w:val="24"/>
                <w:lang w:val="en-US" w:eastAsia="zh-CN"/>
              </w:rPr>
              <w:t>。</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安排工程数量：</w:t>
            </w:r>
            <w:r>
              <w:rPr>
                <w:rFonts w:hint="eastAsia" w:ascii="宋体" w:hAnsi="宋体" w:eastAsia="宋体" w:cs="宋体"/>
                <w:spacing w:val="5"/>
                <w:sz w:val="24"/>
                <w:szCs w:val="24"/>
                <w:lang w:val="en-US" w:eastAsia="zh-CN"/>
              </w:rPr>
              <w:t>1个，即公益林管护工程。</w:t>
            </w:r>
          </w:p>
          <w:p>
            <w:pPr>
              <w:spacing w:before="19" w:line="360" w:lineRule="auto"/>
              <w:ind w:left="117" w:right="107" w:firstLine="434"/>
              <w:jc w:val="both"/>
              <w:rPr>
                <w:rFonts w:hint="default"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预期目标：</w:t>
            </w:r>
            <w:r>
              <w:rPr>
                <w:rFonts w:hint="eastAsia" w:ascii="宋体" w:hAnsi="宋体" w:eastAsia="宋体" w:cs="宋体"/>
                <w:snapToGrid w:val="0"/>
                <w:color w:val="000000"/>
                <w:spacing w:val="5"/>
                <w:kern w:val="0"/>
                <w:sz w:val="24"/>
                <w:szCs w:val="24"/>
                <w:lang w:val="en-US" w:eastAsia="zh-CN" w:bidi="ar-SA"/>
              </w:rPr>
              <w:t>保护森林资源面积共计55593.33公顷。</w:t>
            </w:r>
          </w:p>
          <w:p>
            <w:pPr>
              <w:pStyle w:val="44"/>
              <w:spacing w:line="360" w:lineRule="auto"/>
              <w:ind w:left="102" w:right="0" w:firstLine="502" w:firstLineChars="200"/>
              <w:jc w:val="left"/>
              <w:rPr>
                <w:rFonts w:hint="eastAsia" w:ascii="宋体" w:hAnsi="宋体" w:eastAsia="宋体" w:cs="宋体"/>
                <w:snapToGrid w:val="0"/>
                <w:color w:val="000000"/>
                <w:spacing w:val="5"/>
                <w:kern w:val="0"/>
                <w:sz w:val="24"/>
                <w:szCs w:val="24"/>
                <w:lang w:val="en-US" w:eastAsia="zh-CN" w:bidi="ar-SA"/>
              </w:rPr>
            </w:pPr>
            <w:r>
              <w:rPr>
                <w:rFonts w:hint="eastAsia" w:ascii="宋体" w:hAnsi="宋体" w:eastAsia="宋体" w:cs="宋体"/>
                <w:b/>
                <w:bCs/>
                <w:spacing w:val="5"/>
                <w:sz w:val="24"/>
                <w:szCs w:val="24"/>
                <w:lang w:val="en-US" w:eastAsia="zh-CN"/>
              </w:rPr>
              <w:t>修复措施：</w:t>
            </w:r>
            <w:r>
              <w:rPr>
                <w:rFonts w:hint="eastAsia" w:ascii="宋体" w:hAnsi="宋体" w:eastAsia="宋体" w:cs="宋体"/>
                <w:snapToGrid w:val="0"/>
                <w:color w:val="000000"/>
                <w:spacing w:val="5"/>
                <w:kern w:val="0"/>
                <w:sz w:val="24"/>
                <w:szCs w:val="24"/>
                <w:lang w:val="en-US" w:eastAsia="zh-CN" w:bidi="ar-SA"/>
              </w:rPr>
              <w:t>建立与天然林保护工程统一的森林管护体系，规范和加强公益林管理工作，落实公益林生态效益补偿措施，及时兑现政策补助，充分发挥公益林的生态效益、社会效益和经济效益。对师宗县公益林保护工程进行规划，完善生态公益林保护制度，全面保护森林资源，保护面积共计55593.33公顷；引入公益林信息化管理系统，实现对生态公益林数据的管理与维护。</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建设时序：</w:t>
            </w:r>
            <w:r>
              <w:rPr>
                <w:rFonts w:hint="eastAsia" w:ascii="宋体" w:hAnsi="宋体" w:eastAsia="宋体" w:cs="宋体"/>
                <w:spacing w:val="5"/>
                <w:sz w:val="24"/>
                <w:szCs w:val="24"/>
                <w:lang w:val="en-US" w:eastAsia="zh-CN"/>
              </w:rPr>
              <w:t>2021-2030年。</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资金总投资：</w:t>
            </w:r>
            <w:r>
              <w:rPr>
                <w:rFonts w:hint="eastAsia" w:ascii="宋体" w:hAnsi="宋体" w:eastAsia="宋体" w:cs="宋体"/>
                <w:spacing w:val="5"/>
                <w:sz w:val="24"/>
                <w:szCs w:val="24"/>
                <w:lang w:val="en-US" w:eastAsia="zh-CN"/>
              </w:rPr>
              <w:t>1000万元。</w:t>
            </w:r>
          </w:p>
          <w:p>
            <w:pPr>
              <w:spacing w:before="19" w:line="360" w:lineRule="auto"/>
              <w:ind w:left="117" w:right="107" w:firstLine="434"/>
              <w:jc w:val="both"/>
              <w:rPr>
                <w:rFonts w:hint="eastAsia" w:ascii="宋体" w:hAnsi="宋体" w:eastAsia="宋体" w:cs="宋体"/>
                <w:b/>
                <w:bCs/>
                <w:spacing w:val="5"/>
                <w:sz w:val="24"/>
                <w:szCs w:val="24"/>
                <w:lang w:val="en-US" w:eastAsia="zh-CN"/>
              </w:rPr>
            </w:pPr>
            <w:r>
              <w:rPr>
                <w:rFonts w:hint="eastAsia" w:ascii="宋体" w:hAnsi="宋体" w:eastAsia="宋体" w:cs="宋体"/>
                <w:b/>
                <w:bCs/>
                <w:spacing w:val="5"/>
                <w:sz w:val="24"/>
                <w:szCs w:val="24"/>
                <w:lang w:val="en-US" w:eastAsia="zh-CN"/>
              </w:rPr>
              <w:t>2、城乡面山植被恢复工程</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实施区域：</w:t>
            </w:r>
            <w:r>
              <w:rPr>
                <w:rFonts w:hint="eastAsia" w:ascii="宋体" w:hAnsi="宋体" w:eastAsia="宋体" w:cs="宋体"/>
                <w:snapToGrid w:val="0"/>
                <w:color w:val="000000"/>
                <w:spacing w:val="5"/>
                <w:kern w:val="0"/>
                <w:sz w:val="24"/>
                <w:szCs w:val="24"/>
                <w:lang w:val="en-US" w:eastAsia="zh-CN" w:bidi="ar-SA"/>
              </w:rPr>
              <w:t>漾月街道、丹凤街道。</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安排工程数量：</w:t>
            </w:r>
            <w:r>
              <w:rPr>
                <w:rFonts w:hint="eastAsia" w:ascii="宋体" w:hAnsi="宋体" w:eastAsia="宋体" w:cs="宋体"/>
                <w:spacing w:val="5"/>
                <w:sz w:val="24"/>
                <w:szCs w:val="24"/>
                <w:lang w:val="en-US" w:eastAsia="zh-CN"/>
              </w:rPr>
              <w:t>1个，即城乡面山植被恢复工程。</w:t>
            </w:r>
          </w:p>
          <w:p>
            <w:pPr>
              <w:pStyle w:val="44"/>
              <w:spacing w:line="360" w:lineRule="auto"/>
              <w:ind w:left="102" w:right="0" w:firstLine="502" w:firstLineChars="200"/>
              <w:jc w:val="left"/>
              <w:rPr>
                <w:rFonts w:hint="default" w:ascii="宋体" w:hAnsi="宋体" w:eastAsia="宋体" w:cs="宋体"/>
                <w:snapToGrid w:val="0"/>
                <w:color w:val="000000"/>
                <w:spacing w:val="5"/>
                <w:kern w:val="0"/>
                <w:sz w:val="24"/>
                <w:szCs w:val="24"/>
                <w:lang w:val="en-US" w:eastAsia="zh-CN" w:bidi="ar-SA"/>
              </w:rPr>
            </w:pPr>
            <w:r>
              <w:rPr>
                <w:rFonts w:hint="eastAsia" w:ascii="宋体" w:hAnsi="宋体" w:eastAsia="宋体" w:cs="宋体"/>
                <w:b/>
                <w:bCs/>
                <w:spacing w:val="5"/>
                <w:sz w:val="24"/>
                <w:szCs w:val="24"/>
                <w:lang w:val="en-US" w:eastAsia="zh-CN"/>
              </w:rPr>
              <w:t>预期目</w:t>
            </w:r>
            <w:r>
              <w:rPr>
                <w:rFonts w:hint="eastAsia" w:ascii="宋体" w:hAnsi="宋体" w:eastAsia="宋体" w:cs="宋体"/>
                <w:b/>
                <w:bCs/>
                <w:snapToGrid w:val="0"/>
                <w:color w:val="000000"/>
                <w:spacing w:val="5"/>
                <w:kern w:val="0"/>
                <w:sz w:val="24"/>
                <w:szCs w:val="24"/>
                <w:lang w:val="en-US" w:eastAsia="zh-CN" w:bidi="ar-SA"/>
              </w:rPr>
              <w:t>标</w:t>
            </w:r>
            <w:r>
              <w:rPr>
                <w:rFonts w:hint="eastAsia" w:ascii="宋体" w:hAnsi="宋体" w:eastAsia="宋体" w:cs="宋体"/>
                <w:snapToGrid w:val="0"/>
                <w:color w:val="000000"/>
                <w:spacing w:val="5"/>
                <w:kern w:val="0"/>
                <w:sz w:val="24"/>
                <w:szCs w:val="24"/>
                <w:lang w:val="en-US" w:eastAsia="zh-CN" w:bidi="ar-SA"/>
              </w:rPr>
              <w:t>：保护山体原有森林植被，改造林相，提高森林覆盖率和物种多样性，构筑城市绿色生态屏障。</w:t>
            </w:r>
          </w:p>
          <w:p>
            <w:pPr>
              <w:pStyle w:val="44"/>
              <w:spacing w:line="360" w:lineRule="auto"/>
              <w:ind w:left="102" w:right="0" w:firstLine="500" w:firstLineChars="200"/>
              <w:jc w:val="left"/>
              <w:rPr>
                <w:rFonts w:hint="eastAsia" w:ascii="宋体" w:hAnsi="宋体" w:eastAsia="宋体" w:cs="宋体"/>
                <w:spacing w:val="5"/>
                <w:sz w:val="24"/>
                <w:szCs w:val="24"/>
                <w:lang w:val="en-US" w:eastAsia="zh-CN"/>
              </w:rPr>
            </w:pPr>
            <w:r>
              <w:rPr>
                <w:rFonts w:hint="eastAsia" w:ascii="宋体" w:hAnsi="宋体" w:eastAsia="宋体" w:cs="宋体"/>
                <w:snapToGrid w:val="0"/>
                <w:color w:val="000000"/>
                <w:spacing w:val="5"/>
                <w:kern w:val="0"/>
                <w:sz w:val="24"/>
                <w:szCs w:val="24"/>
                <w:lang w:val="en-US" w:eastAsia="zh-CN" w:bidi="ar-SA"/>
              </w:rPr>
              <w:t>修复措施：对师宗县城镇面山植被恢复工程进行规划；通过封山育林和植苗的造林方式，规划恢复面</w:t>
            </w:r>
            <w:r>
              <w:rPr>
                <w:rFonts w:hint="eastAsia" w:ascii="宋体" w:hAnsi="宋体" w:eastAsia="宋体" w:cs="宋体"/>
                <w:spacing w:val="5"/>
                <w:sz w:val="24"/>
                <w:szCs w:val="24"/>
                <w:lang w:val="en-US" w:eastAsia="zh-CN"/>
              </w:rPr>
              <w:t>山植被100公顷。</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建设时序：</w:t>
            </w:r>
            <w:r>
              <w:rPr>
                <w:rFonts w:hint="eastAsia" w:ascii="宋体" w:hAnsi="宋体" w:eastAsia="宋体" w:cs="宋体"/>
                <w:spacing w:val="5"/>
                <w:sz w:val="24"/>
                <w:szCs w:val="24"/>
                <w:lang w:val="en-US" w:eastAsia="zh-CN"/>
              </w:rPr>
              <w:t>2021-2030年。</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资金总投资：</w:t>
            </w:r>
            <w:r>
              <w:rPr>
                <w:rFonts w:hint="eastAsia" w:ascii="宋体" w:hAnsi="宋体" w:eastAsia="宋体" w:cs="宋体"/>
                <w:spacing w:val="5"/>
                <w:sz w:val="24"/>
                <w:szCs w:val="24"/>
                <w:lang w:val="en-US" w:eastAsia="zh-CN"/>
              </w:rPr>
              <w:t>500万元</w:t>
            </w:r>
          </w:p>
          <w:p>
            <w:pPr>
              <w:spacing w:before="19" w:line="360" w:lineRule="auto"/>
              <w:ind w:left="117" w:right="107" w:firstLine="434"/>
              <w:jc w:val="both"/>
              <w:rPr>
                <w:rFonts w:hint="eastAsia" w:ascii="宋体" w:hAnsi="宋体" w:eastAsia="宋体" w:cs="宋体"/>
                <w:b/>
                <w:bCs/>
                <w:spacing w:val="5"/>
                <w:sz w:val="24"/>
                <w:szCs w:val="24"/>
                <w:lang w:val="en-US" w:eastAsia="zh-CN"/>
              </w:rPr>
            </w:pPr>
            <w:r>
              <w:rPr>
                <w:rFonts w:hint="eastAsia" w:ascii="宋体" w:hAnsi="宋体" w:eastAsia="宋体" w:cs="宋体"/>
                <w:b/>
                <w:bCs/>
                <w:spacing w:val="5"/>
                <w:sz w:val="24"/>
                <w:szCs w:val="24"/>
                <w:lang w:val="en-US" w:eastAsia="zh-CN"/>
              </w:rPr>
              <w:t>3、水源涵养林建设工程</w:t>
            </w:r>
          </w:p>
          <w:p>
            <w:pPr>
              <w:spacing w:before="19" w:line="360" w:lineRule="auto"/>
              <w:ind w:left="117" w:right="107" w:firstLine="434"/>
              <w:jc w:val="both"/>
              <w:rPr>
                <w:rFonts w:hint="eastAsia" w:ascii="宋体" w:hAnsi="宋体" w:eastAsia="宋体" w:cs="宋体"/>
                <w:snapToGrid w:val="0"/>
                <w:color w:val="000000"/>
                <w:spacing w:val="5"/>
                <w:kern w:val="0"/>
                <w:sz w:val="24"/>
                <w:szCs w:val="24"/>
                <w:lang w:val="en-US" w:eastAsia="zh-CN" w:bidi="ar-SA"/>
              </w:rPr>
            </w:pPr>
            <w:r>
              <w:rPr>
                <w:rFonts w:hint="eastAsia" w:ascii="宋体" w:hAnsi="宋体" w:eastAsia="宋体" w:cs="宋体"/>
                <w:b/>
                <w:bCs/>
                <w:spacing w:val="5"/>
                <w:sz w:val="24"/>
                <w:szCs w:val="24"/>
                <w:lang w:val="en-US" w:eastAsia="zh-CN"/>
              </w:rPr>
              <w:t>实施区域：</w:t>
            </w:r>
            <w:r>
              <w:rPr>
                <w:rFonts w:hint="eastAsia" w:ascii="宋体" w:hAnsi="宋体" w:eastAsia="宋体" w:cs="宋体"/>
                <w:snapToGrid w:val="0"/>
                <w:color w:val="000000"/>
                <w:spacing w:val="5"/>
                <w:kern w:val="0"/>
                <w:sz w:val="24"/>
                <w:szCs w:val="24"/>
                <w:lang w:val="en-US" w:eastAsia="zh-CN" w:bidi="ar-SA"/>
              </w:rPr>
              <w:t>丹凤街道大堵村；竹基镇，涉及竹基、斗坞、坞白、蒲草塘；雄壁镇的束岗、扯乐、小黑纳等村委会。</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安排工程数量：</w:t>
            </w:r>
            <w:r>
              <w:rPr>
                <w:rFonts w:hint="eastAsia" w:ascii="宋体" w:hAnsi="宋体" w:eastAsia="宋体" w:cs="宋体"/>
                <w:spacing w:val="5"/>
                <w:sz w:val="24"/>
                <w:szCs w:val="24"/>
                <w:lang w:val="en-US" w:eastAsia="zh-CN"/>
              </w:rPr>
              <w:t>1个，即水源涵养林建设工程。</w:t>
            </w:r>
          </w:p>
          <w:p>
            <w:pPr>
              <w:spacing w:before="19" w:line="360" w:lineRule="auto"/>
              <w:ind w:left="117" w:right="107" w:firstLine="434"/>
              <w:jc w:val="both"/>
              <w:rPr>
                <w:rFonts w:hint="default"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预期目标：</w:t>
            </w:r>
            <w:r>
              <w:rPr>
                <w:rFonts w:hint="eastAsia" w:ascii="宋体" w:hAnsi="宋体" w:eastAsia="宋体" w:cs="宋体"/>
                <w:snapToGrid w:val="0"/>
                <w:color w:val="000000"/>
                <w:spacing w:val="5"/>
                <w:kern w:val="0"/>
                <w:sz w:val="24"/>
                <w:szCs w:val="24"/>
                <w:lang w:val="en-US" w:eastAsia="zh-CN" w:bidi="ar-SA"/>
              </w:rPr>
              <w:t>建设或提升改造水源涵养林面积共计100公顷。</w:t>
            </w:r>
          </w:p>
          <w:p>
            <w:pPr>
              <w:pStyle w:val="44"/>
              <w:spacing w:line="360" w:lineRule="auto"/>
              <w:ind w:left="102" w:right="0" w:firstLine="502" w:firstLineChars="200"/>
              <w:jc w:val="left"/>
              <w:rPr>
                <w:rFonts w:hint="eastAsia" w:ascii="宋体" w:hAnsi="宋体" w:eastAsia="宋体" w:cs="宋体"/>
                <w:snapToGrid w:val="0"/>
                <w:color w:val="000000"/>
                <w:spacing w:val="5"/>
                <w:kern w:val="0"/>
                <w:sz w:val="24"/>
                <w:szCs w:val="24"/>
                <w:lang w:val="en-US" w:eastAsia="zh-CN" w:bidi="ar-SA"/>
              </w:rPr>
            </w:pPr>
            <w:r>
              <w:rPr>
                <w:rFonts w:hint="eastAsia" w:ascii="宋体" w:hAnsi="宋体" w:eastAsia="宋体" w:cs="宋体"/>
                <w:b/>
                <w:bCs/>
                <w:spacing w:val="5"/>
                <w:sz w:val="24"/>
                <w:szCs w:val="24"/>
                <w:lang w:val="en-US" w:eastAsia="zh-CN"/>
              </w:rPr>
              <w:t>修复措施：</w:t>
            </w:r>
            <w:r>
              <w:rPr>
                <w:rFonts w:hint="eastAsia" w:ascii="宋体" w:hAnsi="宋体" w:eastAsia="宋体" w:cs="宋体"/>
                <w:snapToGrid w:val="0"/>
                <w:color w:val="000000"/>
                <w:spacing w:val="5"/>
                <w:kern w:val="0"/>
                <w:sz w:val="24"/>
                <w:szCs w:val="24"/>
                <w:lang w:val="en-US" w:eastAsia="zh-CN" w:bidi="ar-SA"/>
              </w:rPr>
              <w:t>完成大堵水库、东风水库水源涵养林建设和提升工程作业设计；建设或提升改造水源涵养林面积共计100公顷；完善饮用水源地保护设施，设立防护网、界桩、保护标志。</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建设时序：</w:t>
            </w:r>
            <w:r>
              <w:rPr>
                <w:rFonts w:hint="eastAsia" w:ascii="宋体" w:hAnsi="宋体" w:eastAsia="宋体" w:cs="宋体"/>
                <w:spacing w:val="5"/>
                <w:sz w:val="24"/>
                <w:szCs w:val="24"/>
                <w:lang w:val="en-US" w:eastAsia="zh-CN"/>
              </w:rPr>
              <w:t>2021-2030年。</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资金总投资：</w:t>
            </w:r>
            <w:r>
              <w:rPr>
                <w:rFonts w:hint="eastAsia" w:ascii="宋体" w:hAnsi="宋体" w:eastAsia="宋体" w:cs="宋体"/>
                <w:spacing w:val="5"/>
                <w:sz w:val="24"/>
                <w:szCs w:val="24"/>
                <w:lang w:val="en-US" w:eastAsia="zh-CN"/>
              </w:rPr>
              <w:t>600万元。</w:t>
            </w:r>
          </w:p>
        </w:tc>
      </w:tr>
    </w:tbl>
    <w:p>
      <w:pPr>
        <w:pStyle w:val="9"/>
        <w:jc w:val="both"/>
        <w:outlineLvl w:val="9"/>
        <w:rPr>
          <w:rFonts w:hint="eastAsia" w:ascii="宋体" w:hAnsi="宋体" w:eastAsia="宋体" w:cs="宋体"/>
          <w:sz w:val="28"/>
          <w:szCs w:val="28"/>
          <w:lang w:val="en-US" w:eastAsia="zh-CN"/>
        </w:rPr>
      </w:pPr>
    </w:p>
    <w:p>
      <w:pPr>
        <w:keepNext w:val="0"/>
        <w:keepLines w:val="0"/>
        <w:widowControl/>
        <w:numPr>
          <w:ilvl w:val="0"/>
          <w:numId w:val="0"/>
        </w:numPr>
        <w:suppressLineNumbers w:val="0"/>
        <w:spacing w:line="360" w:lineRule="auto"/>
        <w:ind w:firstLine="562" w:firstLineChars="200"/>
        <w:jc w:val="both"/>
        <w:outlineLvl w:val="3"/>
        <w:rPr>
          <w:rFonts w:hint="eastAsia" w:ascii="宋体" w:hAnsi="宋体" w:eastAsia="宋体" w:cs="宋体"/>
          <w:sz w:val="28"/>
          <w:szCs w:val="28"/>
          <w:lang w:val="en-US" w:eastAsia="zh-CN"/>
        </w:rPr>
      </w:pPr>
      <w:r>
        <w:rPr>
          <w:rFonts w:hint="eastAsia" w:ascii="宋体" w:hAnsi="宋体" w:eastAsia="宋体" w:cs="宋体"/>
          <w:b/>
          <w:bCs/>
          <w:snapToGrid w:val="0"/>
          <w:color w:val="000000"/>
          <w:kern w:val="0"/>
          <w:sz w:val="28"/>
          <w:szCs w:val="28"/>
          <w:lang w:val="en-US" w:eastAsia="zh-CN" w:bidi="ar"/>
        </w:rPr>
        <w:t>（六）生物多样性保护重点工程</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开展生物多样性保护宣传与教育工程、珍稀濒危物种野外救护与繁育工程，实施公益林管护工程，开展南盘江重点流域水生态监测，完善湿地公园的保护，提高南盘江两岸森林的水源涵养能力。加强对师宗南丹山风景名胜区和师宗丁累大箐自然保护区</w:t>
      </w:r>
      <w:r>
        <w:rPr>
          <w:rFonts w:hint="eastAsia" w:ascii="宋体" w:hAnsi="宋体" w:eastAsia="宋体" w:cs="宋体"/>
          <w:b w:val="0"/>
          <w:bCs w:val="0"/>
          <w:snapToGrid w:val="0"/>
          <w:color w:val="000000"/>
          <w:spacing w:val="-12"/>
          <w:kern w:val="0"/>
          <w:sz w:val="28"/>
          <w:szCs w:val="28"/>
          <w:lang w:val="en-US" w:eastAsia="zh-CN" w:bidi="ar-SA"/>
        </w:rPr>
        <w:t>的保护，</w:t>
      </w:r>
      <w:r>
        <w:rPr>
          <w:rFonts w:hint="eastAsia" w:ascii="宋体" w:hAnsi="宋体" w:eastAsia="宋体" w:cs="宋体"/>
          <w:spacing w:val="-12"/>
          <w:sz w:val="28"/>
          <w:szCs w:val="28"/>
          <w:lang w:val="en-US" w:eastAsia="zh-CN"/>
        </w:rPr>
        <w:t>营造野生动植物栖息地及自然生境从而更好地维护该区域生物多样性。详见专栏6-6。</w:t>
      </w:r>
    </w:p>
    <w:tbl>
      <w:tblPr>
        <w:tblStyle w:val="2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8526" w:type="dxa"/>
            <w:vAlign w:val="top"/>
          </w:tcPr>
          <w:p>
            <w:pPr>
              <w:spacing w:before="99" w:line="188" w:lineRule="auto"/>
              <w:ind w:firstLine="765" w:firstLineChars="300"/>
              <w:jc w:val="both"/>
              <w:rPr>
                <w:rFonts w:hint="eastAsia" w:ascii="宋体" w:hAnsi="宋体" w:eastAsia="宋体" w:cs="宋体"/>
                <w:sz w:val="28"/>
                <w:szCs w:val="28"/>
              </w:rPr>
            </w:pPr>
            <w:r>
              <w:rPr>
                <w:rFonts w:hint="eastAsia" w:ascii="宋体" w:hAnsi="宋体" w:eastAsia="宋体" w:cs="宋体"/>
                <w:b/>
                <w:bCs/>
                <w:spacing w:val="7"/>
                <w:sz w:val="24"/>
                <w:szCs w:val="24"/>
              </w:rPr>
              <w:t>专栏</w:t>
            </w:r>
            <w:r>
              <w:rPr>
                <w:rFonts w:hint="eastAsia" w:ascii="宋体" w:hAnsi="宋体" w:eastAsia="宋体" w:cs="宋体"/>
                <w:b/>
                <w:bCs/>
                <w:spacing w:val="7"/>
                <w:sz w:val="24"/>
                <w:szCs w:val="24"/>
                <w:lang w:val="en-US" w:eastAsia="zh-CN"/>
              </w:rPr>
              <w:t>6-6</w:t>
            </w:r>
            <w:r>
              <w:rPr>
                <w:rFonts w:hint="eastAsia" w:ascii="宋体" w:hAnsi="宋体" w:eastAsia="宋体" w:cs="宋体"/>
                <w:b/>
                <w:bCs/>
                <w:spacing w:val="7"/>
                <w:sz w:val="24"/>
                <w:szCs w:val="24"/>
              </w:rPr>
              <w:t xml:space="preserve">   </w:t>
            </w:r>
            <w:r>
              <w:rPr>
                <w:rFonts w:hint="eastAsia" w:ascii="宋体" w:hAnsi="宋体" w:eastAsia="宋体" w:cs="宋体"/>
                <w:b/>
                <w:bCs/>
                <w:spacing w:val="7"/>
                <w:sz w:val="24"/>
                <w:szCs w:val="24"/>
                <w:lang w:val="en-US" w:eastAsia="zh-CN"/>
              </w:rPr>
              <w:t xml:space="preserve">       </w:t>
            </w:r>
            <w:r>
              <w:rPr>
                <w:rFonts w:hint="eastAsia" w:ascii="宋体" w:hAnsi="宋体" w:eastAsia="宋体" w:cs="宋体"/>
                <w:b/>
                <w:bCs/>
                <w:spacing w:val="7"/>
                <w:sz w:val="24"/>
                <w:szCs w:val="24"/>
              </w:rPr>
              <w:t>生物多样性保护重点工程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2" w:hRule="atLeast"/>
        </w:trPr>
        <w:tc>
          <w:tcPr>
            <w:tcW w:w="8526" w:type="dxa"/>
            <w:vAlign w:val="top"/>
          </w:tcPr>
          <w:p>
            <w:pPr>
              <w:spacing w:before="19" w:line="360" w:lineRule="auto"/>
              <w:ind w:left="117" w:right="107" w:firstLine="434"/>
              <w:jc w:val="both"/>
              <w:rPr>
                <w:rFonts w:hint="eastAsia" w:ascii="宋体" w:hAnsi="宋体" w:eastAsia="宋体" w:cs="宋体"/>
                <w:b/>
                <w:bCs/>
                <w:spacing w:val="5"/>
                <w:sz w:val="24"/>
                <w:szCs w:val="24"/>
                <w:lang w:val="en-US" w:eastAsia="zh-CN"/>
              </w:rPr>
            </w:pPr>
            <w:r>
              <w:rPr>
                <w:rFonts w:hint="eastAsia" w:ascii="宋体" w:hAnsi="宋体" w:eastAsia="宋体" w:cs="宋体"/>
                <w:b/>
                <w:bCs/>
                <w:spacing w:val="5"/>
                <w:sz w:val="24"/>
                <w:szCs w:val="24"/>
                <w:lang w:val="en-US" w:eastAsia="zh-CN"/>
              </w:rPr>
              <w:t>1、生物多样性保护重点</w:t>
            </w:r>
            <w:r>
              <w:rPr>
                <w:rFonts w:hint="eastAsia" w:ascii="宋体" w:hAnsi="宋体" w:eastAsia="宋体" w:cs="宋体"/>
                <w:b/>
                <w:bCs/>
                <w:spacing w:val="5"/>
                <w:sz w:val="24"/>
                <w:szCs w:val="24"/>
              </w:rPr>
              <w:t>工程</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实施区域：</w:t>
            </w:r>
            <w:r>
              <w:rPr>
                <w:rFonts w:hint="eastAsia" w:ascii="宋体" w:hAnsi="宋体" w:eastAsia="宋体" w:cs="宋体"/>
                <w:spacing w:val="5"/>
                <w:sz w:val="24"/>
                <w:szCs w:val="24"/>
                <w:lang w:val="en-US" w:eastAsia="zh-CN"/>
              </w:rPr>
              <w:t>龙庆乡、五龙乡、高良乡、漾月街道。</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安排工程数量：</w:t>
            </w:r>
            <w:r>
              <w:rPr>
                <w:rFonts w:hint="eastAsia" w:ascii="宋体" w:hAnsi="宋体" w:eastAsia="宋体" w:cs="宋体"/>
                <w:spacing w:val="5"/>
                <w:sz w:val="24"/>
                <w:szCs w:val="24"/>
                <w:lang w:val="en-US" w:eastAsia="zh-CN"/>
              </w:rPr>
              <w:t>10个，分别是生物多样性保护宣传与教育工程、生物多样性数据库与信息化管理能力提升工程、外来物种防控工程、珍稀濒危物种野外救护与繁育工程、古树名木保护工程、猕猴保护工程、西华寺郊野公园建设工程、五洛河湿地公园建设工程、湿地公园水源涵养综合治理工程、师宗县重点流域水生态监测工程。</w:t>
            </w:r>
          </w:p>
          <w:p>
            <w:pPr>
              <w:spacing w:before="19" w:line="360" w:lineRule="auto"/>
              <w:ind w:left="117" w:right="107" w:firstLine="434"/>
              <w:jc w:val="both"/>
              <w:rPr>
                <w:rFonts w:hint="default"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预期目标：</w:t>
            </w:r>
            <w:r>
              <w:rPr>
                <w:rFonts w:hint="eastAsia" w:ascii="宋体" w:hAnsi="宋体" w:eastAsia="宋体" w:cs="宋体"/>
                <w:spacing w:val="5"/>
                <w:sz w:val="24"/>
                <w:szCs w:val="24"/>
                <w:lang w:val="en-US" w:eastAsia="zh-CN"/>
              </w:rPr>
              <w:t>保护关键区域的生物多样性下降的趋势得到遏制，生物多样性保护能力不断提升，师宗生物多样性得到切实保护。</w:t>
            </w:r>
          </w:p>
          <w:p>
            <w:pPr>
              <w:spacing w:before="19" w:line="360" w:lineRule="auto"/>
              <w:ind w:left="117" w:right="107" w:firstLine="434"/>
              <w:jc w:val="both"/>
              <w:rPr>
                <w:rFonts w:hint="eastAsia" w:ascii="宋体" w:hAnsi="宋体" w:eastAsia="宋体" w:cs="宋体"/>
                <w:snapToGrid w:val="0"/>
                <w:color w:val="000000"/>
                <w:spacing w:val="5"/>
                <w:kern w:val="0"/>
                <w:sz w:val="24"/>
                <w:szCs w:val="24"/>
                <w:lang w:val="en-US" w:eastAsia="zh-CN" w:bidi="ar-SA"/>
              </w:rPr>
            </w:pPr>
            <w:r>
              <w:rPr>
                <w:rFonts w:hint="eastAsia" w:ascii="宋体" w:hAnsi="宋体" w:eastAsia="宋体" w:cs="宋体"/>
                <w:b/>
                <w:bCs/>
                <w:spacing w:val="5"/>
                <w:sz w:val="24"/>
                <w:szCs w:val="24"/>
                <w:lang w:val="en-US" w:eastAsia="zh-CN"/>
              </w:rPr>
              <w:t>修复措施：</w:t>
            </w:r>
            <w:r>
              <w:rPr>
                <w:rFonts w:hint="eastAsia" w:ascii="宋体" w:hAnsi="宋体" w:eastAsia="宋体" w:cs="宋体"/>
                <w:snapToGrid w:val="0"/>
                <w:color w:val="000000"/>
                <w:spacing w:val="5"/>
                <w:kern w:val="0"/>
                <w:sz w:val="24"/>
                <w:szCs w:val="24"/>
                <w:lang w:val="en-US" w:eastAsia="zh-CN" w:bidi="ar-SA"/>
              </w:rPr>
              <w:t>重点开展生态保育，加强自然生态系统功能的修复，完善湿地公园的建设和保护。加强生物多样性保护的宣传教育，对保护地内的珍稀濒危动植物，古树名木实施有效保护，开展猕猴桃栖息地植被恢复。对南盘江、五洛河等重点水生生物保护区域开展水生态监测，监测内容包括浮游生物、底栖动物、水生植物、水生动物等，重点监测流域内珍稀濒危保护鱼类、特有土著鱼类和外来入侵物种。</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建设时序：</w:t>
            </w:r>
            <w:r>
              <w:rPr>
                <w:rFonts w:hint="eastAsia" w:ascii="宋体" w:hAnsi="宋体" w:eastAsia="宋体" w:cs="宋体"/>
                <w:spacing w:val="5"/>
                <w:sz w:val="24"/>
                <w:szCs w:val="24"/>
                <w:lang w:val="en-US" w:eastAsia="zh-CN"/>
              </w:rPr>
              <w:t>2021-2035年。</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资金总投资：</w:t>
            </w:r>
            <w:r>
              <w:rPr>
                <w:rFonts w:hint="eastAsia" w:ascii="宋体" w:hAnsi="宋体" w:eastAsia="宋体" w:cs="宋体"/>
                <w:spacing w:val="5"/>
                <w:sz w:val="24"/>
                <w:szCs w:val="24"/>
                <w:lang w:val="en-US" w:eastAsia="zh-CN"/>
              </w:rPr>
              <w:t>25750万元</w:t>
            </w:r>
          </w:p>
        </w:tc>
      </w:tr>
    </w:tbl>
    <w:p>
      <w:pPr>
        <w:pStyle w:val="9"/>
        <w:jc w:val="both"/>
        <w:outlineLvl w:val="9"/>
        <w:rPr>
          <w:rFonts w:hint="eastAsia" w:ascii="宋体" w:hAnsi="宋体" w:eastAsia="宋体" w:cs="宋体"/>
          <w:sz w:val="28"/>
          <w:szCs w:val="28"/>
          <w:lang w:val="en-US" w:eastAsia="zh-CN"/>
        </w:rPr>
      </w:pPr>
    </w:p>
    <w:p>
      <w:pPr>
        <w:spacing w:before="101" w:line="360" w:lineRule="auto"/>
        <w:ind w:firstLine="590" w:firstLineChars="200"/>
        <w:jc w:val="both"/>
        <w:outlineLvl w:val="2"/>
        <w:rPr>
          <w:rFonts w:hint="eastAsia" w:ascii="宋体" w:hAnsi="宋体" w:eastAsia="宋体" w:cs="宋体"/>
          <w:b/>
          <w:bCs/>
          <w:spacing w:val="-12"/>
          <w:sz w:val="28"/>
          <w:szCs w:val="28"/>
          <w:lang w:eastAsia="zh-CN"/>
        </w:rPr>
      </w:pPr>
      <w:bookmarkStart w:id="43" w:name="_Toc5252"/>
      <w:bookmarkStart w:id="44" w:name="_Toc3954"/>
      <w:r>
        <w:rPr>
          <w:rFonts w:hint="eastAsia" w:ascii="宋体" w:hAnsi="宋体" w:eastAsia="宋体" w:cs="宋体"/>
          <w:b/>
          <w:bCs/>
          <w:spacing w:val="7"/>
          <w:position w:val="1"/>
          <w:sz w:val="28"/>
          <w:szCs w:val="28"/>
        </w:rPr>
        <w:t>二</w:t>
      </w:r>
      <w:r>
        <w:rPr>
          <w:rFonts w:hint="eastAsia" w:ascii="宋体" w:hAnsi="宋体" w:eastAsia="宋体" w:cs="宋体"/>
          <w:b/>
          <w:bCs/>
          <w:spacing w:val="7"/>
          <w:position w:val="1"/>
          <w:sz w:val="28"/>
          <w:szCs w:val="28"/>
          <w:lang w:eastAsia="zh-CN"/>
        </w:rPr>
        <w:t>、</w:t>
      </w:r>
      <w:r>
        <w:rPr>
          <w:rFonts w:hint="eastAsia" w:ascii="宋体" w:hAnsi="宋体" w:eastAsia="宋体" w:cs="宋体"/>
          <w:b/>
          <w:bCs/>
          <w:spacing w:val="7"/>
          <w:position w:val="1"/>
          <w:sz w:val="28"/>
          <w:szCs w:val="28"/>
        </w:rPr>
        <w:t xml:space="preserve"> 农业空间生态修复</w:t>
      </w:r>
      <w:bookmarkEnd w:id="43"/>
      <w:bookmarkEnd w:id="44"/>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b w:val="0"/>
          <w:bCs w:val="0"/>
          <w:snapToGrid w:val="0"/>
          <w:color w:val="000000"/>
          <w:spacing w:val="-12"/>
          <w:kern w:val="0"/>
          <w:sz w:val="28"/>
          <w:szCs w:val="28"/>
          <w:lang w:val="en-US" w:eastAsia="zh-CN" w:bidi="ar-SA"/>
        </w:rPr>
        <w:t>积极</w:t>
      </w:r>
      <w:r>
        <w:rPr>
          <w:rFonts w:hint="default" w:ascii="宋体" w:hAnsi="宋体" w:eastAsia="宋体" w:cs="宋体"/>
          <w:b w:val="0"/>
          <w:bCs w:val="0"/>
          <w:snapToGrid w:val="0"/>
          <w:color w:val="000000"/>
          <w:spacing w:val="-12"/>
          <w:kern w:val="0"/>
          <w:sz w:val="28"/>
          <w:szCs w:val="28"/>
          <w:lang w:val="en-US" w:eastAsia="zh-CN" w:bidi="ar-SA"/>
        </w:rPr>
        <w:t>开展土地综合整治，有效增加耕地面积，进一步改善耕种条件，提高土地产出率</w:t>
      </w:r>
      <w:r>
        <w:rPr>
          <w:rFonts w:hint="eastAsia" w:ascii="宋体" w:hAnsi="宋体" w:eastAsia="宋体" w:cs="宋体"/>
          <w:b w:val="0"/>
          <w:bCs w:val="0"/>
          <w:snapToGrid w:val="0"/>
          <w:color w:val="000000"/>
          <w:spacing w:val="-12"/>
          <w:kern w:val="0"/>
          <w:sz w:val="28"/>
          <w:szCs w:val="28"/>
          <w:lang w:val="en-US" w:eastAsia="zh-CN" w:bidi="ar-SA"/>
        </w:rPr>
        <w:t>。</w:t>
      </w:r>
      <w:r>
        <w:rPr>
          <w:rFonts w:hint="eastAsia" w:ascii="宋体" w:hAnsi="宋体" w:eastAsia="宋体" w:cs="宋体"/>
          <w:snapToGrid w:val="0"/>
          <w:color w:val="000000"/>
          <w:spacing w:val="-12"/>
          <w:kern w:val="0"/>
          <w:sz w:val="28"/>
          <w:szCs w:val="28"/>
          <w:lang w:val="en-US" w:eastAsia="zh-CN" w:bidi="ar-SA"/>
        </w:rPr>
        <w:t>统筹推进农田基础设施建设、高标准农田建设、耕地提质改造和损毁土地修复等行动，增加耕地数量，提高耕地质量，改善农田生态，增强农田生态防护能力，减少农田水土流失，减轻农业面源污染，农田生态环境显著改善，推动农业可持续发展。积极开展</w:t>
      </w:r>
      <w:r>
        <w:rPr>
          <w:rFonts w:hint="eastAsia" w:ascii="宋体" w:hAnsi="宋体" w:eastAsia="宋体" w:cs="宋体"/>
          <w:spacing w:val="-12"/>
          <w:sz w:val="28"/>
          <w:szCs w:val="28"/>
          <w:lang w:val="en-US" w:eastAsia="zh-CN"/>
        </w:rPr>
        <w:t>农村生活污水治理工程和农村黑臭水体排查治理工作，推进美丽乡村建设，提高农村人居环境品质。详见专栏6-7。</w:t>
      </w:r>
    </w:p>
    <w:tbl>
      <w:tblPr>
        <w:tblStyle w:val="25"/>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3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5000" w:type="pct"/>
            <w:vAlign w:val="top"/>
          </w:tcPr>
          <w:p>
            <w:pPr>
              <w:spacing w:before="99" w:line="360" w:lineRule="auto"/>
              <w:ind w:left="2025"/>
              <w:jc w:val="both"/>
              <w:rPr>
                <w:rFonts w:hint="eastAsia" w:ascii="宋体" w:hAnsi="宋体" w:eastAsia="宋体" w:cs="宋体"/>
                <w:sz w:val="24"/>
                <w:szCs w:val="24"/>
              </w:rPr>
            </w:pPr>
            <w:r>
              <w:rPr>
                <w:rFonts w:hint="eastAsia" w:ascii="宋体" w:hAnsi="宋体" w:eastAsia="宋体" w:cs="宋体"/>
                <w:b/>
                <w:bCs/>
                <w:spacing w:val="6"/>
                <w:sz w:val="24"/>
                <w:szCs w:val="24"/>
              </w:rPr>
              <w:t>专栏</w:t>
            </w:r>
            <w:r>
              <w:rPr>
                <w:rFonts w:hint="eastAsia" w:ascii="宋体" w:hAnsi="宋体" w:eastAsia="宋体" w:cs="宋体"/>
                <w:b/>
                <w:bCs/>
                <w:spacing w:val="6"/>
                <w:sz w:val="24"/>
                <w:szCs w:val="24"/>
                <w:lang w:val="en-US" w:eastAsia="zh-CN"/>
              </w:rPr>
              <w:t>6-7</w:t>
            </w:r>
            <w:r>
              <w:rPr>
                <w:rFonts w:hint="eastAsia" w:ascii="宋体" w:hAnsi="宋体" w:eastAsia="宋体" w:cs="宋体"/>
                <w:b/>
                <w:bCs/>
                <w:spacing w:val="18"/>
                <w:sz w:val="24"/>
                <w:szCs w:val="24"/>
              </w:rPr>
              <w:t xml:space="preserve"> </w:t>
            </w:r>
            <w:r>
              <w:rPr>
                <w:rFonts w:hint="eastAsia" w:ascii="宋体" w:hAnsi="宋体" w:eastAsia="宋体" w:cs="宋体"/>
                <w:b/>
                <w:bCs/>
                <w:spacing w:val="6"/>
                <w:sz w:val="24"/>
                <w:szCs w:val="24"/>
              </w:rPr>
              <w:t xml:space="preserve"> </w:t>
            </w:r>
            <w:r>
              <w:rPr>
                <w:rFonts w:hint="eastAsia" w:ascii="宋体" w:hAnsi="宋体" w:eastAsia="宋体" w:cs="宋体"/>
                <w:b/>
                <w:bCs/>
                <w:spacing w:val="6"/>
                <w:sz w:val="24"/>
                <w:szCs w:val="24"/>
                <w:lang w:val="en-US" w:eastAsia="zh-CN"/>
              </w:rPr>
              <w:t xml:space="preserve">  国土综合整治重点</w:t>
            </w:r>
            <w:r>
              <w:rPr>
                <w:rFonts w:hint="eastAsia" w:ascii="宋体" w:hAnsi="宋体" w:eastAsia="宋体" w:cs="宋体"/>
                <w:b/>
                <w:bCs/>
                <w:spacing w:val="6"/>
                <w:sz w:val="24"/>
                <w:szCs w:val="24"/>
              </w:rPr>
              <w:t>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5000" w:type="pct"/>
            <w:vAlign w:val="top"/>
          </w:tcPr>
          <w:p>
            <w:pPr>
              <w:keepNext w:val="0"/>
              <w:keepLines w:val="0"/>
              <w:widowControl/>
              <w:suppressLineNumbers w:val="0"/>
              <w:spacing w:line="360" w:lineRule="auto"/>
              <w:ind w:firstLine="502" w:firstLineChars="200"/>
              <w:jc w:val="both"/>
              <w:rPr>
                <w:rFonts w:hint="eastAsia" w:ascii="宋体" w:hAnsi="宋体" w:eastAsia="宋体" w:cs="宋体"/>
                <w:b w:val="0"/>
                <w:bCs w:val="0"/>
                <w:spacing w:val="6"/>
                <w:sz w:val="24"/>
                <w:szCs w:val="24"/>
                <w:lang w:val="en-US" w:eastAsia="zh-CN"/>
              </w:rPr>
            </w:pPr>
            <w:r>
              <w:rPr>
                <w:rFonts w:hint="eastAsia" w:ascii="宋体" w:hAnsi="宋体" w:eastAsia="宋体" w:cs="宋体"/>
                <w:b/>
                <w:bCs/>
                <w:spacing w:val="5"/>
                <w:sz w:val="24"/>
                <w:szCs w:val="24"/>
                <w:lang w:val="en-US" w:eastAsia="zh-CN"/>
              </w:rPr>
              <w:t>1、土地综合整治工程</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02" w:firstLineChars="200"/>
              <w:jc w:val="both"/>
              <w:textAlignment w:val="baseline"/>
              <w:rPr>
                <w:rFonts w:hint="eastAsia" w:ascii="宋体" w:hAnsi="宋体" w:eastAsia="宋体" w:cs="宋体"/>
                <w:spacing w:val="4"/>
                <w:sz w:val="24"/>
                <w:szCs w:val="24"/>
                <w:lang w:val="en-US" w:eastAsia="zh-CN"/>
              </w:rPr>
            </w:pPr>
            <w:r>
              <w:rPr>
                <w:rFonts w:hint="eastAsia" w:ascii="宋体" w:hAnsi="宋体" w:eastAsia="宋体" w:cs="宋体"/>
                <w:b/>
                <w:bCs/>
                <w:spacing w:val="5"/>
                <w:sz w:val="24"/>
                <w:szCs w:val="24"/>
                <w:lang w:val="en-US" w:eastAsia="zh-CN"/>
              </w:rPr>
              <w:t>实施区域：</w:t>
            </w:r>
            <w:r>
              <w:rPr>
                <w:rFonts w:hint="eastAsia" w:ascii="宋体" w:hAnsi="宋体" w:eastAsia="宋体" w:cs="宋体"/>
                <w:spacing w:val="5"/>
                <w:sz w:val="24"/>
                <w:szCs w:val="24"/>
                <w:lang w:val="en-US" w:eastAsia="zh-CN"/>
              </w:rPr>
              <w:t>师宗县。</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02" w:firstLineChars="200"/>
              <w:jc w:val="both"/>
              <w:textAlignment w:val="baseline"/>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安排工程数量：</w:t>
            </w:r>
            <w:r>
              <w:rPr>
                <w:rFonts w:hint="eastAsia" w:ascii="宋体" w:hAnsi="宋体" w:eastAsia="宋体" w:cs="宋体"/>
                <w:spacing w:val="5"/>
                <w:sz w:val="24"/>
                <w:szCs w:val="24"/>
                <w:lang w:val="en-US" w:eastAsia="zh-CN"/>
              </w:rPr>
              <w:t>8个，分别是龙庆乡高标准农田建设项目、彩云镇万亩高标准农田建设项目、师宗县大同街道高标准农田建设项目、漾月街道高标准农田建设项目、师宗县耕地质量提升改造项目、师宗县耕地生产障碍修复利用项目、大同街道国土综合整治工程、秸秆综合利用推广示范项目。</w:t>
            </w:r>
          </w:p>
          <w:p>
            <w:pPr>
              <w:spacing w:before="19" w:line="360" w:lineRule="auto"/>
              <w:ind w:left="117" w:right="107" w:firstLine="434"/>
              <w:jc w:val="both"/>
              <w:rPr>
                <w:rFonts w:hint="default"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预期目标：</w:t>
            </w:r>
            <w:r>
              <w:rPr>
                <w:rFonts w:hint="eastAsia" w:ascii="宋体" w:hAnsi="宋体" w:eastAsia="宋体" w:cs="宋体"/>
                <w:b w:val="0"/>
                <w:bCs w:val="0"/>
                <w:spacing w:val="6"/>
                <w:sz w:val="24"/>
                <w:szCs w:val="24"/>
                <w:lang w:val="en-US" w:eastAsia="zh-CN"/>
              </w:rPr>
              <w:t>完成高标准农田建设面积106388亩，耕地质量提升改造10万亩，耕地生产障碍修复利用14万亩。</w:t>
            </w:r>
          </w:p>
          <w:p>
            <w:pPr>
              <w:keepNext w:val="0"/>
              <w:keepLines w:val="0"/>
              <w:widowControl/>
              <w:suppressLineNumbers w:val="0"/>
              <w:spacing w:line="360" w:lineRule="auto"/>
              <w:ind w:firstLine="502" w:firstLineChars="200"/>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修复措施</w:t>
            </w:r>
            <w:r>
              <w:rPr>
                <w:rFonts w:hint="eastAsia" w:ascii="宋体" w:hAnsi="宋体" w:eastAsia="宋体" w:cs="宋体"/>
                <w:b w:val="0"/>
                <w:bCs w:val="0"/>
                <w:spacing w:val="6"/>
                <w:sz w:val="24"/>
                <w:szCs w:val="24"/>
                <w:lang w:val="en-US" w:eastAsia="zh-CN"/>
              </w:rPr>
              <w:t>：</w:t>
            </w:r>
            <w:r>
              <w:rPr>
                <w:rFonts w:hint="eastAsia" w:ascii="宋体" w:hAnsi="宋体" w:eastAsia="宋体" w:cs="宋体"/>
                <w:spacing w:val="5"/>
                <w:sz w:val="24"/>
                <w:szCs w:val="24"/>
                <w:lang w:val="en-US" w:eastAsia="zh-CN"/>
              </w:rPr>
              <w:t>通过高标准农田建设，大力推进集中连片土地平整，有效改善原有耕地的地形地貌条件和零星状况。实施农田宜机化改造，通过土地整治建设形成集中连片、高产稳产、生态良好、抗灾能力强的高标准农田，按照高标准建设要求完善水网、电网、路网、管网等配套基础设施建设。实施耕地保护与质量提升建设，对原有的耕地质量进行改造提升，降低农业生产成本，完善农业基础设施，科学指导化肥规范使用，减少面源污染和改善农业生态环境的恶化；因地制宜发展秸秆热解气化、秸秆沼气、秸秆生物质燃料等农村清洁能源，推动秸秆高值化综合利用与农村人居环境改善有机结合。大力推广秸秆肥料化、饲料化、能源化、基料化、原料化等利用技术，推广陆良经验模式，完善师宗县废菜叶资源化利用配套基础设施。</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建设时序：</w:t>
            </w:r>
            <w:r>
              <w:rPr>
                <w:rFonts w:hint="eastAsia" w:ascii="宋体" w:hAnsi="宋体" w:eastAsia="宋体" w:cs="宋体"/>
                <w:spacing w:val="5"/>
                <w:sz w:val="24"/>
                <w:szCs w:val="24"/>
                <w:lang w:val="en-US" w:eastAsia="zh-CN"/>
              </w:rPr>
              <w:t>2021-2035年。</w:t>
            </w:r>
          </w:p>
          <w:p>
            <w:pPr>
              <w:keepNext w:val="0"/>
              <w:keepLines w:val="0"/>
              <w:widowControl/>
              <w:suppressLineNumbers w:val="0"/>
              <w:spacing w:line="360" w:lineRule="auto"/>
              <w:ind w:firstLine="502" w:firstLineChars="200"/>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资金总投资：</w:t>
            </w:r>
            <w:r>
              <w:rPr>
                <w:rFonts w:hint="eastAsia" w:ascii="宋体" w:hAnsi="宋体" w:eastAsia="宋体" w:cs="宋体"/>
                <w:spacing w:val="5"/>
                <w:sz w:val="24"/>
                <w:szCs w:val="24"/>
                <w:lang w:val="en-US" w:eastAsia="zh-CN"/>
              </w:rPr>
              <w:t>104796万元</w:t>
            </w:r>
          </w:p>
          <w:p>
            <w:pPr>
              <w:keepNext w:val="0"/>
              <w:keepLines w:val="0"/>
              <w:widowControl/>
              <w:suppressLineNumbers w:val="0"/>
              <w:spacing w:line="360" w:lineRule="auto"/>
              <w:ind w:firstLine="502" w:firstLineChars="200"/>
              <w:jc w:val="both"/>
              <w:rPr>
                <w:rFonts w:hint="eastAsia" w:ascii="宋体" w:hAnsi="宋体" w:eastAsia="宋体" w:cs="宋体"/>
                <w:b w:val="0"/>
                <w:bCs w:val="0"/>
                <w:spacing w:val="6"/>
                <w:sz w:val="24"/>
                <w:szCs w:val="24"/>
                <w:lang w:val="en-US" w:eastAsia="zh-CN"/>
              </w:rPr>
            </w:pPr>
            <w:r>
              <w:rPr>
                <w:rFonts w:hint="eastAsia" w:ascii="宋体" w:hAnsi="宋体" w:eastAsia="宋体" w:cs="宋体"/>
                <w:b/>
                <w:bCs/>
                <w:spacing w:val="5"/>
                <w:sz w:val="24"/>
                <w:szCs w:val="24"/>
                <w:lang w:val="en-US" w:eastAsia="zh-CN"/>
              </w:rPr>
              <w:t>2、农村人居环境整治提升工程</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02" w:firstLineChars="200"/>
              <w:jc w:val="both"/>
              <w:textAlignment w:val="baseline"/>
              <w:rPr>
                <w:rFonts w:hint="eastAsia" w:ascii="宋体" w:hAnsi="宋体" w:eastAsia="宋体" w:cs="宋体"/>
                <w:spacing w:val="4"/>
                <w:sz w:val="24"/>
                <w:szCs w:val="24"/>
                <w:lang w:val="en-US" w:eastAsia="zh-CN"/>
              </w:rPr>
            </w:pPr>
            <w:r>
              <w:rPr>
                <w:rFonts w:hint="eastAsia" w:ascii="宋体" w:hAnsi="宋体" w:eastAsia="宋体" w:cs="宋体"/>
                <w:b/>
                <w:bCs/>
                <w:spacing w:val="5"/>
                <w:sz w:val="24"/>
                <w:szCs w:val="24"/>
                <w:lang w:val="en-US" w:eastAsia="zh-CN"/>
              </w:rPr>
              <w:t>实施区域：</w:t>
            </w:r>
            <w:r>
              <w:rPr>
                <w:rFonts w:hint="eastAsia" w:ascii="宋体" w:hAnsi="宋体" w:eastAsia="宋体" w:cs="宋体"/>
                <w:spacing w:val="5"/>
                <w:sz w:val="24"/>
                <w:szCs w:val="24"/>
                <w:lang w:val="en-US" w:eastAsia="zh-CN"/>
              </w:rPr>
              <w:t>师宗县。</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02" w:firstLineChars="200"/>
              <w:jc w:val="both"/>
              <w:textAlignment w:val="baseline"/>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安排工程数量：</w:t>
            </w:r>
            <w:r>
              <w:rPr>
                <w:rFonts w:hint="eastAsia" w:ascii="宋体" w:hAnsi="宋体" w:eastAsia="宋体" w:cs="宋体"/>
                <w:spacing w:val="5"/>
                <w:sz w:val="24"/>
                <w:szCs w:val="24"/>
                <w:lang w:val="en-US" w:eastAsia="zh-CN"/>
              </w:rPr>
              <w:t>3个，分别是农村生活污水治理专项工程、农村黑臭水体排查治理工程、南盘江流域(师宗段)农村环境综合整治工程。</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预期目标：</w:t>
            </w:r>
            <w:r>
              <w:rPr>
                <w:rFonts w:hint="eastAsia" w:ascii="宋体" w:hAnsi="宋体" w:eastAsia="宋体" w:cs="宋体"/>
                <w:b w:val="0"/>
                <w:bCs w:val="0"/>
                <w:spacing w:val="6"/>
                <w:sz w:val="24"/>
                <w:szCs w:val="24"/>
                <w:lang w:val="en-US" w:eastAsia="zh-CN"/>
              </w:rPr>
              <w:t>农村生活污水基本得到治理、黑臭水体基本得到整治。</w:t>
            </w:r>
          </w:p>
          <w:p>
            <w:pPr>
              <w:keepNext w:val="0"/>
              <w:keepLines w:val="0"/>
              <w:widowControl/>
              <w:suppressLineNumbers w:val="0"/>
              <w:spacing w:line="360" w:lineRule="auto"/>
              <w:ind w:firstLine="502" w:firstLineChars="200"/>
              <w:jc w:val="both"/>
              <w:rPr>
                <w:rFonts w:hint="eastAsia" w:ascii="宋体" w:hAnsi="宋体" w:eastAsia="宋体" w:cs="宋体"/>
                <w:b w:val="0"/>
                <w:bCs w:val="0"/>
                <w:spacing w:val="6"/>
                <w:sz w:val="24"/>
                <w:szCs w:val="24"/>
                <w:lang w:val="en-US" w:eastAsia="zh-CN"/>
              </w:rPr>
            </w:pPr>
            <w:r>
              <w:rPr>
                <w:rFonts w:hint="eastAsia" w:ascii="宋体" w:hAnsi="宋体" w:eastAsia="宋体" w:cs="宋体"/>
                <w:b/>
                <w:bCs/>
                <w:spacing w:val="5"/>
                <w:sz w:val="24"/>
                <w:szCs w:val="24"/>
                <w:lang w:val="en-US" w:eastAsia="zh-CN"/>
              </w:rPr>
              <w:t>修复措施</w:t>
            </w:r>
            <w:r>
              <w:rPr>
                <w:rFonts w:hint="eastAsia" w:ascii="宋体" w:hAnsi="宋体" w:eastAsia="宋体" w:cs="宋体"/>
                <w:b w:val="0"/>
                <w:bCs w:val="0"/>
                <w:spacing w:val="6"/>
                <w:sz w:val="24"/>
                <w:szCs w:val="24"/>
                <w:lang w:val="en-US" w:eastAsia="zh-CN"/>
              </w:rPr>
              <w:t>：落实全县农村生活污水治理专项规划，以村庄人口集聚程度、污水产生规模为依据，因地制宜采用污染治理与资源利用相结合、工程措施与生态措施相结合、集中与分散相结合的建设模式和处理工艺，实施农村生活污水治理工程；全面开展农村黑臭水体排查治理工作，因水施策，按“ 一村一策”原则对农村黑臭水体实施控源截污、清淤疏浚、生态修复、水系连通等整治工程，以消除黑臭水体为目标。实施南盘江流域(师宗段)农村环境综合整治工程，农村环境明显改善。</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建设时序：</w:t>
            </w:r>
            <w:r>
              <w:rPr>
                <w:rFonts w:hint="eastAsia" w:ascii="宋体" w:hAnsi="宋体" w:eastAsia="宋体" w:cs="宋体"/>
                <w:spacing w:val="5"/>
                <w:sz w:val="24"/>
                <w:szCs w:val="24"/>
                <w:lang w:val="en-US" w:eastAsia="zh-CN"/>
              </w:rPr>
              <w:t>2021-2025年。</w:t>
            </w:r>
          </w:p>
          <w:p>
            <w:pPr>
              <w:keepNext w:val="0"/>
              <w:keepLines w:val="0"/>
              <w:widowControl/>
              <w:suppressLineNumbers w:val="0"/>
              <w:spacing w:line="360" w:lineRule="auto"/>
              <w:ind w:firstLine="502" w:firstLineChars="200"/>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资金总投资：</w:t>
            </w:r>
            <w:r>
              <w:rPr>
                <w:rFonts w:hint="eastAsia" w:ascii="宋体" w:hAnsi="宋体" w:eastAsia="宋体" w:cs="宋体"/>
                <w:spacing w:val="5"/>
                <w:sz w:val="24"/>
                <w:szCs w:val="24"/>
                <w:lang w:val="en-US" w:eastAsia="zh-CN"/>
              </w:rPr>
              <w:t>14753万元</w:t>
            </w:r>
          </w:p>
        </w:tc>
      </w:tr>
    </w:tbl>
    <w:p>
      <w:pPr>
        <w:spacing w:before="101" w:line="360" w:lineRule="auto"/>
        <w:ind w:firstLine="590" w:firstLineChars="200"/>
        <w:jc w:val="both"/>
        <w:outlineLvl w:val="2"/>
        <w:rPr>
          <w:rFonts w:hint="eastAsia" w:ascii="宋体" w:hAnsi="宋体" w:eastAsia="宋体" w:cs="宋体"/>
          <w:b/>
          <w:bCs/>
          <w:sz w:val="28"/>
          <w:szCs w:val="28"/>
        </w:rPr>
      </w:pPr>
      <w:bookmarkStart w:id="45" w:name="_Toc22297"/>
      <w:bookmarkStart w:id="46" w:name="_Toc11590"/>
      <w:r>
        <w:rPr>
          <w:rFonts w:hint="eastAsia" w:ascii="宋体" w:hAnsi="宋体" w:eastAsia="宋体" w:cs="宋体"/>
          <w:b/>
          <w:bCs/>
          <w:spacing w:val="7"/>
          <w:position w:val="1"/>
          <w:sz w:val="28"/>
          <w:szCs w:val="28"/>
        </w:rPr>
        <w:t>三</w:t>
      </w:r>
      <w:r>
        <w:rPr>
          <w:rFonts w:hint="eastAsia" w:ascii="宋体" w:hAnsi="宋体" w:eastAsia="宋体" w:cs="宋体"/>
          <w:b/>
          <w:bCs/>
          <w:spacing w:val="158"/>
          <w:position w:val="1"/>
          <w:sz w:val="28"/>
          <w:szCs w:val="28"/>
          <w:lang w:eastAsia="zh-CN"/>
        </w:rPr>
        <w:t>、</w:t>
      </w:r>
      <w:r>
        <w:rPr>
          <w:rFonts w:hint="eastAsia" w:ascii="宋体" w:hAnsi="宋体" w:eastAsia="宋体" w:cs="宋体"/>
          <w:b/>
          <w:bCs/>
          <w:spacing w:val="7"/>
          <w:position w:val="1"/>
          <w:sz w:val="28"/>
          <w:szCs w:val="28"/>
        </w:rPr>
        <w:t>城镇空间生态修复</w:t>
      </w:r>
      <w:bookmarkEnd w:id="45"/>
      <w:bookmarkEnd w:id="46"/>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b w:val="0"/>
          <w:bCs w:val="0"/>
          <w:snapToGrid w:val="0"/>
          <w:color w:val="000000"/>
          <w:spacing w:val="-12"/>
          <w:kern w:val="0"/>
          <w:sz w:val="28"/>
          <w:szCs w:val="28"/>
          <w:lang w:val="en-US" w:eastAsia="zh-CN" w:bidi="ar-SA"/>
        </w:rPr>
      </w:pPr>
      <w:r>
        <w:rPr>
          <w:rFonts w:hint="eastAsia" w:ascii="宋体" w:hAnsi="宋体" w:eastAsia="宋体" w:cs="宋体"/>
          <w:b w:val="0"/>
          <w:bCs w:val="0"/>
          <w:snapToGrid w:val="0"/>
          <w:color w:val="000000"/>
          <w:spacing w:val="-12"/>
          <w:kern w:val="0"/>
          <w:sz w:val="28"/>
          <w:szCs w:val="28"/>
          <w:lang w:val="en-US" w:eastAsia="zh-CN" w:bidi="ar-SA"/>
        </w:rPr>
        <w:t>因地制宜利用城市空间开展增绿、建绿工程，创建国家级园林城市工作。加强城市道路沿线、城市出入口、城市面山绿化，公园绿化，保护好城市的山水林田湖等生态细胞，增加城市绿地面积，提高建成区绿地率、绿视率、绿化覆盖率和人均公园绿地面积。实施县城餐厨垃圾无害化处置和资源化利用，提升人居环境。详见专栏6-8。</w:t>
      </w:r>
    </w:p>
    <w:tbl>
      <w:tblPr>
        <w:tblStyle w:val="25"/>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3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5000" w:type="pct"/>
            <w:vAlign w:val="center"/>
          </w:tcPr>
          <w:p>
            <w:pPr>
              <w:keepNext w:val="0"/>
              <w:keepLines w:val="0"/>
              <w:pageBreakBefore w:val="0"/>
              <w:widowControl/>
              <w:kinsoku w:val="0"/>
              <w:wordWrap/>
              <w:overflowPunct/>
              <w:topLinePunct w:val="0"/>
              <w:autoSpaceDE w:val="0"/>
              <w:autoSpaceDN w:val="0"/>
              <w:bidi w:val="0"/>
              <w:adjustRightInd/>
              <w:snapToGrid/>
              <w:spacing w:line="360" w:lineRule="auto"/>
              <w:ind w:left="0" w:right="0"/>
              <w:jc w:val="center"/>
              <w:textAlignment w:val="baseline"/>
              <w:rPr>
                <w:rFonts w:hint="eastAsia" w:ascii="宋体" w:hAnsi="宋体" w:eastAsia="宋体" w:cs="宋体"/>
                <w:sz w:val="24"/>
                <w:szCs w:val="24"/>
              </w:rPr>
            </w:pPr>
            <w:r>
              <w:rPr>
                <w:rFonts w:hint="eastAsia" w:ascii="宋体" w:hAnsi="宋体" w:eastAsia="宋体" w:cs="宋体"/>
                <w:b/>
                <w:bCs/>
                <w:snapToGrid w:val="0"/>
                <w:color w:val="auto"/>
                <w:kern w:val="0"/>
                <w:sz w:val="24"/>
                <w:szCs w:val="24"/>
                <w:highlight w:val="none"/>
                <w:lang w:val="en-US" w:eastAsia="zh-CN" w:bidi="ar-SA"/>
              </w:rPr>
              <w:t>专栏6-8  城镇空间生态修复重点工程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jc w:val="center"/>
        </w:trPr>
        <w:tc>
          <w:tcPr>
            <w:tcW w:w="5000" w:type="pct"/>
            <w:vAlign w:val="center"/>
          </w:tcPr>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06" w:firstLineChars="200"/>
              <w:jc w:val="both"/>
              <w:textAlignment w:val="baseline"/>
              <w:rPr>
                <w:rFonts w:hint="eastAsia" w:ascii="宋体" w:hAnsi="宋体" w:eastAsia="宋体" w:cs="宋体"/>
                <w:b/>
                <w:bCs/>
                <w:spacing w:val="6"/>
                <w:sz w:val="24"/>
                <w:szCs w:val="24"/>
                <w:lang w:val="en-US" w:eastAsia="zh-CN"/>
              </w:rPr>
            </w:pPr>
            <w:r>
              <w:rPr>
                <w:rFonts w:hint="eastAsia" w:ascii="宋体" w:hAnsi="宋体" w:eastAsia="宋体" w:cs="宋体"/>
                <w:b/>
                <w:bCs/>
                <w:spacing w:val="6"/>
                <w:sz w:val="24"/>
                <w:szCs w:val="24"/>
                <w:lang w:val="en-US" w:eastAsia="zh-CN"/>
              </w:rPr>
              <w:t>1、城镇人居品质提升项目</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02" w:firstLineChars="200"/>
              <w:jc w:val="both"/>
              <w:textAlignment w:val="baseline"/>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实施区域：</w:t>
            </w:r>
            <w:r>
              <w:rPr>
                <w:rFonts w:hint="eastAsia" w:ascii="宋体" w:hAnsi="宋体" w:eastAsia="宋体" w:cs="宋体"/>
                <w:spacing w:val="4"/>
                <w:sz w:val="24"/>
                <w:szCs w:val="24"/>
                <w:lang w:val="en-US" w:eastAsia="zh-CN"/>
              </w:rPr>
              <w:t>主要分布于丹凤街道、漾月街道、大同街道。</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02" w:firstLineChars="200"/>
              <w:jc w:val="both"/>
              <w:textAlignment w:val="baseline"/>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安排工程数量：</w:t>
            </w:r>
            <w:r>
              <w:rPr>
                <w:rFonts w:hint="eastAsia" w:ascii="宋体" w:hAnsi="宋体" w:eastAsia="宋体" w:cs="宋体"/>
                <w:spacing w:val="5"/>
                <w:sz w:val="24"/>
                <w:szCs w:val="24"/>
                <w:lang w:val="en-US" w:eastAsia="zh-CN"/>
              </w:rPr>
              <w:t>7个，分别是师宗县入城口提升改造、创建国家级园林城市、北出入口改造、石湖公园改造、小青山公园、凤凰大道增植补绿、餐厨垃圾资源化处理利用工程。</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预期目标：</w:t>
            </w:r>
            <w:r>
              <w:rPr>
                <w:rFonts w:hint="eastAsia" w:ascii="宋体" w:hAnsi="宋体" w:eastAsia="宋体" w:cs="宋体"/>
                <w:b w:val="0"/>
                <w:bCs w:val="0"/>
                <w:spacing w:val="6"/>
                <w:sz w:val="24"/>
                <w:szCs w:val="24"/>
                <w:lang w:val="en-US" w:eastAsia="zh-CN"/>
              </w:rPr>
              <w:t>人居环境整体提升。</w:t>
            </w:r>
          </w:p>
          <w:p>
            <w:pPr>
              <w:spacing w:before="19" w:line="360" w:lineRule="auto"/>
              <w:ind w:left="117" w:right="107" w:firstLine="434"/>
              <w:jc w:val="both"/>
              <w:rPr>
                <w:rFonts w:hint="eastAsia" w:ascii="宋体" w:hAnsi="宋体" w:eastAsia="宋体" w:cs="宋体"/>
                <w:spacing w:val="-12"/>
                <w:sz w:val="24"/>
                <w:szCs w:val="24"/>
                <w:lang w:val="en-US" w:eastAsia="zh-CN"/>
              </w:rPr>
            </w:pPr>
            <w:r>
              <w:rPr>
                <w:rFonts w:hint="eastAsia" w:ascii="宋体" w:hAnsi="宋体" w:eastAsia="宋体" w:cs="宋体"/>
                <w:b/>
                <w:bCs/>
                <w:spacing w:val="5"/>
                <w:sz w:val="24"/>
                <w:szCs w:val="24"/>
                <w:lang w:val="en-US" w:eastAsia="zh-CN"/>
              </w:rPr>
              <w:t>修复措施</w:t>
            </w:r>
            <w:r>
              <w:rPr>
                <w:rFonts w:hint="eastAsia" w:ascii="宋体" w:hAnsi="宋体" w:eastAsia="宋体" w:cs="宋体"/>
                <w:b w:val="0"/>
                <w:bCs w:val="0"/>
                <w:spacing w:val="6"/>
                <w:sz w:val="24"/>
                <w:szCs w:val="24"/>
                <w:lang w:val="en-US" w:eastAsia="zh-CN"/>
              </w:rPr>
              <w:t>：</w:t>
            </w:r>
            <w:r>
              <w:rPr>
                <w:rFonts w:hint="eastAsia" w:ascii="宋体" w:hAnsi="宋体" w:eastAsia="宋体" w:cs="宋体"/>
                <w:spacing w:val="-12"/>
                <w:sz w:val="24"/>
                <w:szCs w:val="24"/>
                <w:lang w:val="en-US" w:eastAsia="zh-CN"/>
              </w:rPr>
              <w:t>实施城市主干道、公园绿化工程。修复城市道路，路灯安装及城市出入口绿化建设，完成城市道路行道树补植扩绿，通过绿化建设不断提高人均绿地面积和城市绿地率。实施餐厨垃圾资源化利用项目，满足县城餐厨垃圾无害化处置和资源化利用需求，提升城市人居环境。</w:t>
            </w:r>
          </w:p>
          <w:p>
            <w:pPr>
              <w:spacing w:before="19" w:line="360" w:lineRule="auto"/>
              <w:ind w:left="117" w:right="107" w:firstLine="434"/>
              <w:jc w:val="both"/>
              <w:rPr>
                <w:rFonts w:hint="eastAsia" w:ascii="宋体" w:hAnsi="宋体" w:eastAsia="宋体" w:cs="宋体"/>
                <w:spacing w:val="5"/>
                <w:sz w:val="24"/>
                <w:szCs w:val="24"/>
                <w:lang w:val="en-US" w:eastAsia="zh-CN"/>
              </w:rPr>
            </w:pPr>
            <w:r>
              <w:rPr>
                <w:rFonts w:hint="eastAsia" w:ascii="宋体" w:hAnsi="宋体" w:eastAsia="宋体" w:cs="宋体"/>
                <w:b/>
                <w:bCs/>
                <w:spacing w:val="5"/>
                <w:sz w:val="24"/>
                <w:szCs w:val="24"/>
                <w:lang w:val="en-US" w:eastAsia="zh-CN"/>
              </w:rPr>
              <w:t>建设时序：</w:t>
            </w:r>
            <w:r>
              <w:rPr>
                <w:rFonts w:hint="eastAsia" w:ascii="宋体" w:hAnsi="宋体" w:eastAsia="宋体" w:cs="宋体"/>
                <w:spacing w:val="5"/>
                <w:sz w:val="24"/>
                <w:szCs w:val="24"/>
                <w:lang w:val="en-US" w:eastAsia="zh-CN"/>
              </w:rPr>
              <w:t>2021-2035年。</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02" w:firstLineChars="200"/>
              <w:jc w:val="both"/>
              <w:textAlignment w:val="baseline"/>
              <w:rPr>
                <w:rFonts w:hint="eastAsia"/>
                <w:lang w:val="en-US" w:eastAsia="zh-CN"/>
              </w:rPr>
            </w:pPr>
            <w:r>
              <w:rPr>
                <w:rFonts w:hint="eastAsia" w:ascii="宋体" w:hAnsi="宋体" w:eastAsia="宋体" w:cs="宋体"/>
                <w:b/>
                <w:bCs/>
                <w:spacing w:val="5"/>
                <w:sz w:val="24"/>
                <w:szCs w:val="24"/>
                <w:lang w:val="en-US" w:eastAsia="zh-CN"/>
              </w:rPr>
              <w:t>资金总投资：</w:t>
            </w:r>
            <w:r>
              <w:rPr>
                <w:rFonts w:hint="eastAsia" w:ascii="宋体" w:hAnsi="宋体" w:eastAsia="宋体" w:cs="宋体"/>
                <w:spacing w:val="5"/>
                <w:sz w:val="24"/>
                <w:szCs w:val="24"/>
                <w:lang w:val="en-US" w:eastAsia="zh-CN"/>
              </w:rPr>
              <w:t>12167万元。</w:t>
            </w:r>
          </w:p>
        </w:tc>
      </w:tr>
    </w:tbl>
    <w:p>
      <w:pPr>
        <w:spacing w:before="101" w:line="360" w:lineRule="auto"/>
        <w:ind w:firstLine="590" w:firstLineChars="200"/>
        <w:jc w:val="both"/>
        <w:outlineLvl w:val="2"/>
        <w:rPr>
          <w:rFonts w:hint="eastAsia" w:ascii="宋体" w:hAnsi="宋体" w:eastAsia="宋体" w:cs="宋体"/>
          <w:b/>
          <w:bCs/>
          <w:spacing w:val="7"/>
          <w:position w:val="1"/>
          <w:sz w:val="28"/>
          <w:szCs w:val="28"/>
        </w:rPr>
      </w:pPr>
      <w:bookmarkStart w:id="47" w:name="_Toc22017"/>
      <w:bookmarkStart w:id="48" w:name="_Toc21177"/>
      <w:r>
        <w:rPr>
          <w:rFonts w:hint="eastAsia" w:ascii="宋体" w:hAnsi="宋体" w:eastAsia="宋体" w:cs="宋体"/>
          <w:b/>
          <w:bCs/>
          <w:spacing w:val="7"/>
          <w:position w:val="1"/>
          <w:sz w:val="28"/>
          <w:szCs w:val="28"/>
        </w:rPr>
        <w:t>四</w:t>
      </w:r>
      <w:r>
        <w:rPr>
          <w:rFonts w:hint="eastAsia" w:ascii="宋体" w:hAnsi="宋体" w:eastAsia="宋体" w:cs="宋体"/>
          <w:b/>
          <w:bCs/>
          <w:spacing w:val="7"/>
          <w:position w:val="1"/>
          <w:sz w:val="28"/>
          <w:szCs w:val="28"/>
          <w:lang w:eastAsia="zh-CN"/>
        </w:rPr>
        <w:t>、</w:t>
      </w:r>
      <w:r>
        <w:rPr>
          <w:rFonts w:hint="eastAsia" w:ascii="宋体" w:hAnsi="宋体" w:eastAsia="宋体" w:cs="宋体"/>
          <w:b/>
          <w:bCs/>
          <w:spacing w:val="7"/>
          <w:position w:val="1"/>
          <w:sz w:val="28"/>
          <w:szCs w:val="28"/>
        </w:rPr>
        <w:t>支撑体系建设</w:t>
      </w:r>
      <w:bookmarkEnd w:id="47"/>
      <w:bookmarkEnd w:id="48"/>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512" w:firstLineChars="200"/>
        <w:jc w:val="both"/>
        <w:textAlignment w:val="baseline"/>
        <w:outlineLvl w:val="9"/>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面完成自然资源调查、确权和登记工作，提高自然生态监测监管水平，完善自然资源“一张图”，突出山水林田湖草沙生态系统“一张图”管理，构建县级保护和修复重大工程项目监管与评估系统，为生态保护和修复重大工程提供一体化服务。详见专栏6-9。</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53"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专栏6-9  支撑体系建设重点工程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53"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rPr>
              <w:t>1、自然资源调查确权</w:t>
            </w:r>
          </w:p>
          <w:p>
            <w:pPr>
              <w:pStyle w:val="3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自然资源调查确权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组织实施自然资源基础调查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开展耕地资源、森林资源湿地资源、水资源、矿产资源等专项调查工作，查清自然资源家底及变化情况，有序推进自然资源确权登记工作</w:t>
            </w:r>
            <w:r>
              <w:rPr>
                <w:rFonts w:hint="eastAsia" w:ascii="宋体" w:hAnsi="宋体" w:eastAsia="宋体" w:cs="宋体"/>
                <w:color w:val="auto"/>
                <w:sz w:val="24"/>
                <w:szCs w:val="24"/>
                <w:highlight w:val="none"/>
                <w:lang w:val="en-US" w:eastAsia="zh-CN"/>
              </w:rPr>
              <w:t>。</w:t>
            </w:r>
          </w:p>
          <w:p>
            <w:pPr>
              <w:pStyle w:val="30"/>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建设时序：</w:t>
            </w: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-203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53" w:type="dxa"/>
            <w:noWrap w:val="0"/>
            <w:vAlign w:val="center"/>
          </w:tcPr>
          <w:p>
            <w:pPr>
              <w:keepNext w:val="0"/>
              <w:keepLines w:val="0"/>
              <w:widowControl/>
              <w:suppressLineNumbers w:val="0"/>
              <w:spacing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rPr>
              <w:t>、</w:t>
            </w:r>
            <w:r>
              <w:rPr>
                <w:rFonts w:hint="eastAsia" w:ascii="宋体" w:hAnsi="宋体" w:eastAsia="宋体" w:cs="宋体"/>
                <w:b/>
                <w:bCs/>
                <w:color w:val="auto"/>
                <w:kern w:val="0"/>
                <w:sz w:val="24"/>
                <w:szCs w:val="24"/>
                <w:highlight w:val="none"/>
                <w:lang w:val="en-US" w:eastAsia="zh-CN"/>
              </w:rPr>
              <w:t>生</w:t>
            </w:r>
            <w:r>
              <w:rPr>
                <w:rFonts w:hint="default" w:ascii="宋体" w:hAnsi="宋体" w:eastAsia="宋体" w:cs="宋体"/>
                <w:b/>
                <w:bCs/>
                <w:color w:val="auto"/>
                <w:kern w:val="0"/>
                <w:sz w:val="24"/>
                <w:szCs w:val="24"/>
                <w:highlight w:val="none"/>
                <w:lang w:val="en-US" w:eastAsia="zh-CN"/>
              </w:rPr>
              <w:t>物多样性</w:t>
            </w:r>
            <w:r>
              <w:rPr>
                <w:rFonts w:hint="eastAsia" w:ascii="宋体" w:hAnsi="宋体" w:eastAsia="宋体" w:cs="宋体"/>
                <w:b/>
                <w:bCs/>
                <w:color w:val="auto"/>
                <w:kern w:val="0"/>
                <w:sz w:val="24"/>
                <w:szCs w:val="24"/>
                <w:highlight w:val="none"/>
                <w:lang w:val="en-US" w:eastAsia="zh-CN"/>
              </w:rPr>
              <w:t>监测体系建设</w:t>
            </w:r>
          </w:p>
          <w:p>
            <w:pPr>
              <w:keepNext w:val="0"/>
              <w:keepLines w:val="0"/>
              <w:widowControl/>
              <w:suppressLineNumbers w:val="0"/>
              <w:spacing w:line="360" w:lineRule="auto"/>
              <w:ind w:firstLine="480" w:firstLineChars="200"/>
              <w:jc w:val="left"/>
              <w:rPr>
                <w:rFonts w:hint="default"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聚焦重点生态区，开展生</w:t>
            </w:r>
            <w:r>
              <w:rPr>
                <w:rFonts w:hint="default" w:ascii="宋体" w:hAnsi="宋体" w:eastAsia="宋体" w:cs="宋体"/>
                <w:snapToGrid w:val="0"/>
                <w:color w:val="auto"/>
                <w:kern w:val="0"/>
                <w:sz w:val="24"/>
                <w:szCs w:val="24"/>
                <w:highlight w:val="none"/>
                <w:lang w:val="en-US" w:eastAsia="zh-CN" w:bidi="ar-SA"/>
              </w:rPr>
              <w:t>物多样性综合调查、监测与评估，摸清重点生态区域生物多样性本底，编制并更新本行政区域内重要生物物种名录，建设生物多样性监测监管大数据，强化生态状况评价监测管理。开展生物灾害监测预警体系建设，提高监测评价的综合分析能力。</w:t>
            </w:r>
          </w:p>
          <w:p>
            <w:pPr>
              <w:keepNext w:val="0"/>
              <w:keepLines w:val="0"/>
              <w:widowControl/>
              <w:suppressLineNumbers w:val="0"/>
              <w:spacing w:line="360" w:lineRule="auto"/>
              <w:ind w:firstLine="482"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b/>
                <w:bCs/>
                <w:color w:val="auto"/>
                <w:sz w:val="24"/>
                <w:szCs w:val="24"/>
                <w:highlight w:val="none"/>
              </w:rPr>
              <w:t>建设时序：</w:t>
            </w: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-203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53" w:type="dxa"/>
            <w:noWrap w:val="0"/>
            <w:vAlign w:val="center"/>
          </w:tcPr>
          <w:p>
            <w:pPr>
              <w:pStyle w:val="30"/>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3、生态环境信息化工程</w:t>
            </w:r>
          </w:p>
          <w:p>
            <w:pPr>
              <w:pStyle w:val="30"/>
              <w:keepNext w:val="0"/>
              <w:keepLines w:val="0"/>
              <w:pageBreakBefore w:val="0"/>
              <w:widowControl w:val="0"/>
              <w:kinsoku/>
              <w:wordWrap/>
              <w:overflowPunct/>
              <w:topLinePunct w:val="0"/>
              <w:autoSpaceDE/>
              <w:autoSpaceDN/>
              <w:bidi w:val="0"/>
              <w:adjustRightInd w:val="0"/>
              <w:snapToGrid w:val="0"/>
              <w:spacing w:line="360" w:lineRule="auto"/>
              <w:ind w:firstLine="432" w:firstLineChars="200"/>
              <w:jc w:val="left"/>
              <w:textAlignment w:val="auto"/>
              <w:rPr>
                <w:rFonts w:hint="eastAsia" w:ascii="宋体" w:hAnsi="宋体" w:eastAsia="宋体" w:cs="宋体"/>
                <w:snapToGrid w:val="0"/>
                <w:color w:val="000000"/>
                <w:spacing w:val="-12"/>
                <w:kern w:val="0"/>
                <w:sz w:val="24"/>
                <w:szCs w:val="24"/>
                <w:lang w:val="en-US" w:eastAsia="zh-CN" w:bidi="ar-SA"/>
              </w:rPr>
            </w:pPr>
            <w:r>
              <w:rPr>
                <w:rFonts w:hint="eastAsia" w:ascii="宋体" w:hAnsi="宋体" w:eastAsia="宋体" w:cs="宋体"/>
                <w:snapToGrid w:val="0"/>
                <w:color w:val="000000"/>
                <w:spacing w:val="-12"/>
                <w:kern w:val="0"/>
                <w:sz w:val="24"/>
                <w:szCs w:val="24"/>
                <w:lang w:val="en-US" w:eastAsia="zh-CN" w:bidi="ar-SA"/>
              </w:rPr>
              <w:t>重大工程项目监管与评估，完善自然资源“一张图”，突出山水林田湖草沙生态系统一张图管理。对全县矿山生态修复监管系统进行优化升级，将全县生态保护和恢复重大工程实施纳入系统监管，完善项目申报和储备制度以及项目绩效评估制度，科学设定项目总体绩效目标和分年度绩效目标。健全项目全面全程监管机制，动态掌握重大工程实施情况。</w:t>
            </w:r>
          </w:p>
          <w:p>
            <w:pPr>
              <w:pStyle w:val="30"/>
              <w:keepNext w:val="0"/>
              <w:keepLines w:val="0"/>
              <w:pageBreakBefore w:val="0"/>
              <w:widowControl w:val="0"/>
              <w:kinsoku/>
              <w:wordWrap/>
              <w:overflowPunct/>
              <w:topLinePunct w:val="0"/>
              <w:autoSpaceDE/>
              <w:autoSpaceDN/>
              <w:bidi w:val="0"/>
              <w:adjustRightInd w:val="0"/>
              <w:snapToGrid w:val="0"/>
              <w:ind w:firstLine="434"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snapToGrid w:val="0"/>
                <w:color w:val="000000"/>
                <w:spacing w:val="-12"/>
                <w:kern w:val="0"/>
                <w:sz w:val="24"/>
                <w:szCs w:val="24"/>
                <w:lang w:val="en-US" w:eastAsia="zh-CN" w:bidi="ar-SA"/>
              </w:rPr>
              <w:t>建设时序：</w:t>
            </w:r>
            <w:r>
              <w:rPr>
                <w:rFonts w:hint="eastAsia" w:ascii="宋体" w:hAnsi="宋体" w:eastAsia="宋体" w:cs="宋体"/>
                <w:snapToGrid w:val="0"/>
                <w:color w:val="000000"/>
                <w:spacing w:val="-12"/>
                <w:kern w:val="0"/>
                <w:sz w:val="24"/>
                <w:szCs w:val="24"/>
                <w:lang w:val="en-US" w:eastAsia="zh-CN" w:bidi="ar-SA"/>
              </w:rPr>
              <w:t>2026-2035年</w:t>
            </w:r>
          </w:p>
        </w:tc>
      </w:tr>
    </w:tbl>
    <w:p>
      <w:pPr>
        <w:spacing w:before="156" w:line="360" w:lineRule="auto"/>
        <w:ind w:left="1559"/>
        <w:jc w:val="both"/>
        <w:outlineLvl w:val="0"/>
        <w:rPr>
          <w:rFonts w:hint="eastAsia" w:ascii="宋体" w:hAnsi="宋体" w:eastAsia="宋体" w:cs="宋体"/>
          <w:sz w:val="32"/>
          <w:szCs w:val="32"/>
        </w:rPr>
      </w:pPr>
      <w:bookmarkStart w:id="49" w:name="_Toc11548"/>
      <w:r>
        <w:rPr>
          <w:rFonts w:hint="eastAsia" w:ascii="宋体" w:hAnsi="宋体" w:eastAsia="宋体" w:cs="宋体"/>
          <w:b/>
          <w:bCs/>
          <w:spacing w:val="-1"/>
          <w:sz w:val="32"/>
          <w:szCs w:val="32"/>
        </w:rPr>
        <w:t>第七章</w:t>
      </w:r>
      <w:r>
        <w:rPr>
          <w:rFonts w:hint="eastAsia" w:ascii="宋体" w:hAnsi="宋体" w:eastAsia="宋体" w:cs="宋体"/>
          <w:b/>
          <w:bCs/>
          <w:spacing w:val="-1"/>
          <w:sz w:val="32"/>
          <w:szCs w:val="32"/>
          <w:lang w:val="en-US" w:eastAsia="zh-CN"/>
        </w:rPr>
        <w:t xml:space="preserve">  </w:t>
      </w:r>
      <w:r>
        <w:rPr>
          <w:rFonts w:hint="eastAsia" w:ascii="宋体" w:hAnsi="宋体" w:eastAsia="宋体" w:cs="宋体"/>
          <w:b/>
          <w:bCs/>
          <w:spacing w:val="-1"/>
          <w:sz w:val="32"/>
          <w:szCs w:val="32"/>
        </w:rPr>
        <w:t>规划衔接与协调论证情况</w:t>
      </w:r>
      <w:bookmarkEnd w:id="49"/>
    </w:p>
    <w:p>
      <w:pPr>
        <w:spacing w:before="100" w:line="360" w:lineRule="auto"/>
        <w:ind w:left="2183"/>
        <w:jc w:val="both"/>
        <w:outlineLvl w:val="1"/>
        <w:rPr>
          <w:rFonts w:hint="eastAsia" w:ascii="宋体" w:hAnsi="宋体" w:eastAsia="宋体" w:cs="宋体"/>
          <w:spacing w:val="-12"/>
          <w:sz w:val="28"/>
          <w:szCs w:val="28"/>
          <w:lang w:val="en-US" w:eastAsia="zh-CN"/>
        </w:rPr>
      </w:pPr>
      <w:bookmarkStart w:id="50" w:name="bookmark43"/>
      <w:bookmarkEnd w:id="50"/>
      <w:bookmarkStart w:id="51" w:name="_Toc4670"/>
      <w:r>
        <w:rPr>
          <w:rFonts w:hint="eastAsia" w:ascii="宋体" w:hAnsi="宋体" w:eastAsia="宋体" w:cs="宋体"/>
          <w:b/>
          <w:bCs/>
          <w:spacing w:val="8"/>
          <w:position w:val="1"/>
          <w:sz w:val="30"/>
          <w:szCs w:val="30"/>
        </w:rPr>
        <w:t>第一节 与相关规划衔接说明</w:t>
      </w:r>
      <w:bookmarkEnd w:id="51"/>
      <w:bookmarkStart w:id="52" w:name="bookmark44"/>
      <w:bookmarkEnd w:id="52"/>
    </w:p>
    <w:p>
      <w:pPr>
        <w:pStyle w:val="4"/>
        <w:spacing w:line="360" w:lineRule="auto"/>
        <w:ind w:left="0" w:leftChars="0" w:firstLine="562" w:firstLineChars="200"/>
        <w:jc w:val="both"/>
        <w:rPr>
          <w:rFonts w:hint="eastAsia" w:ascii="宋体" w:hAnsi="宋体" w:eastAsia="宋体" w:cs="宋体"/>
          <w:b/>
          <w:bCs/>
          <w:sz w:val="28"/>
          <w:szCs w:val="28"/>
        </w:rPr>
      </w:pPr>
      <w:r>
        <w:rPr>
          <w:rFonts w:hint="eastAsia" w:ascii="宋体" w:hAnsi="宋体" w:eastAsia="宋体" w:cs="宋体"/>
          <w:b/>
          <w:bCs/>
          <w:sz w:val="28"/>
          <w:szCs w:val="28"/>
          <w:lang w:val="en-US" w:eastAsia="zh-CN"/>
        </w:rPr>
        <w:t>一、</w:t>
      </w:r>
      <w:r>
        <w:rPr>
          <w:rFonts w:hint="eastAsia" w:ascii="宋体" w:hAnsi="宋体" w:eastAsia="宋体" w:cs="宋体"/>
          <w:b/>
          <w:bCs/>
          <w:sz w:val="28"/>
          <w:szCs w:val="28"/>
        </w:rPr>
        <w:t>与上级规划的衔接</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按照“下级国土空间生态修复规划必须服从上级国土空间生态修复规划”的原则，本轮规划编制，是落实曲靖市国土空间生态修复规划、师宗县国土空间总体规划等相关要求的具体体现，在全面落实和细化上级国土空间修复规划目标任务的前提下，就规划指导思想、生态修复目标任务、国土空间生态修复重点区域、重点工程及项目等方面，紧密结合师宗县实际情况，充分注重了与上级国土空间生态修复规划(《全国重要生态系统保护和修复重大工程总体规划(2021-2035年)》、《云南省国土空间生态修复规划(2021-2035年)》、《曲靖市国土空间生态修复规划2021-2035年)》)进行衔接和协调一致。</w:t>
      </w:r>
    </w:p>
    <w:p>
      <w:pPr>
        <w:pStyle w:val="4"/>
        <w:spacing w:line="360" w:lineRule="auto"/>
        <w:jc w:val="both"/>
        <w:rPr>
          <w:rFonts w:hint="eastAsia" w:ascii="宋体" w:hAnsi="宋体" w:eastAsia="宋体" w:cs="宋体"/>
          <w:b/>
          <w:bCs/>
          <w:sz w:val="28"/>
          <w:szCs w:val="28"/>
        </w:rPr>
      </w:pPr>
      <w:r>
        <w:rPr>
          <w:rFonts w:hint="eastAsia" w:ascii="宋体" w:hAnsi="宋体" w:eastAsia="宋体" w:cs="宋体"/>
          <w:b/>
          <w:bCs/>
          <w:sz w:val="28"/>
          <w:szCs w:val="28"/>
          <w:lang w:val="en-US" w:eastAsia="zh-CN"/>
        </w:rPr>
        <w:t>二、</w:t>
      </w:r>
      <w:r>
        <w:rPr>
          <w:rFonts w:hint="eastAsia" w:ascii="宋体" w:hAnsi="宋体" w:eastAsia="宋体" w:cs="宋体"/>
          <w:b/>
          <w:bCs/>
          <w:sz w:val="28"/>
          <w:szCs w:val="28"/>
        </w:rPr>
        <w:t>与国家和省“双重”规划衔接</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师宗县主要涉及国家长江重点生态区(含川滇生态屏障)，省域涉及滇东滇东南石漠化带。师宗县被纳入《云南省重要生态系统保护和修复重大工程总体规划(2021-2035年)》“三屏两带”中的滇东滇东南石漠化带生态保护和修复重大工程。“双重”规划是当前和今后一段时期推进全国重要生态系统保护和修复重大工程的指导性规划，项目区位于滇东滇东南石漠化生态修复带，石漠化问题在全省范围内十分典型，推进规划区生态修复工作，是落实省、市两级“双重”规划的具体体现，能切实提高水源涵养、防洪减灾、固碳释氧、保护水土、维持生物多样性等生态系统服务功能，改善县域生态环境，为珠江中下游地区生态环境安全提供上游基础保障。</w:t>
      </w:r>
    </w:p>
    <w:p>
      <w:pPr>
        <w:pStyle w:val="4"/>
        <w:spacing w:line="360" w:lineRule="auto"/>
        <w:jc w:val="both"/>
        <w:rPr>
          <w:rFonts w:hint="eastAsia" w:ascii="宋体" w:hAnsi="宋体" w:eastAsia="宋体" w:cs="宋体"/>
          <w:b/>
          <w:bCs/>
          <w:sz w:val="28"/>
          <w:szCs w:val="28"/>
        </w:rPr>
      </w:pPr>
      <w:r>
        <w:rPr>
          <w:rFonts w:hint="eastAsia" w:ascii="宋体" w:hAnsi="宋体" w:eastAsia="宋体" w:cs="宋体"/>
          <w:b/>
          <w:bCs/>
          <w:sz w:val="28"/>
          <w:szCs w:val="28"/>
          <w:lang w:val="en-US" w:eastAsia="zh-CN"/>
        </w:rPr>
        <w:t>三、</w:t>
      </w:r>
      <w:r>
        <w:rPr>
          <w:rFonts w:hint="eastAsia" w:ascii="宋体" w:hAnsi="宋体" w:eastAsia="宋体" w:cs="宋体"/>
          <w:b/>
          <w:bCs/>
          <w:sz w:val="28"/>
          <w:szCs w:val="28"/>
        </w:rPr>
        <w:t>与其他规划衔接</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（1）《曲靖市国土空间生态修复规划(2021-2035年)》备案稿；</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（2）《师宗县国土空间总体规划(2021-2035年)》备案稿；</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（3）《师宗县国民经济和社会发展第十四个五年规划和二〇三五年远景目标纲要》；</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（4）《师宗县矿产资源总体规划（2021～2025年）》；</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（5）《师宗县“十四五”农村供水保障规划》；</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（6）《师宗县县域水资源保护与利用规划》；</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（7）《师宗县水土保持规划（2020-2030年）》</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（8）《云南省师宗县森林资源规划设计调查报告》</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（9）《师宗县产业发展规划（2013—2020）》；</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（10）《曲靖市师宗县地质灾害防治“十四五”规划》；</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t>（11）《曲靖市生态环境保护“十四五”规划》。</w:t>
      </w:r>
    </w:p>
    <w:p>
      <w:pPr>
        <w:spacing w:before="100" w:line="360" w:lineRule="auto"/>
        <w:ind w:left="2183"/>
        <w:jc w:val="both"/>
        <w:outlineLvl w:val="1"/>
        <w:rPr>
          <w:rFonts w:hint="eastAsia" w:ascii="宋体" w:hAnsi="宋体" w:eastAsia="宋体" w:cs="宋体"/>
          <w:spacing w:val="-12"/>
          <w:sz w:val="28"/>
          <w:szCs w:val="28"/>
          <w:lang w:val="en-US" w:eastAsia="zh-CN"/>
        </w:rPr>
      </w:pPr>
      <w:bookmarkStart w:id="53" w:name="_Toc13380"/>
      <w:r>
        <w:rPr>
          <w:rFonts w:hint="eastAsia" w:ascii="宋体" w:hAnsi="宋体" w:eastAsia="宋体" w:cs="宋体"/>
          <w:b/>
          <w:bCs/>
          <w:spacing w:val="8"/>
          <w:position w:val="1"/>
          <w:sz w:val="30"/>
          <w:szCs w:val="30"/>
        </w:rPr>
        <w:t>第二节 论证与征求意见情况</w:t>
      </w:r>
      <w:bookmarkEnd w:id="53"/>
    </w:p>
    <w:p>
      <w:pPr>
        <w:pStyle w:val="4"/>
        <w:bidi w:val="0"/>
        <w:spacing w:line="360" w:lineRule="auto"/>
        <w:rPr>
          <w:rFonts w:hint="eastAsia" w:ascii="宋体" w:hAnsi="宋体" w:eastAsia="宋体" w:cs="宋体"/>
          <w:b/>
          <w:bCs/>
          <w:color w:val="auto"/>
          <w:sz w:val="28"/>
          <w:szCs w:val="28"/>
          <w:highlight w:val="none"/>
          <w:lang w:val="en-US" w:eastAsia="en-US"/>
        </w:rPr>
      </w:pPr>
      <w:r>
        <w:rPr>
          <w:rFonts w:hint="eastAsia" w:ascii="宋体" w:hAnsi="宋体" w:eastAsia="宋体" w:cs="宋体"/>
          <w:b/>
          <w:bCs/>
          <w:color w:val="auto"/>
          <w:sz w:val="28"/>
          <w:szCs w:val="28"/>
          <w:highlight w:val="none"/>
          <w:lang w:val="en-US" w:eastAsia="zh-CN"/>
        </w:rPr>
        <w:t>一、</w:t>
      </w:r>
      <w:r>
        <w:rPr>
          <w:rFonts w:hint="eastAsia" w:ascii="宋体" w:hAnsi="宋体" w:eastAsia="宋体" w:cs="宋体"/>
          <w:b/>
          <w:bCs/>
          <w:color w:val="auto"/>
          <w:sz w:val="28"/>
          <w:szCs w:val="28"/>
          <w:highlight w:val="none"/>
          <w:lang w:val="en-US" w:eastAsia="en-US"/>
        </w:rPr>
        <w:t>部门意见征询</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12" w:firstLineChars="200"/>
        <w:jc w:val="both"/>
        <w:textAlignment w:val="baseline"/>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en-US"/>
        </w:rPr>
        <w:t>按照编制要求</w:t>
      </w:r>
      <w:r>
        <w:rPr>
          <w:rFonts w:hint="eastAsia" w:ascii="宋体" w:hAnsi="宋体" w:eastAsia="宋体" w:cs="宋体"/>
          <w:spacing w:val="-12"/>
          <w:sz w:val="28"/>
          <w:szCs w:val="28"/>
          <w:lang w:val="en-US" w:eastAsia="zh-CN"/>
        </w:rPr>
        <w:t>，</w:t>
      </w:r>
      <w:r>
        <w:rPr>
          <w:rFonts w:hint="eastAsia" w:ascii="宋体" w:hAnsi="宋体" w:eastAsia="宋体" w:cs="宋体"/>
          <w:spacing w:val="-12"/>
          <w:sz w:val="28"/>
          <w:szCs w:val="28"/>
          <w:lang w:val="en-US" w:eastAsia="en-US"/>
        </w:rPr>
        <w:t>《</w:t>
      </w:r>
      <w:r>
        <w:rPr>
          <w:rFonts w:hint="eastAsia" w:ascii="宋体" w:hAnsi="宋体" w:eastAsia="宋体" w:cs="宋体"/>
          <w:spacing w:val="-12"/>
          <w:sz w:val="28"/>
          <w:szCs w:val="28"/>
          <w:lang w:val="en-US" w:eastAsia="zh-CN"/>
        </w:rPr>
        <w:t>师宗县</w:t>
      </w:r>
      <w:r>
        <w:rPr>
          <w:rFonts w:hint="eastAsia" w:ascii="宋体" w:hAnsi="宋体" w:eastAsia="宋体" w:cs="宋体"/>
          <w:spacing w:val="-12"/>
          <w:sz w:val="28"/>
          <w:szCs w:val="28"/>
          <w:lang w:val="en-US" w:eastAsia="en-US"/>
        </w:rPr>
        <w:t>国土空间生态修复规划(2021-2035年)》(初稿)编制完成后，进行部门意见征询</w:t>
      </w:r>
      <w:r>
        <w:rPr>
          <w:rFonts w:hint="eastAsia" w:ascii="宋体" w:hAnsi="宋体" w:eastAsia="宋体" w:cs="宋体"/>
          <w:spacing w:val="-12"/>
          <w:sz w:val="28"/>
          <w:szCs w:val="28"/>
          <w:lang w:val="en-US" w:eastAsia="zh-CN"/>
        </w:rPr>
        <w:t>。2025年8月28日，9月28日师宗县自然资源局以公函形式，将规划成果传至公文系统，先后两次征求县发展和改革局、市生态环境局师宗分局、县住房和城乡建设局、县农业农村局、县水务局、县林业和草原局、县财政局的意见</w:t>
      </w:r>
      <w:r>
        <w:rPr>
          <w:rFonts w:hint="eastAsia" w:ascii="宋体" w:hAnsi="宋体" w:eastAsia="宋体" w:cs="宋体"/>
          <w:spacing w:val="-12"/>
          <w:sz w:val="28"/>
          <w:szCs w:val="28"/>
          <w:lang w:val="en-US" w:eastAsia="en-US"/>
        </w:rPr>
        <w:t>，确保规划目标合理、指标可控、项目可行，同时组织内部各科室，对规划编制的初步成果进行了初步审核</w:t>
      </w:r>
      <w:r>
        <w:rPr>
          <w:rFonts w:hint="eastAsia" w:ascii="宋体" w:hAnsi="宋体" w:eastAsia="宋体" w:cs="宋体"/>
          <w:spacing w:val="-12"/>
          <w:sz w:val="28"/>
          <w:szCs w:val="28"/>
          <w:lang w:val="en-US" w:eastAsia="zh-CN"/>
        </w:rPr>
        <w:t>。</w:t>
      </w:r>
      <w:r>
        <w:rPr>
          <w:rFonts w:hint="eastAsia" w:ascii="宋体" w:hAnsi="宋体" w:eastAsia="宋体" w:cs="宋体"/>
          <w:spacing w:val="-12"/>
          <w:sz w:val="28"/>
          <w:szCs w:val="28"/>
          <w:lang w:val="en-US" w:eastAsia="en-US"/>
        </w:rPr>
        <w:t>意见收集后，项目编制单位按照</w:t>
      </w:r>
      <w:r>
        <w:rPr>
          <w:rFonts w:hint="eastAsia" w:ascii="宋体" w:hAnsi="宋体" w:eastAsia="宋体" w:cs="宋体"/>
          <w:spacing w:val="-12"/>
          <w:sz w:val="28"/>
          <w:szCs w:val="28"/>
          <w:lang w:val="en-US" w:eastAsia="zh-CN"/>
        </w:rPr>
        <w:t>师宗县</w:t>
      </w:r>
      <w:r>
        <w:rPr>
          <w:rFonts w:hint="eastAsia" w:ascii="宋体" w:hAnsi="宋体" w:eastAsia="宋体" w:cs="宋体"/>
          <w:spacing w:val="-12"/>
          <w:sz w:val="28"/>
          <w:szCs w:val="28"/>
          <w:lang w:val="en-US" w:eastAsia="en-US"/>
        </w:rPr>
        <w:t>各职能部门的相关意见对规划成果进行了修改完善</w:t>
      </w:r>
      <w:r>
        <w:rPr>
          <w:rFonts w:hint="eastAsia" w:ascii="宋体" w:hAnsi="宋体" w:eastAsia="宋体" w:cs="宋体"/>
          <w:spacing w:val="-12"/>
          <w:sz w:val="28"/>
          <w:szCs w:val="28"/>
          <w:lang w:val="en-US" w:eastAsia="zh-CN"/>
        </w:rPr>
        <w:t>。</w:t>
      </w:r>
    </w:p>
    <w:p>
      <w:pPr>
        <w:pStyle w:val="4"/>
        <w:bidi w:val="0"/>
        <w:spacing w:line="360" w:lineRule="auto"/>
        <w:rPr>
          <w:rFonts w:hint="eastAsia" w:ascii="宋体" w:hAnsi="宋体" w:eastAsia="宋体" w:cs="宋体"/>
          <w:b/>
          <w:bCs/>
          <w:color w:val="auto"/>
          <w:sz w:val="28"/>
          <w:szCs w:val="28"/>
          <w:highlight w:val="none"/>
          <w:lang w:val="en-US" w:eastAsia="en-US"/>
        </w:rPr>
      </w:pPr>
      <w:r>
        <w:rPr>
          <w:rFonts w:hint="eastAsia" w:ascii="宋体" w:hAnsi="宋体" w:eastAsia="宋体" w:cs="宋体"/>
          <w:b/>
          <w:bCs/>
          <w:color w:val="auto"/>
          <w:sz w:val="28"/>
          <w:szCs w:val="28"/>
          <w:highlight w:val="none"/>
          <w:lang w:val="en-US" w:eastAsia="zh-CN"/>
        </w:rPr>
        <w:t>二、</w:t>
      </w:r>
      <w:r>
        <w:rPr>
          <w:rFonts w:hint="eastAsia" w:ascii="宋体" w:hAnsi="宋体" w:eastAsia="宋体" w:cs="宋体"/>
          <w:b/>
          <w:bCs/>
          <w:color w:val="auto"/>
          <w:sz w:val="28"/>
          <w:szCs w:val="28"/>
          <w:highlight w:val="none"/>
          <w:lang w:val="en-US" w:eastAsia="en-US"/>
        </w:rPr>
        <w:t>公众意见征询</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60" w:firstLineChars="200"/>
        <w:jc w:val="both"/>
        <w:textAlignment w:val="baseline"/>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en-US"/>
        </w:rPr>
        <w:t>规划成果经部门意见征询，修改完善后的重要章节内容形成《</w:t>
      </w:r>
      <w:r>
        <w:rPr>
          <w:rFonts w:hint="eastAsia" w:ascii="宋体" w:hAnsi="宋体" w:eastAsia="宋体" w:cs="宋体"/>
          <w:color w:val="auto"/>
          <w:sz w:val="28"/>
          <w:szCs w:val="28"/>
          <w:highlight w:val="none"/>
          <w:lang w:val="en-US" w:eastAsia="zh-CN"/>
        </w:rPr>
        <w:t>师宗县</w:t>
      </w:r>
      <w:r>
        <w:rPr>
          <w:rFonts w:hint="eastAsia" w:ascii="宋体" w:hAnsi="宋体" w:eastAsia="宋体" w:cs="宋体"/>
          <w:color w:val="auto"/>
          <w:sz w:val="28"/>
          <w:szCs w:val="28"/>
          <w:highlight w:val="none"/>
          <w:lang w:eastAsia="en-US"/>
        </w:rPr>
        <w:t>国土空间生态修复规划（2021-2035年）)(公众征求意见稿)》，202</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en-US"/>
        </w:rPr>
        <w:t>年</w:t>
      </w:r>
      <w:r>
        <w:rPr>
          <w:rFonts w:hint="eastAsia" w:ascii="宋体" w:hAnsi="宋体" w:eastAsia="宋体" w:cs="宋体"/>
          <w:color w:val="auto"/>
          <w:sz w:val="28"/>
          <w:szCs w:val="28"/>
          <w:highlight w:val="none"/>
          <w:lang w:val="en-US" w:eastAsia="zh-CN"/>
        </w:rPr>
        <w:t>10</w:t>
      </w:r>
      <w:r>
        <w:rPr>
          <w:rFonts w:hint="eastAsia" w:ascii="宋体" w:hAnsi="宋体" w:eastAsia="宋体" w:cs="宋体"/>
          <w:color w:val="auto"/>
          <w:sz w:val="28"/>
          <w:szCs w:val="28"/>
          <w:highlight w:val="none"/>
          <w:lang w:eastAsia="en-US"/>
        </w:rPr>
        <w:t>月</w:t>
      </w:r>
      <w:r>
        <w:rPr>
          <w:rFonts w:hint="eastAsia" w:ascii="宋体" w:hAnsi="宋体" w:eastAsia="宋体" w:cs="宋体"/>
          <w:color w:val="auto"/>
          <w:sz w:val="28"/>
          <w:szCs w:val="28"/>
          <w:highlight w:val="none"/>
          <w:lang w:val="en-US" w:eastAsia="zh-CN"/>
        </w:rPr>
        <w:t>30</w:t>
      </w:r>
      <w:r>
        <w:rPr>
          <w:rFonts w:hint="eastAsia" w:ascii="宋体" w:hAnsi="宋体" w:eastAsia="宋体" w:cs="宋体"/>
          <w:color w:val="auto"/>
          <w:sz w:val="28"/>
          <w:szCs w:val="28"/>
          <w:highlight w:val="none"/>
          <w:lang w:eastAsia="en-US"/>
        </w:rPr>
        <w:t>日，</w:t>
      </w:r>
      <w:r>
        <w:rPr>
          <w:rFonts w:hint="eastAsia" w:ascii="宋体" w:hAnsi="宋体" w:eastAsia="宋体" w:cs="宋体"/>
          <w:color w:val="auto"/>
          <w:sz w:val="28"/>
          <w:szCs w:val="28"/>
          <w:highlight w:val="none"/>
          <w:lang w:val="en-US" w:eastAsia="zh-CN"/>
        </w:rPr>
        <w:t>师宗县</w:t>
      </w:r>
      <w:r>
        <w:rPr>
          <w:rFonts w:hint="eastAsia" w:ascii="宋体" w:hAnsi="宋体" w:eastAsia="宋体" w:cs="宋体"/>
          <w:color w:val="auto"/>
          <w:sz w:val="28"/>
          <w:szCs w:val="28"/>
          <w:highlight w:val="none"/>
          <w:lang w:eastAsia="en-US"/>
        </w:rPr>
        <w:t>自然资源局通过</w:t>
      </w:r>
      <w:r>
        <w:rPr>
          <w:rFonts w:hint="eastAsia" w:ascii="宋体" w:hAnsi="宋体" w:eastAsia="宋体" w:cs="宋体"/>
          <w:color w:val="auto"/>
          <w:sz w:val="28"/>
          <w:szCs w:val="28"/>
          <w:highlight w:val="none"/>
          <w:lang w:val="en-US" w:eastAsia="zh-CN"/>
        </w:rPr>
        <w:t>师宗县</w:t>
      </w:r>
      <w:r>
        <w:rPr>
          <w:rFonts w:hint="eastAsia" w:ascii="宋体" w:hAnsi="宋体" w:eastAsia="宋体" w:cs="宋体"/>
          <w:color w:val="auto"/>
          <w:sz w:val="28"/>
          <w:szCs w:val="28"/>
          <w:highlight w:val="none"/>
          <w:lang w:eastAsia="en-US"/>
        </w:rPr>
        <w:t>人民政府官网公布征询公众意见，</w:t>
      </w:r>
      <w:r>
        <w:rPr>
          <w:rFonts w:hint="eastAsia" w:ascii="宋体" w:hAnsi="宋体" w:eastAsia="宋体" w:cs="宋体"/>
          <w:color w:val="auto"/>
          <w:sz w:val="28"/>
          <w:szCs w:val="28"/>
          <w:highlight w:val="none"/>
          <w:lang w:eastAsia="zh-CN"/>
        </w:rPr>
        <w:t>截至目前</w:t>
      </w:r>
      <w:r>
        <w:rPr>
          <w:rFonts w:hint="eastAsia" w:ascii="宋体" w:hAnsi="宋体" w:eastAsia="宋体" w:cs="宋体"/>
          <w:color w:val="auto"/>
          <w:sz w:val="28"/>
          <w:szCs w:val="28"/>
          <w:highlight w:val="none"/>
          <w:lang w:eastAsia="en-US"/>
        </w:rPr>
        <w:t>，暂未收到相应反馈意见</w:t>
      </w:r>
      <w:r>
        <w:rPr>
          <w:rFonts w:hint="eastAsia" w:ascii="宋体" w:hAnsi="宋体" w:eastAsia="宋体" w:cs="宋体"/>
          <w:color w:val="auto"/>
          <w:sz w:val="28"/>
          <w:szCs w:val="28"/>
          <w:highlight w:val="none"/>
          <w:lang w:eastAsia="zh-CN"/>
        </w:rPr>
        <w:t>。</w:t>
      </w:r>
    </w:p>
    <w:p>
      <w:pPr>
        <w:spacing w:before="100" w:line="360" w:lineRule="auto"/>
        <w:ind w:left="2183"/>
        <w:jc w:val="both"/>
        <w:outlineLvl w:val="1"/>
        <w:rPr>
          <w:rFonts w:hint="eastAsia" w:ascii="宋体" w:hAnsi="宋体" w:eastAsia="宋体" w:cs="宋体"/>
          <w:spacing w:val="-12"/>
          <w:sz w:val="28"/>
          <w:szCs w:val="28"/>
          <w:lang w:val="en-US" w:eastAsia="zh-CN"/>
        </w:rPr>
      </w:pPr>
      <w:bookmarkStart w:id="54" w:name="_Toc8545"/>
      <w:r>
        <w:rPr>
          <w:rFonts w:hint="eastAsia" w:ascii="宋体" w:hAnsi="宋体" w:eastAsia="宋体" w:cs="宋体"/>
          <w:b/>
          <w:bCs/>
          <w:spacing w:val="8"/>
          <w:position w:val="1"/>
          <w:sz w:val="30"/>
          <w:szCs w:val="30"/>
        </w:rPr>
        <w:t>第</w:t>
      </w:r>
      <w:r>
        <w:rPr>
          <w:rFonts w:hint="eastAsia" w:ascii="宋体" w:hAnsi="宋体" w:eastAsia="宋体" w:cs="宋体"/>
          <w:b/>
          <w:bCs/>
          <w:spacing w:val="8"/>
          <w:position w:val="1"/>
          <w:sz w:val="30"/>
          <w:szCs w:val="30"/>
          <w:lang w:val="en-US" w:eastAsia="zh-CN"/>
        </w:rPr>
        <w:t>三</w:t>
      </w:r>
      <w:r>
        <w:rPr>
          <w:rFonts w:hint="eastAsia" w:ascii="宋体" w:hAnsi="宋体" w:eastAsia="宋体" w:cs="宋体"/>
          <w:b/>
          <w:bCs/>
          <w:spacing w:val="8"/>
          <w:position w:val="1"/>
          <w:sz w:val="30"/>
          <w:szCs w:val="30"/>
        </w:rPr>
        <w:t xml:space="preserve">节 </w:t>
      </w:r>
      <w:r>
        <w:rPr>
          <w:rFonts w:hint="eastAsia" w:ascii="宋体" w:hAnsi="宋体" w:eastAsia="宋体" w:cs="宋体"/>
          <w:b/>
          <w:bCs/>
          <w:spacing w:val="8"/>
          <w:position w:val="1"/>
          <w:sz w:val="30"/>
          <w:szCs w:val="30"/>
          <w:lang w:val="en-US" w:eastAsia="zh-CN"/>
        </w:rPr>
        <w:t>专家审查意见修改说明</w:t>
      </w:r>
      <w:r>
        <w:rPr>
          <w:rFonts w:hint="eastAsia" w:ascii="宋体" w:hAnsi="宋体" w:eastAsia="宋体" w:cs="宋体"/>
          <w:b/>
          <w:bCs/>
          <w:spacing w:val="8"/>
          <w:position w:val="1"/>
          <w:sz w:val="30"/>
          <w:szCs w:val="30"/>
        </w:rPr>
        <w:t>情况</w:t>
      </w:r>
      <w:bookmarkEnd w:id="54"/>
    </w:p>
    <w:p>
      <w:pPr>
        <w:keepNext w:val="0"/>
        <w:keepLines w:val="0"/>
        <w:pageBreakBefore w:val="0"/>
        <w:widowControl/>
        <w:kinsoku w:val="0"/>
        <w:wordWrap/>
        <w:overflowPunct/>
        <w:topLinePunct w:val="0"/>
        <w:autoSpaceDE w:val="0"/>
        <w:autoSpaceDN w:val="0"/>
        <w:bidi w:val="0"/>
        <w:adjustRightInd/>
        <w:snapToGrid/>
        <w:spacing w:line="360" w:lineRule="auto"/>
        <w:ind w:right="0" w:firstLine="560" w:firstLineChars="200"/>
        <w:jc w:val="both"/>
        <w:textAlignment w:val="baseline"/>
        <w:rPr>
          <w:rFonts w:hint="eastAsia" w:ascii="宋体" w:hAnsi="宋体" w:eastAsia="宋体" w:cs="宋体"/>
          <w:color w:val="auto"/>
          <w:sz w:val="28"/>
          <w:szCs w:val="28"/>
          <w:highlight w:val="none"/>
          <w:lang w:eastAsia="en-US"/>
        </w:rPr>
      </w:pPr>
      <w:r>
        <w:rPr>
          <w:rFonts w:hint="eastAsia" w:ascii="宋体" w:hAnsi="宋体" w:eastAsia="宋体" w:cs="宋体"/>
          <w:color w:val="auto"/>
          <w:sz w:val="28"/>
          <w:szCs w:val="28"/>
          <w:highlight w:val="none"/>
          <w:lang w:eastAsia="en-US"/>
        </w:rPr>
        <w:t>202</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lang w:eastAsia="en-US"/>
        </w:rPr>
        <w:t>年</w:t>
      </w:r>
      <w:r>
        <w:rPr>
          <w:rFonts w:hint="eastAsia" w:ascii="宋体" w:hAnsi="宋体" w:eastAsia="宋体" w:cs="宋体"/>
          <w:color w:val="auto"/>
          <w:sz w:val="28"/>
          <w:szCs w:val="28"/>
          <w:highlight w:val="none"/>
          <w:lang w:val="en-US" w:eastAsia="zh-CN"/>
        </w:rPr>
        <w:t>9</w:t>
      </w:r>
      <w:r>
        <w:rPr>
          <w:rFonts w:hint="eastAsia" w:ascii="宋体" w:hAnsi="宋体" w:eastAsia="宋体" w:cs="宋体"/>
          <w:color w:val="auto"/>
          <w:sz w:val="28"/>
          <w:szCs w:val="28"/>
          <w:highlight w:val="none"/>
          <w:lang w:eastAsia="en-US"/>
        </w:rPr>
        <w:t>月</w:t>
      </w:r>
      <w:r>
        <w:rPr>
          <w:rFonts w:hint="eastAsia" w:ascii="宋体" w:hAnsi="宋体" w:eastAsia="宋体" w:cs="宋体"/>
          <w:color w:val="auto"/>
          <w:sz w:val="28"/>
          <w:szCs w:val="28"/>
          <w:highlight w:val="none"/>
          <w:lang w:val="en-US" w:eastAsia="zh-CN"/>
        </w:rPr>
        <w:t>16</w:t>
      </w:r>
      <w:r>
        <w:rPr>
          <w:rFonts w:hint="eastAsia" w:ascii="宋体" w:hAnsi="宋体" w:eastAsia="宋体" w:cs="宋体"/>
          <w:color w:val="auto"/>
          <w:sz w:val="28"/>
          <w:szCs w:val="28"/>
          <w:highlight w:val="none"/>
          <w:lang w:eastAsia="en-US"/>
        </w:rPr>
        <w:t>日，曲靖市自然资源和规划局邀请</w:t>
      </w:r>
      <w:r>
        <w:rPr>
          <w:rFonts w:hint="eastAsia" w:ascii="宋体" w:hAnsi="宋体" w:eastAsia="宋体" w:cs="宋体"/>
          <w:color w:val="auto"/>
          <w:sz w:val="28"/>
          <w:szCs w:val="28"/>
          <w:highlight w:val="none"/>
          <w:lang w:val="en-US" w:eastAsia="zh-CN"/>
        </w:rPr>
        <w:t>5名</w:t>
      </w:r>
      <w:r>
        <w:rPr>
          <w:rFonts w:hint="eastAsia" w:ascii="宋体" w:hAnsi="宋体" w:eastAsia="宋体" w:cs="宋体"/>
          <w:color w:val="auto"/>
          <w:sz w:val="28"/>
          <w:szCs w:val="28"/>
          <w:highlight w:val="none"/>
          <w:lang w:eastAsia="en-US"/>
        </w:rPr>
        <w:t>专家在曲靖对云南省</w:t>
      </w:r>
      <w:r>
        <w:rPr>
          <w:rFonts w:hint="eastAsia" w:ascii="宋体" w:hAnsi="宋体" w:eastAsia="宋体" w:cs="宋体"/>
          <w:color w:val="auto"/>
          <w:sz w:val="28"/>
          <w:szCs w:val="28"/>
          <w:highlight w:val="none"/>
          <w:lang w:val="en-US" w:eastAsia="zh-CN"/>
        </w:rPr>
        <w:t>有色地质局三一七队</w:t>
      </w:r>
      <w:r>
        <w:rPr>
          <w:rFonts w:hint="eastAsia" w:ascii="宋体" w:hAnsi="宋体" w:eastAsia="宋体" w:cs="宋体"/>
          <w:color w:val="auto"/>
          <w:sz w:val="28"/>
          <w:szCs w:val="28"/>
          <w:highlight w:val="none"/>
          <w:lang w:eastAsia="en-US"/>
        </w:rPr>
        <w:t>编制的《</w:t>
      </w:r>
      <w:r>
        <w:rPr>
          <w:rFonts w:hint="eastAsia" w:ascii="宋体" w:hAnsi="宋体" w:eastAsia="宋体" w:cs="宋体"/>
          <w:color w:val="auto"/>
          <w:sz w:val="28"/>
          <w:szCs w:val="28"/>
          <w:highlight w:val="none"/>
          <w:lang w:val="en-US" w:eastAsia="zh-CN"/>
        </w:rPr>
        <w:t>师宗县</w:t>
      </w:r>
      <w:r>
        <w:rPr>
          <w:rFonts w:hint="eastAsia" w:ascii="宋体" w:hAnsi="宋体" w:eastAsia="宋体" w:cs="宋体"/>
          <w:color w:val="auto"/>
          <w:sz w:val="28"/>
          <w:szCs w:val="28"/>
          <w:highlight w:val="none"/>
          <w:lang w:eastAsia="en-US"/>
        </w:rPr>
        <w:t>国土空间生态修复规划（2021-2035年</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eastAsia="en-US"/>
        </w:rPr>
        <w:t>》进行评审。根据各位专家意见</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eastAsia="en-US"/>
        </w:rPr>
        <w:t>项目组认真进行了</w:t>
      </w:r>
      <w:r>
        <w:rPr>
          <w:rFonts w:hint="eastAsia" w:ascii="宋体" w:hAnsi="宋体" w:eastAsia="宋体" w:cs="宋体"/>
          <w:color w:val="auto"/>
          <w:sz w:val="28"/>
          <w:szCs w:val="28"/>
          <w:highlight w:val="none"/>
          <w:lang w:val="en-US" w:eastAsia="zh-CN"/>
        </w:rPr>
        <w:t>修</w:t>
      </w:r>
      <w:r>
        <w:rPr>
          <w:rFonts w:hint="eastAsia" w:ascii="宋体" w:hAnsi="宋体" w:eastAsia="宋体" w:cs="宋体"/>
          <w:color w:val="auto"/>
          <w:sz w:val="28"/>
          <w:szCs w:val="28"/>
          <w:highlight w:val="none"/>
          <w:lang w:eastAsia="en-US"/>
        </w:rPr>
        <w:t>改</w:t>
      </w:r>
      <w:r>
        <w:rPr>
          <w:rFonts w:hint="eastAsia" w:ascii="宋体" w:hAnsi="宋体" w:eastAsia="宋体" w:cs="宋体"/>
          <w:color w:val="auto"/>
          <w:sz w:val="28"/>
          <w:szCs w:val="28"/>
          <w:highlight w:val="none"/>
          <w:lang w:val="en-US" w:eastAsia="zh-CN"/>
        </w:rPr>
        <w:t>完善</w:t>
      </w:r>
      <w:r>
        <w:rPr>
          <w:rFonts w:hint="eastAsia" w:ascii="宋体" w:hAnsi="宋体" w:eastAsia="宋体" w:cs="宋体"/>
          <w:color w:val="auto"/>
          <w:sz w:val="28"/>
          <w:szCs w:val="28"/>
          <w:highlight w:val="none"/>
          <w:lang w:eastAsia="en-US"/>
        </w:rPr>
        <w:t>。</w:t>
      </w:r>
    </w:p>
    <w:p>
      <w:pPr>
        <w:keepNext w:val="0"/>
        <w:keepLines w:val="0"/>
        <w:pageBreakBefore w:val="0"/>
        <w:widowControl/>
        <w:kinsoku w:val="0"/>
        <w:wordWrap/>
        <w:overflowPunct/>
        <w:topLinePunct w:val="0"/>
        <w:autoSpaceDE w:val="0"/>
        <w:autoSpaceDN w:val="0"/>
        <w:bidi w:val="0"/>
        <w:adjustRightInd/>
        <w:snapToGrid/>
        <w:spacing w:line="360" w:lineRule="auto"/>
        <w:ind w:right="0" w:firstLine="560" w:firstLineChars="200"/>
        <w:jc w:val="both"/>
        <w:textAlignment w:val="baseline"/>
        <w:rPr>
          <w:rFonts w:hint="eastAsia" w:ascii="宋体" w:hAnsi="宋体" w:eastAsia="宋体" w:cs="宋体"/>
          <w:color w:val="auto"/>
          <w:sz w:val="28"/>
          <w:szCs w:val="28"/>
          <w:highlight w:val="none"/>
          <w:lang w:eastAsia="en-US"/>
        </w:rPr>
      </w:pPr>
    </w:p>
    <w:p>
      <w:pPr>
        <w:keepNext w:val="0"/>
        <w:keepLines w:val="0"/>
        <w:pageBreakBefore w:val="0"/>
        <w:widowControl/>
        <w:kinsoku w:val="0"/>
        <w:wordWrap/>
        <w:overflowPunct/>
        <w:topLinePunct w:val="0"/>
        <w:autoSpaceDE w:val="0"/>
        <w:autoSpaceDN w:val="0"/>
        <w:bidi w:val="0"/>
        <w:adjustRightInd/>
        <w:snapToGrid/>
        <w:spacing w:line="360" w:lineRule="auto"/>
        <w:ind w:right="0" w:firstLine="560" w:firstLineChars="200"/>
        <w:jc w:val="both"/>
        <w:textAlignment w:val="baseline"/>
        <w:rPr>
          <w:rFonts w:hint="eastAsia" w:ascii="宋体" w:hAnsi="宋体" w:eastAsia="宋体" w:cs="宋体"/>
          <w:color w:val="auto"/>
          <w:sz w:val="28"/>
          <w:szCs w:val="28"/>
          <w:highlight w:val="none"/>
          <w:lang w:eastAsia="en-US"/>
        </w:rPr>
      </w:pPr>
    </w:p>
    <w:p>
      <w:pPr>
        <w:keepNext w:val="0"/>
        <w:keepLines w:val="0"/>
        <w:pageBreakBefore w:val="0"/>
        <w:widowControl/>
        <w:kinsoku w:val="0"/>
        <w:wordWrap/>
        <w:overflowPunct/>
        <w:topLinePunct w:val="0"/>
        <w:autoSpaceDE w:val="0"/>
        <w:autoSpaceDN w:val="0"/>
        <w:bidi w:val="0"/>
        <w:adjustRightInd/>
        <w:snapToGrid/>
        <w:spacing w:line="360" w:lineRule="auto"/>
        <w:ind w:right="0" w:firstLine="560" w:firstLineChars="200"/>
        <w:jc w:val="both"/>
        <w:textAlignment w:val="baseline"/>
        <w:rPr>
          <w:rFonts w:hint="eastAsia" w:ascii="宋体" w:hAnsi="宋体" w:eastAsia="宋体" w:cs="宋体"/>
          <w:color w:val="auto"/>
          <w:sz w:val="28"/>
          <w:szCs w:val="28"/>
          <w:highlight w:val="none"/>
          <w:lang w:eastAsia="en-US"/>
        </w:rPr>
      </w:pPr>
    </w:p>
    <w:p>
      <w:pPr>
        <w:keepNext w:val="0"/>
        <w:keepLines w:val="0"/>
        <w:pageBreakBefore w:val="0"/>
        <w:widowControl/>
        <w:kinsoku w:val="0"/>
        <w:wordWrap/>
        <w:overflowPunct/>
        <w:topLinePunct w:val="0"/>
        <w:autoSpaceDE w:val="0"/>
        <w:autoSpaceDN w:val="0"/>
        <w:bidi w:val="0"/>
        <w:adjustRightInd/>
        <w:snapToGrid/>
        <w:spacing w:line="360" w:lineRule="auto"/>
        <w:ind w:right="0" w:firstLine="560" w:firstLineChars="200"/>
        <w:jc w:val="both"/>
        <w:textAlignment w:val="baseline"/>
        <w:rPr>
          <w:rFonts w:hint="eastAsia" w:ascii="宋体" w:hAnsi="宋体" w:eastAsia="宋体" w:cs="宋体"/>
          <w:color w:val="auto"/>
          <w:sz w:val="28"/>
          <w:szCs w:val="28"/>
          <w:highlight w:val="none"/>
          <w:lang w:eastAsia="en-US"/>
        </w:rPr>
      </w:pPr>
    </w:p>
    <w:p>
      <w:pPr>
        <w:keepNext w:val="0"/>
        <w:keepLines w:val="0"/>
        <w:pageBreakBefore w:val="0"/>
        <w:widowControl/>
        <w:kinsoku w:val="0"/>
        <w:wordWrap/>
        <w:overflowPunct/>
        <w:topLinePunct w:val="0"/>
        <w:autoSpaceDE w:val="0"/>
        <w:autoSpaceDN w:val="0"/>
        <w:bidi w:val="0"/>
        <w:adjustRightInd/>
        <w:snapToGrid/>
        <w:spacing w:line="360" w:lineRule="auto"/>
        <w:ind w:right="0" w:firstLine="560" w:firstLineChars="200"/>
        <w:jc w:val="both"/>
        <w:textAlignment w:val="baseline"/>
        <w:rPr>
          <w:rFonts w:hint="eastAsia" w:ascii="宋体" w:hAnsi="宋体" w:eastAsia="宋体" w:cs="宋体"/>
          <w:color w:val="auto"/>
          <w:sz w:val="28"/>
          <w:szCs w:val="28"/>
          <w:highlight w:val="none"/>
          <w:lang w:eastAsia="en-US"/>
        </w:rPr>
      </w:pPr>
    </w:p>
    <w:p>
      <w:pPr>
        <w:keepNext w:val="0"/>
        <w:keepLines w:val="0"/>
        <w:pageBreakBefore w:val="0"/>
        <w:widowControl/>
        <w:kinsoku w:val="0"/>
        <w:wordWrap/>
        <w:overflowPunct/>
        <w:topLinePunct w:val="0"/>
        <w:autoSpaceDE w:val="0"/>
        <w:autoSpaceDN w:val="0"/>
        <w:bidi w:val="0"/>
        <w:adjustRightInd/>
        <w:snapToGrid/>
        <w:spacing w:line="360" w:lineRule="auto"/>
        <w:ind w:right="0" w:firstLine="560" w:firstLineChars="200"/>
        <w:jc w:val="both"/>
        <w:textAlignment w:val="baseline"/>
        <w:rPr>
          <w:rFonts w:hint="eastAsia" w:ascii="宋体" w:hAnsi="宋体" w:eastAsia="宋体" w:cs="宋体"/>
          <w:color w:val="auto"/>
          <w:sz w:val="28"/>
          <w:szCs w:val="28"/>
          <w:highlight w:val="none"/>
          <w:lang w:eastAsia="en-US"/>
        </w:rPr>
      </w:pPr>
    </w:p>
    <w:p>
      <w:pPr>
        <w:keepNext w:val="0"/>
        <w:keepLines w:val="0"/>
        <w:pageBreakBefore w:val="0"/>
        <w:widowControl/>
        <w:kinsoku w:val="0"/>
        <w:wordWrap/>
        <w:overflowPunct/>
        <w:topLinePunct w:val="0"/>
        <w:autoSpaceDE w:val="0"/>
        <w:autoSpaceDN w:val="0"/>
        <w:bidi w:val="0"/>
        <w:adjustRightInd/>
        <w:snapToGrid/>
        <w:spacing w:line="360" w:lineRule="auto"/>
        <w:ind w:right="0" w:firstLine="560" w:firstLineChars="200"/>
        <w:jc w:val="both"/>
        <w:textAlignment w:val="baseline"/>
        <w:rPr>
          <w:rFonts w:hint="eastAsia" w:ascii="宋体" w:hAnsi="宋体" w:eastAsia="宋体" w:cs="宋体"/>
          <w:color w:val="auto"/>
          <w:sz w:val="28"/>
          <w:szCs w:val="28"/>
          <w:highlight w:val="none"/>
          <w:lang w:eastAsia="en-US"/>
        </w:rPr>
      </w:pPr>
    </w:p>
    <w:p>
      <w:pPr>
        <w:keepNext w:val="0"/>
        <w:keepLines w:val="0"/>
        <w:pageBreakBefore w:val="0"/>
        <w:widowControl/>
        <w:kinsoku w:val="0"/>
        <w:wordWrap/>
        <w:overflowPunct/>
        <w:topLinePunct w:val="0"/>
        <w:autoSpaceDE w:val="0"/>
        <w:autoSpaceDN w:val="0"/>
        <w:bidi w:val="0"/>
        <w:adjustRightInd/>
        <w:snapToGrid/>
        <w:spacing w:line="360" w:lineRule="auto"/>
        <w:ind w:right="0" w:firstLine="560" w:firstLineChars="200"/>
        <w:jc w:val="both"/>
        <w:textAlignment w:val="baseline"/>
        <w:rPr>
          <w:rFonts w:hint="eastAsia" w:ascii="宋体" w:hAnsi="宋体" w:eastAsia="宋体" w:cs="宋体"/>
          <w:color w:val="auto"/>
          <w:sz w:val="28"/>
          <w:szCs w:val="28"/>
          <w:highlight w:val="none"/>
          <w:lang w:eastAsia="en-US"/>
        </w:rPr>
      </w:pPr>
    </w:p>
    <w:p>
      <w:pPr>
        <w:keepNext w:val="0"/>
        <w:keepLines w:val="0"/>
        <w:pageBreakBefore w:val="0"/>
        <w:widowControl/>
        <w:kinsoku w:val="0"/>
        <w:wordWrap/>
        <w:overflowPunct/>
        <w:topLinePunct w:val="0"/>
        <w:autoSpaceDE w:val="0"/>
        <w:autoSpaceDN w:val="0"/>
        <w:bidi w:val="0"/>
        <w:adjustRightInd/>
        <w:snapToGrid/>
        <w:spacing w:line="360" w:lineRule="auto"/>
        <w:ind w:right="0" w:firstLine="560" w:firstLineChars="200"/>
        <w:jc w:val="both"/>
        <w:textAlignment w:val="baseline"/>
        <w:rPr>
          <w:rFonts w:hint="eastAsia" w:ascii="宋体" w:hAnsi="宋体" w:eastAsia="宋体" w:cs="宋体"/>
          <w:color w:val="auto"/>
          <w:sz w:val="28"/>
          <w:szCs w:val="28"/>
          <w:highlight w:val="none"/>
          <w:lang w:eastAsia="en-US"/>
        </w:rPr>
      </w:pPr>
    </w:p>
    <w:p>
      <w:pPr>
        <w:keepNext w:val="0"/>
        <w:keepLines w:val="0"/>
        <w:pageBreakBefore w:val="0"/>
        <w:widowControl/>
        <w:kinsoku w:val="0"/>
        <w:wordWrap/>
        <w:overflowPunct/>
        <w:topLinePunct w:val="0"/>
        <w:autoSpaceDE w:val="0"/>
        <w:autoSpaceDN w:val="0"/>
        <w:bidi w:val="0"/>
        <w:adjustRightInd/>
        <w:snapToGrid/>
        <w:spacing w:line="360" w:lineRule="auto"/>
        <w:ind w:right="0" w:firstLine="560" w:firstLineChars="200"/>
        <w:jc w:val="both"/>
        <w:textAlignment w:val="baseline"/>
        <w:rPr>
          <w:rFonts w:hint="eastAsia" w:ascii="宋体" w:hAnsi="宋体" w:eastAsia="宋体" w:cs="宋体"/>
          <w:color w:val="auto"/>
          <w:sz w:val="28"/>
          <w:szCs w:val="28"/>
          <w:highlight w:val="none"/>
          <w:lang w:eastAsia="en-US"/>
        </w:rPr>
      </w:pPr>
    </w:p>
    <w:p>
      <w:pPr>
        <w:keepNext w:val="0"/>
        <w:keepLines w:val="0"/>
        <w:pageBreakBefore w:val="0"/>
        <w:widowControl/>
        <w:kinsoku w:val="0"/>
        <w:wordWrap/>
        <w:overflowPunct/>
        <w:topLinePunct w:val="0"/>
        <w:autoSpaceDE w:val="0"/>
        <w:autoSpaceDN w:val="0"/>
        <w:bidi w:val="0"/>
        <w:adjustRightInd/>
        <w:snapToGrid/>
        <w:spacing w:line="360" w:lineRule="auto"/>
        <w:ind w:right="0" w:firstLine="560" w:firstLineChars="200"/>
        <w:jc w:val="both"/>
        <w:textAlignment w:val="baseline"/>
        <w:rPr>
          <w:rFonts w:hint="eastAsia" w:ascii="宋体" w:hAnsi="宋体" w:eastAsia="宋体" w:cs="宋体"/>
          <w:color w:val="auto"/>
          <w:sz w:val="28"/>
          <w:szCs w:val="28"/>
          <w:highlight w:val="none"/>
          <w:lang w:eastAsia="en-US"/>
        </w:rPr>
      </w:pPr>
    </w:p>
    <w:p>
      <w:pPr>
        <w:keepNext w:val="0"/>
        <w:keepLines w:val="0"/>
        <w:pageBreakBefore w:val="0"/>
        <w:widowControl/>
        <w:kinsoku w:val="0"/>
        <w:wordWrap/>
        <w:overflowPunct/>
        <w:topLinePunct w:val="0"/>
        <w:autoSpaceDE w:val="0"/>
        <w:autoSpaceDN w:val="0"/>
        <w:bidi w:val="0"/>
        <w:adjustRightInd/>
        <w:snapToGrid/>
        <w:spacing w:line="360" w:lineRule="auto"/>
        <w:ind w:right="0" w:firstLine="560" w:firstLineChars="200"/>
        <w:jc w:val="both"/>
        <w:textAlignment w:val="baseline"/>
        <w:rPr>
          <w:rFonts w:hint="eastAsia" w:ascii="宋体" w:hAnsi="宋体" w:eastAsia="宋体" w:cs="宋体"/>
          <w:color w:val="auto"/>
          <w:sz w:val="28"/>
          <w:szCs w:val="28"/>
          <w:highlight w:val="none"/>
          <w:lang w:eastAsia="en-US"/>
        </w:rPr>
      </w:pPr>
    </w:p>
    <w:p>
      <w:pPr>
        <w:keepNext w:val="0"/>
        <w:keepLines w:val="0"/>
        <w:pageBreakBefore w:val="0"/>
        <w:widowControl/>
        <w:kinsoku w:val="0"/>
        <w:wordWrap/>
        <w:overflowPunct/>
        <w:topLinePunct w:val="0"/>
        <w:autoSpaceDE w:val="0"/>
        <w:autoSpaceDN w:val="0"/>
        <w:bidi w:val="0"/>
        <w:adjustRightInd/>
        <w:snapToGrid/>
        <w:spacing w:line="360" w:lineRule="auto"/>
        <w:ind w:right="0"/>
        <w:jc w:val="both"/>
        <w:textAlignment w:val="baseline"/>
        <w:rPr>
          <w:rFonts w:hint="eastAsia" w:ascii="宋体" w:hAnsi="宋体" w:eastAsia="宋体" w:cs="宋体"/>
          <w:spacing w:val="-12"/>
          <w:sz w:val="28"/>
          <w:szCs w:val="28"/>
          <w:lang w:val="en-US" w:eastAsia="zh-CN"/>
        </w:rPr>
      </w:pPr>
    </w:p>
    <w:p>
      <w:pPr>
        <w:keepNext w:val="0"/>
        <w:keepLines w:val="0"/>
        <w:pageBreakBefore w:val="0"/>
        <w:widowControl/>
        <w:kinsoku w:val="0"/>
        <w:wordWrap/>
        <w:overflowPunct/>
        <w:topLinePunct w:val="0"/>
        <w:autoSpaceDE w:val="0"/>
        <w:autoSpaceDN w:val="0"/>
        <w:bidi w:val="0"/>
        <w:adjustRightInd/>
        <w:snapToGrid/>
        <w:spacing w:line="360" w:lineRule="auto"/>
        <w:ind w:right="0"/>
        <w:jc w:val="both"/>
        <w:textAlignment w:val="baseline"/>
        <w:rPr>
          <w:rFonts w:hint="eastAsia" w:ascii="宋体" w:hAnsi="宋体" w:eastAsia="宋体" w:cs="宋体"/>
          <w:spacing w:val="-12"/>
          <w:sz w:val="28"/>
          <w:szCs w:val="28"/>
          <w:lang w:val="en-US" w:eastAsia="zh-CN"/>
        </w:rPr>
      </w:pPr>
    </w:p>
    <w:p>
      <w:pPr>
        <w:keepNext w:val="0"/>
        <w:keepLines w:val="0"/>
        <w:pageBreakBefore w:val="0"/>
        <w:widowControl/>
        <w:kinsoku w:val="0"/>
        <w:wordWrap/>
        <w:overflowPunct/>
        <w:topLinePunct w:val="0"/>
        <w:autoSpaceDE w:val="0"/>
        <w:autoSpaceDN w:val="0"/>
        <w:bidi w:val="0"/>
        <w:adjustRightInd/>
        <w:snapToGrid/>
        <w:spacing w:line="360" w:lineRule="auto"/>
        <w:ind w:right="0"/>
        <w:jc w:val="both"/>
        <w:textAlignment w:val="baseline"/>
        <w:rPr>
          <w:rFonts w:hint="eastAsia" w:ascii="宋体" w:hAnsi="宋体" w:eastAsia="宋体" w:cs="宋体"/>
          <w:spacing w:val="-12"/>
          <w:sz w:val="28"/>
          <w:szCs w:val="28"/>
          <w:lang w:val="en-US" w:eastAsia="zh-CN"/>
        </w:rPr>
      </w:pPr>
    </w:p>
    <w:p>
      <w:pPr>
        <w:keepNext w:val="0"/>
        <w:keepLines w:val="0"/>
        <w:pageBreakBefore w:val="0"/>
        <w:widowControl/>
        <w:kinsoku w:val="0"/>
        <w:wordWrap/>
        <w:overflowPunct/>
        <w:topLinePunct w:val="0"/>
        <w:autoSpaceDE w:val="0"/>
        <w:autoSpaceDN w:val="0"/>
        <w:bidi w:val="0"/>
        <w:adjustRightInd/>
        <w:snapToGrid/>
        <w:spacing w:line="360" w:lineRule="auto"/>
        <w:ind w:right="0"/>
        <w:jc w:val="both"/>
        <w:textAlignment w:val="baseline"/>
        <w:rPr>
          <w:rFonts w:hint="eastAsia" w:ascii="宋体" w:hAnsi="宋体" w:eastAsia="宋体" w:cs="宋体"/>
          <w:spacing w:val="-12"/>
          <w:sz w:val="28"/>
          <w:szCs w:val="28"/>
          <w:lang w:val="en-US" w:eastAsia="zh-CN"/>
        </w:rPr>
      </w:pPr>
    </w:p>
    <w:p>
      <w:pPr>
        <w:keepNext w:val="0"/>
        <w:keepLines w:val="0"/>
        <w:pageBreakBefore w:val="0"/>
        <w:widowControl/>
        <w:kinsoku w:val="0"/>
        <w:wordWrap/>
        <w:overflowPunct/>
        <w:topLinePunct w:val="0"/>
        <w:autoSpaceDE w:val="0"/>
        <w:autoSpaceDN w:val="0"/>
        <w:bidi w:val="0"/>
        <w:adjustRightInd/>
        <w:snapToGrid/>
        <w:spacing w:line="360" w:lineRule="auto"/>
        <w:ind w:right="0"/>
        <w:jc w:val="both"/>
        <w:textAlignment w:val="baseline"/>
        <w:rPr>
          <w:rFonts w:hint="eastAsia" w:ascii="宋体" w:hAnsi="宋体" w:eastAsia="宋体" w:cs="宋体"/>
          <w:spacing w:val="-12"/>
          <w:sz w:val="28"/>
          <w:szCs w:val="28"/>
          <w:lang w:val="en-US" w:eastAsia="zh-CN"/>
        </w:rPr>
      </w:pPr>
    </w:p>
    <w:p>
      <w:pPr>
        <w:keepNext w:val="0"/>
        <w:keepLines w:val="0"/>
        <w:pageBreakBefore w:val="0"/>
        <w:widowControl/>
        <w:kinsoku w:val="0"/>
        <w:wordWrap/>
        <w:overflowPunct/>
        <w:topLinePunct w:val="0"/>
        <w:autoSpaceDE w:val="0"/>
        <w:autoSpaceDN w:val="0"/>
        <w:bidi w:val="0"/>
        <w:adjustRightInd/>
        <w:snapToGrid/>
        <w:spacing w:line="360" w:lineRule="auto"/>
        <w:ind w:right="0"/>
        <w:jc w:val="both"/>
        <w:textAlignment w:val="baseline"/>
        <w:rPr>
          <w:rFonts w:hint="eastAsia" w:ascii="宋体" w:hAnsi="宋体" w:eastAsia="宋体" w:cs="宋体"/>
          <w:spacing w:val="-12"/>
          <w:sz w:val="28"/>
          <w:szCs w:val="28"/>
          <w:lang w:val="en-US" w:eastAsia="zh-CN"/>
        </w:rPr>
      </w:pPr>
    </w:p>
    <w:p>
      <w:pPr>
        <w:keepNext w:val="0"/>
        <w:keepLines w:val="0"/>
        <w:pageBreakBefore w:val="0"/>
        <w:widowControl/>
        <w:kinsoku w:val="0"/>
        <w:wordWrap/>
        <w:overflowPunct/>
        <w:topLinePunct w:val="0"/>
        <w:autoSpaceDE w:val="0"/>
        <w:autoSpaceDN w:val="0"/>
        <w:bidi w:val="0"/>
        <w:adjustRightInd/>
        <w:snapToGrid/>
        <w:spacing w:line="360" w:lineRule="auto"/>
        <w:ind w:right="0"/>
        <w:jc w:val="both"/>
        <w:textAlignment w:val="baseline"/>
        <w:rPr>
          <w:rFonts w:hint="eastAsia" w:ascii="宋体" w:hAnsi="宋体" w:eastAsia="宋体" w:cs="宋体"/>
          <w:spacing w:val="-12"/>
          <w:sz w:val="28"/>
          <w:szCs w:val="28"/>
          <w:lang w:val="en-US" w:eastAsia="zh-CN"/>
        </w:rPr>
      </w:pPr>
    </w:p>
    <w:p>
      <w:pPr>
        <w:keepNext w:val="0"/>
        <w:keepLines w:val="0"/>
        <w:pageBreakBefore w:val="0"/>
        <w:widowControl/>
        <w:kinsoku w:val="0"/>
        <w:wordWrap/>
        <w:overflowPunct/>
        <w:topLinePunct w:val="0"/>
        <w:autoSpaceDE w:val="0"/>
        <w:autoSpaceDN w:val="0"/>
        <w:bidi w:val="0"/>
        <w:adjustRightInd/>
        <w:snapToGrid/>
        <w:spacing w:line="360" w:lineRule="auto"/>
        <w:ind w:right="0"/>
        <w:jc w:val="both"/>
        <w:textAlignment w:val="baseline"/>
        <w:rPr>
          <w:rFonts w:hint="eastAsia" w:ascii="宋体" w:hAnsi="宋体" w:eastAsia="宋体" w:cs="宋体"/>
          <w:spacing w:val="-12"/>
          <w:sz w:val="28"/>
          <w:szCs w:val="28"/>
          <w:lang w:val="en-US" w:eastAsia="zh-CN"/>
        </w:rPr>
      </w:pPr>
    </w:p>
    <w:p>
      <w:pPr>
        <w:rPr>
          <w:rFonts w:hint="eastAsia" w:ascii="宋体" w:hAnsi="宋体" w:eastAsia="宋体" w:cs="宋体"/>
          <w:spacing w:val="-12"/>
          <w:sz w:val="28"/>
          <w:szCs w:val="28"/>
          <w:lang w:val="en-US" w:eastAsia="zh-CN"/>
        </w:rPr>
        <w:sectPr>
          <w:headerReference r:id="rId7" w:type="default"/>
          <w:footerReference r:id="rId8" w:type="default"/>
          <w:pgSz w:w="11907" w:h="16839"/>
          <w:pgMar w:top="1431" w:right="1785" w:bottom="1477" w:left="1785" w:header="0" w:footer="1198" w:gutter="0"/>
          <w:pgNumType w:fmt="decimal"/>
          <w:cols w:space="720" w:num="1"/>
        </w:sectPr>
      </w:pPr>
    </w:p>
    <w:p>
      <w:pPr>
        <w:rPr>
          <w:rFonts w:hint="eastAsia" w:ascii="宋体" w:hAnsi="宋体" w:eastAsia="宋体" w:cs="宋体"/>
          <w:spacing w:val="-12"/>
          <w:sz w:val="28"/>
          <w:szCs w:val="28"/>
          <w:lang w:val="en-US" w:eastAsia="zh-CN"/>
        </w:rPr>
      </w:pPr>
    </w:p>
    <w:p>
      <w:pPr>
        <w:spacing w:before="101" w:line="416" w:lineRule="exact"/>
        <w:ind w:firstLine="3132" w:firstLineChars="1000"/>
        <w:jc w:val="both"/>
        <w:outlineLvl w:val="0"/>
        <w:rPr>
          <w:sz w:val="30"/>
          <w:szCs w:val="30"/>
        </w:rPr>
      </w:pPr>
      <w:bookmarkStart w:id="55" w:name="_Toc18989"/>
      <w:bookmarkStart w:id="56" w:name="_Toc7421"/>
      <w:r>
        <w:rPr>
          <w:rFonts w:hint="eastAsia" w:ascii="宋体" w:hAnsi="宋体" w:eastAsia="宋体" w:cs="宋体"/>
          <w:b/>
          <w:bCs/>
          <w:spacing w:val="6"/>
          <w:position w:val="1"/>
          <w:sz w:val="30"/>
          <w:szCs w:val="30"/>
          <w:lang w:val="en-US" w:eastAsia="zh-CN"/>
        </w:rPr>
        <w:t>附表1 国土空间生态修复重点项目安排表</w:t>
      </w:r>
      <w:bookmarkEnd w:id="55"/>
      <w:bookmarkEnd w:id="56"/>
    </w:p>
    <w:tbl>
      <w:tblPr>
        <w:tblStyle w:val="20"/>
        <w:tblW w:w="51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2"/>
        <w:gridCol w:w="1114"/>
        <w:gridCol w:w="931"/>
        <w:gridCol w:w="1119"/>
        <w:gridCol w:w="943"/>
        <w:gridCol w:w="4110"/>
        <w:gridCol w:w="1225"/>
        <w:gridCol w:w="1114"/>
        <w:gridCol w:w="1174"/>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blHeader/>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序号</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项目所属空间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子工程名称</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重点项目名称</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实施区域</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任务及规模</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时序安排</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投资估算 (万元)</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牵头主体</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snapToGrid w:val="0"/>
                <w:color w:val="000000"/>
                <w:kern w:val="0"/>
                <w:sz w:val="18"/>
                <w:szCs w:val="18"/>
                <w:u w:val="none"/>
                <w:lang w:val="en-US" w:eastAsia="zh-CN" w:bidi="ar"/>
              </w:rPr>
              <w:t>项目来源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矿山生态修复工程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师宗县历史遗留矿山生态修复</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对144个历史遗留矿山进行恢复治理。结合师宗县历史遗留矿山现状，因矿制宜修复历史遗留矿山。根据损毁程度和损毁类型，分类采取修复措施。对于矿山损毁程度较轻的，以自然修复为主，辅以人工措施，采取坡面插播爬藤、播种草籽、设置围栏警示等措施促进矿山自然恢复；针对损毁和景观破坏严重的矿山，采取工程整治，有条件的区域进行土地平整、复垦为耕地，边坡和不具备复垦耕地区域采取边坡清理、土壤培肥、补种灌木及爬藤植被、补植补种、播种草籽及周边设置围栏及警示牌等措施恢复植被，逐步控制水土流失和石漠化，改善矿区生态环境。修复历史遗留矿山面积232.07公顷。</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2021-2026</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9370"/>
                  <wp:effectExtent l="0" t="0" r="6350" b="11430"/>
                  <wp:wrapNone/>
                  <wp:docPr id="20" name="图片_10"/>
                  <wp:cNvGraphicFramePr/>
                  <a:graphic xmlns:a="http://schemas.openxmlformats.org/drawingml/2006/main">
                    <a:graphicData uri="http://schemas.openxmlformats.org/drawingml/2006/picture">
                      <pic:pic xmlns:pic="http://schemas.openxmlformats.org/drawingml/2006/picture">
                        <pic:nvPicPr>
                          <pic:cNvPr id="20" name="图片_10"/>
                          <pic:cNvPicPr/>
                        </pic:nvPicPr>
                        <pic:blipFill>
                          <a:blip r:embed="rId21"/>
                          <a:stretch>
                            <a:fillRect/>
                          </a:stretch>
                        </pic:blipFill>
                        <pic:spPr>
                          <a:xfrm>
                            <a:off x="0" y="0"/>
                            <a:ext cx="19050" cy="3937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42545"/>
                  <wp:effectExtent l="0" t="0" r="6350" b="8255"/>
                  <wp:wrapNone/>
                  <wp:docPr id="21" name="图片_10_SpCnt_1"/>
                  <wp:cNvGraphicFramePr/>
                  <a:graphic xmlns:a="http://schemas.openxmlformats.org/drawingml/2006/main">
                    <a:graphicData uri="http://schemas.openxmlformats.org/drawingml/2006/picture">
                      <pic:pic xmlns:pic="http://schemas.openxmlformats.org/drawingml/2006/picture">
                        <pic:nvPicPr>
                          <pic:cNvPr id="21" name="图片_10_SpCnt_1"/>
                          <pic:cNvPicPr/>
                        </pic:nvPicPr>
                        <pic:blipFill>
                          <a:blip r:embed="rId22"/>
                          <a:stretch>
                            <a:fillRect/>
                          </a:stretch>
                        </pic:blipFill>
                        <pic:spPr>
                          <a:xfrm>
                            <a:off x="0" y="0"/>
                            <a:ext cx="19050" cy="4254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42545"/>
                  <wp:effectExtent l="0" t="0" r="6350" b="8255"/>
                  <wp:wrapNone/>
                  <wp:docPr id="40" name="图片_11"/>
                  <wp:cNvGraphicFramePr/>
                  <a:graphic xmlns:a="http://schemas.openxmlformats.org/drawingml/2006/main">
                    <a:graphicData uri="http://schemas.openxmlformats.org/drawingml/2006/picture">
                      <pic:pic xmlns:pic="http://schemas.openxmlformats.org/drawingml/2006/picture">
                        <pic:nvPicPr>
                          <pic:cNvPr id="40" name="图片_11"/>
                          <pic:cNvPicPr/>
                        </pic:nvPicPr>
                        <pic:blipFill>
                          <a:blip r:embed="rId22"/>
                          <a:stretch>
                            <a:fillRect/>
                          </a:stretch>
                        </pic:blipFill>
                        <pic:spPr>
                          <a:xfrm>
                            <a:off x="0" y="0"/>
                            <a:ext cx="19050" cy="4254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42545"/>
                  <wp:effectExtent l="0" t="0" r="6350" b="8255"/>
                  <wp:wrapNone/>
                  <wp:docPr id="26" name="图片_12"/>
                  <wp:cNvGraphicFramePr/>
                  <a:graphic xmlns:a="http://schemas.openxmlformats.org/drawingml/2006/main">
                    <a:graphicData uri="http://schemas.openxmlformats.org/drawingml/2006/picture">
                      <pic:pic xmlns:pic="http://schemas.openxmlformats.org/drawingml/2006/picture">
                        <pic:nvPicPr>
                          <pic:cNvPr id="26" name="图片_12"/>
                          <pic:cNvPicPr/>
                        </pic:nvPicPr>
                        <pic:blipFill>
                          <a:blip r:embed="rId23"/>
                          <a:stretch>
                            <a:fillRect/>
                          </a:stretch>
                        </pic:blipFill>
                        <pic:spPr>
                          <a:xfrm>
                            <a:off x="0" y="0"/>
                            <a:ext cx="19050" cy="4254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9370"/>
                  <wp:effectExtent l="0" t="0" r="6350" b="11430"/>
                  <wp:wrapNone/>
                  <wp:docPr id="27" name="图片_11_SpCnt_1"/>
                  <wp:cNvGraphicFramePr/>
                  <a:graphic xmlns:a="http://schemas.openxmlformats.org/drawingml/2006/main">
                    <a:graphicData uri="http://schemas.openxmlformats.org/drawingml/2006/picture">
                      <pic:pic xmlns:pic="http://schemas.openxmlformats.org/drawingml/2006/picture">
                        <pic:nvPicPr>
                          <pic:cNvPr id="27" name="图片_11_SpCnt_1"/>
                          <pic:cNvPicPr/>
                        </pic:nvPicPr>
                        <pic:blipFill>
                          <a:blip r:embed="rId21"/>
                          <a:stretch>
                            <a:fillRect/>
                          </a:stretch>
                        </pic:blipFill>
                        <pic:spPr>
                          <a:xfrm>
                            <a:off x="0" y="0"/>
                            <a:ext cx="19050" cy="3937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9370"/>
                  <wp:effectExtent l="0" t="0" r="6350" b="11430"/>
                  <wp:wrapNone/>
                  <wp:docPr id="25" name="图片_12_SpCnt_1"/>
                  <wp:cNvGraphicFramePr/>
                  <a:graphic xmlns:a="http://schemas.openxmlformats.org/drawingml/2006/main">
                    <a:graphicData uri="http://schemas.openxmlformats.org/drawingml/2006/picture">
                      <pic:pic xmlns:pic="http://schemas.openxmlformats.org/drawingml/2006/picture">
                        <pic:nvPicPr>
                          <pic:cNvPr id="25" name="图片_12_SpCnt_1"/>
                          <pic:cNvPicPr/>
                        </pic:nvPicPr>
                        <pic:blipFill>
                          <a:blip r:embed="rId24"/>
                          <a:stretch>
                            <a:fillRect/>
                          </a:stretch>
                        </pic:blipFill>
                        <pic:spPr>
                          <a:xfrm>
                            <a:off x="0" y="0"/>
                            <a:ext cx="19050" cy="3937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lang w:val="en-US" w:eastAsia="zh-CN" w:bidi="ar"/>
              </w:rPr>
              <w:t>3079.77</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师宗县自然资源局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矿山生态修复工程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师宗县“十四五”采煤沉陷区综合治理工程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雄壁镇大舍至瓦路一带</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推进师宗县雄壁镇采煤沉陷区治理工作，采取道路路面翻修、塌方路段修复、新建道路、路面修补、道路绿化、修建沟渠等工程措施，加强建设和完善采煤沉陷区受损的道路、水利、市政管网等基础设施。对受沉陷影响的设施、地物进行恢复治理和综合利用，消除地质灾害隐患，恢复和改善区内生态环境。</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2021-2026</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5748</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师宗县自然资源局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34"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矿山生态修复工程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竹菁河上游水土保持与矿山综合治理工程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雄壁镇</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面推进竹菁河上游水土保持治理工程，通过植树造林，封禁治理，溪沟整治，污水处理等措施，控制水土流失和石漠化。以辅助修复为主，加大森林抚育，恢复植被，加强退化生态系统恢复，维护生物多样性，提高森林覆盖率。加强珍稀野生动植物及其栖息地保护，废弃矿山复绿、退耕还林。加强矿山生态修复，综合治理采煤沉陷区，助推绿色矿山建设，进行生态重塑，废弃矿山复绿、退耕还林。</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2021-2026</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4800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师宗县自然资源局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水土流失防治工程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小石山水库小流域国家水土保持重点工程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漾月街道小石山水库</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完成小石山森林公园规划总体规划编制；依托小石山水库建设小石山森林公园，面积200公顷；完善森林公园的保护设施、基础设施和宣教设施。</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7465"/>
                  <wp:effectExtent l="0" t="0" r="6350" b="635"/>
                  <wp:wrapNone/>
                  <wp:docPr id="24" name="图片_1"/>
                  <wp:cNvGraphicFramePr/>
                  <a:graphic xmlns:a="http://schemas.openxmlformats.org/drawingml/2006/main">
                    <a:graphicData uri="http://schemas.openxmlformats.org/drawingml/2006/picture">
                      <pic:pic xmlns:pic="http://schemas.openxmlformats.org/drawingml/2006/picture">
                        <pic:nvPicPr>
                          <pic:cNvPr id="24" name="图片_1"/>
                          <pic:cNvPicPr/>
                        </pic:nvPicPr>
                        <pic:blipFill>
                          <a:blip r:embed="rId25"/>
                          <a:stretch>
                            <a:fillRect/>
                          </a:stretch>
                        </pic:blipFill>
                        <pic:spPr>
                          <a:xfrm>
                            <a:off x="0" y="0"/>
                            <a:ext cx="19050" cy="3746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lang w:val="en-US" w:eastAsia="zh-CN" w:bidi="ar"/>
              </w:rPr>
              <w:t>300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师宗县水务局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水土流失防治工程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阿宜格水库小流域国家水土保持重点工程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竹基镇</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种植水保林、经果林400公顷，封禁治理600公顷，溪沟整治3千米、污水处理工程1件。</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8100"/>
                  <wp:effectExtent l="0" t="0" r="6350" b="0"/>
                  <wp:wrapNone/>
                  <wp:docPr id="41" name="图片_3"/>
                  <wp:cNvGraphicFramePr/>
                  <a:graphic xmlns:a="http://schemas.openxmlformats.org/drawingml/2006/main">
                    <a:graphicData uri="http://schemas.openxmlformats.org/drawingml/2006/picture">
                      <pic:pic xmlns:pic="http://schemas.openxmlformats.org/drawingml/2006/picture">
                        <pic:nvPicPr>
                          <pic:cNvPr id="41" name="图片_3"/>
                          <pic:cNvPicPr/>
                        </pic:nvPicPr>
                        <pic:blipFill>
                          <a:blip r:embed="rId26"/>
                          <a:stretch>
                            <a:fillRect/>
                          </a:stretch>
                        </pic:blipFill>
                        <pic:spPr>
                          <a:xfrm>
                            <a:off x="0" y="0"/>
                            <a:ext cx="19050" cy="3810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8100"/>
                  <wp:effectExtent l="0" t="0" r="6350" b="0"/>
                  <wp:wrapNone/>
                  <wp:docPr id="12" name="图片_2"/>
                  <wp:cNvGraphicFramePr/>
                  <a:graphic xmlns:a="http://schemas.openxmlformats.org/drawingml/2006/main">
                    <a:graphicData uri="http://schemas.openxmlformats.org/drawingml/2006/picture">
                      <pic:pic xmlns:pic="http://schemas.openxmlformats.org/drawingml/2006/picture">
                        <pic:nvPicPr>
                          <pic:cNvPr id="12" name="图片_2"/>
                          <pic:cNvPicPr/>
                        </pic:nvPicPr>
                        <pic:blipFill>
                          <a:blip r:embed="rId26"/>
                          <a:stretch>
                            <a:fillRect/>
                          </a:stretch>
                        </pic:blipFill>
                        <pic:spPr>
                          <a:xfrm>
                            <a:off x="0" y="0"/>
                            <a:ext cx="19050" cy="3810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lang w:val="en-US" w:eastAsia="zh-CN" w:bidi="ar"/>
              </w:rPr>
              <w:t>1200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师宗县水务局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水土流失防治工程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小阿舍小流域国家水土保持重点工程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雄壁镇大舍河</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种植水保林、经果林380公顷，封禁治理700公顷，溪沟整治2千米，污水处理工程1件。</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师宗县水务局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7</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水土流失防治工程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牛尾小流域国家水土保持重点工程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五龙乡</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种植水保林、经果林450公顷，封禁治理600公顷，溪沟整治2.5千米，污水处理工程1件。</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师宗县水务局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水土流失防治工程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设里小流域国家水土保持重点工程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高良乡</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种植水保林、经果林400公顷，封禁治理700公顷，溪沟整治2.6千米，污水处理工程1件。</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师宗县水务局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水土流失防治工程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豆温小流域国家水土保持重点工程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龙庆乡</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种植水保林、经果林500公顷，封禁治理8400公顷，溪沟整治1.8千米，污水处理工程1件。</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师宗县水务局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水土流失防治工程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南盘江河道治理重大工程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南盘江</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南盘江大型河道堤岸支护，防止水土流失，河堤疏浚加高加固，设计防洪标准20年一遇。</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446</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师宗县水务局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11</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石漠化综合治理工程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石漠化治理示范工程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漾月街道办、雄壁镇</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对师宗县石漠化治理示范工程进行规划；确定植被恢复的造林树种；营造混交林，形成复层森林结构；建设石漠化治理示范基地60公顷。其中在阴凉箐至大舍流域雄壁镇实施面积30公顷，在子午河流域漾月街道实施面积30公顷。</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师宗县林业和草原局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12</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石漠化综合治理工程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大同石漠化治理工程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大同街道</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对石漠化治理工程进行规划；通过采取造林种草、陡坡耕地退耕还林还草、加强基本农田和配套小型水利建设、积极发展农村能源、改善农村人畜饮水条件以及对不具备基本生存条件的地区实施生态移民等措施,综合治理,迅速推进石漠化防治工作。实施面积2132公顷。</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2026-2035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1473.86</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师宗县林业和草原局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94"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13</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石漠化综合治理工程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五龙石漠化治理工程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五龙乡</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对石漠化治理工程进行规划；通过采取造林种草、陡坡耕地退耕还林还草、加强基本农田和配套小型水利建设、积极发展农村能源、改善农村人畜饮水条件以及对不具备基本生存条件的地区实施生态移民等措施,综合治理,迅速推进石漠化防治工作。实施面积2737公顷。</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2026-2035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1892.08</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师宗县林业和草原局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24"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14</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石漠化综合治理工程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龙庆石漠化治理工程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龙庆乡</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对石漠化治理工程进行规划；通过采取封山育林造林种草、陡坡耕地退耕还林还草、加强基本农田和配套小型水利建设、积极发展农村能源、改善农村人畜饮水条件以及对不具备基本生存条件的地区实施生态移民等措施,综合治理,迅速推进石漠化防治工作。实施面积2132公顷。</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2026-2035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7465"/>
                  <wp:effectExtent l="0" t="0" r="6350" b="635"/>
                  <wp:wrapNone/>
                  <wp:docPr id="1" name="图片_4"/>
                  <wp:cNvGraphicFramePr/>
                  <a:graphic xmlns:a="http://schemas.openxmlformats.org/drawingml/2006/main">
                    <a:graphicData uri="http://schemas.openxmlformats.org/drawingml/2006/picture">
                      <pic:pic xmlns:pic="http://schemas.openxmlformats.org/drawingml/2006/picture">
                        <pic:nvPicPr>
                          <pic:cNvPr id="1" name="图片_4"/>
                          <pic:cNvPicPr/>
                        </pic:nvPicPr>
                        <pic:blipFill>
                          <a:blip r:embed="rId27"/>
                          <a:stretch>
                            <a:fillRect/>
                          </a:stretch>
                        </pic:blipFill>
                        <pic:spPr>
                          <a:xfrm>
                            <a:off x="0" y="0"/>
                            <a:ext cx="19050" cy="3746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lang w:val="en-US" w:eastAsia="zh-CN" w:bidi="ar"/>
              </w:rPr>
              <w:t>1721.33</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师宗县林业和草原局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8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水环境综合治理</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师宗县子午河天然湿地流域治理</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子午河天然湿地</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污水处理厂尾水管道、子午河人工湿地。</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2022-2025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80000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师宗县水务局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师宗县生态环境保护“十四五”规划项目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水环境综合治理</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师宗县通源河黑臭水体治理及改造绿化</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通源河</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对通源河进行改造，打造至城区景观河，将通源河河水引至荣海新区，河两边建10米绿化。</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90000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师宗县水务局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《曲靖市国土空间生态修复规划（2021-2035年）》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17</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水环境综合治理</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师宗县千吨万人饮用</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水源径流区环境治理</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项目</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各乡镇饮用水源保护区污水治理、垃圾转运、标牌防护栏设置、焦炭穿越防护撞及导流。</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2022-2025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3655"/>
                  <wp:effectExtent l="0" t="0" r="6350" b="4445"/>
                  <wp:wrapNone/>
                  <wp:docPr id="42" name="图片_7"/>
                  <wp:cNvGraphicFramePr/>
                  <a:graphic xmlns:a="http://schemas.openxmlformats.org/drawingml/2006/main">
                    <a:graphicData uri="http://schemas.openxmlformats.org/drawingml/2006/picture">
                      <pic:pic xmlns:pic="http://schemas.openxmlformats.org/drawingml/2006/picture">
                        <pic:nvPicPr>
                          <pic:cNvPr id="42" name="图片_7"/>
                          <pic:cNvPicPr/>
                        </pic:nvPicPr>
                        <pic:blipFill>
                          <a:blip r:embed="rId28"/>
                          <a:stretch>
                            <a:fillRect/>
                          </a:stretch>
                        </pic:blipFill>
                        <pic:spPr>
                          <a:xfrm>
                            <a:off x="0" y="0"/>
                            <a:ext cx="19050" cy="3365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9370"/>
                  <wp:effectExtent l="0" t="0" r="6350" b="11430"/>
                  <wp:wrapNone/>
                  <wp:docPr id="43" name="图片_9"/>
                  <wp:cNvGraphicFramePr/>
                  <a:graphic xmlns:a="http://schemas.openxmlformats.org/drawingml/2006/main">
                    <a:graphicData uri="http://schemas.openxmlformats.org/drawingml/2006/picture">
                      <pic:pic xmlns:pic="http://schemas.openxmlformats.org/drawingml/2006/picture">
                        <pic:nvPicPr>
                          <pic:cNvPr id="43" name="图片_9"/>
                          <pic:cNvPicPr/>
                        </pic:nvPicPr>
                        <pic:blipFill>
                          <a:blip r:embed="rId29"/>
                          <a:stretch>
                            <a:fillRect/>
                          </a:stretch>
                        </pic:blipFill>
                        <pic:spPr>
                          <a:xfrm>
                            <a:off x="0" y="0"/>
                            <a:ext cx="19050" cy="3937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9370"/>
                  <wp:effectExtent l="0" t="0" r="6350" b="11430"/>
                  <wp:wrapNone/>
                  <wp:docPr id="2" name="图片_8"/>
                  <wp:cNvGraphicFramePr/>
                  <a:graphic xmlns:a="http://schemas.openxmlformats.org/drawingml/2006/main">
                    <a:graphicData uri="http://schemas.openxmlformats.org/drawingml/2006/picture">
                      <pic:pic xmlns:pic="http://schemas.openxmlformats.org/drawingml/2006/picture">
                        <pic:nvPicPr>
                          <pic:cNvPr id="2" name="图片_8"/>
                          <pic:cNvPicPr/>
                        </pic:nvPicPr>
                        <pic:blipFill>
                          <a:blip r:embed="rId29"/>
                          <a:stretch>
                            <a:fillRect/>
                          </a:stretch>
                        </pic:blipFill>
                        <pic:spPr>
                          <a:xfrm>
                            <a:off x="0" y="0"/>
                            <a:ext cx="19050" cy="3937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lang w:val="en-US" w:eastAsia="zh-CN" w:bidi="ar"/>
              </w:rPr>
              <w:t>11000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曲靖市生态环境局师宗分局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水环境综合治理</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师宗县子午河西舍古至响水段治理工程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治理河段总长 7.12千米，河道清淤、疏浚、加固、修建取水闸、亲水平台、监测设备、自动化控制系统、河道沿岸生态绿化等其他附属设施。</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2022-2025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2848</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曲靖市生态环境局师宗分局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曲靖市重点流域水生态环境保护“十四五”规划研究报告、师宗县“十四五”农村供水保障规划（2020—2025）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40"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19</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水环境综合治理</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师宗县污水处理厂尾水人工湿地水质净化工程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项目主要对师宗县污水处理厂尾水进行深度处理，进一步削减污水处理厂尾水对子午河水质的影响，改善子午河水环境，通过实施子午河生态补水，构建良性 水循环系统，实现子午河生态最大化，具体工程内容 如下 ：尾水管网工程；人工湿地工程：曝气塘、沉淀塘、垂直潜流人工湿地、生态沟、调蓄库塘以及相关配套设施。</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9761</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曲靖市生态环境局师宗分局、师宗县水务局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曲靖市重点流域水生态环境保护“十四五”规划研究报告、师宗县“十四五”农村供水保障规（2020—2025）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水环境综合治理</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南盘江师宗县段干流及主要支入河排污口进行规范整治</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对南盘江主要干流、师宗县建成区主要河流及辖区内10平方千米以上开展排查整治。</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曲靖市生态环境局师宗分局、师宗县水务局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曲靖市重点流域水生态环境保护“十四五”规划研究报告、师宗县“十四五”农村供水保障规（2020—2025）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67"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21</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水环境综合治理</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师宗县者黑村农村黑臭水体整治工程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该项目建设规模及内容：控源截污工程、生态修复工程、水系修复工程。</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614</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曲靖市生态环境局师宗分局、师宗县水务局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曲靖市重点流域水生态环境保护“十四五”规划研究报告、师宗县“十四五”农村供水保障规（2020—2025）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水环境综合治理</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师宗县设里河鲁古至蚌古楼段治理工程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开展河道治理、新建堤防、护脚、排洪管、排涝口，两岸布置亲水台阶，不断加强水环境生态治理与修复力度，改善河道水生态环境，深入推进绿美河湖建设。治理河段左岸新建河堤总长27.4km，河道疏浚13.7km</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2025-2026</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3300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师宗县水务局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曲靖市国土空间总体规划(2021-2035)、师宗县拟纳入国家、省、市“十五五”规划的重大工程项目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23</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水环境综合治理</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师宗县响水河西舍古至响水段治理工程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开展河道治理、新建堤防、护脚、排洪管、排涝口，两岸布置亲水台阶，不断加强水环境生态治理与修复力度，改善河道水生态环境，深入推进绿美河湖建设。</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师宗县水务局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24</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水环境综合治理</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曲靖市九龙河师宗段河道治理工程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九龙河师宗段河道治理工程，提升防洪能力，防洪标准为10年一遇，堤防工程级别为5级。河道总长10.2千米，其中：干流治理长10千米，支流响水河汇口段治理长0.2千米。新建(改造)DN300、DN400预制混凝土承插管排水口45个，在左、右岸沿线每隔500-800米设置一座C20混凝土亲水踏步。保护人口8900人，保护耕地面积7800亩，排涝受益面积2500亩。</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2025-2026</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师宗县水务局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曲靖市国土空间总体规划(2021-2035)、师宗县拟纳入国家、省、市“十五五”规划的重大工程项目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林草质量提升工程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公益林管护工程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龙庆乡、五龙乡、高良乡</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对师宗县公益林保护工程进行规划；完善生态公益林保护制度，全面保护森林资源，保护面积共计55593.33公顷；引入公益林信息化管理系统，实现对生态公益林数据的管理与维护。</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师宗县林业和草原局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26</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林草质量提升工程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城乡面山植被恢复工程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丹凤街道、漾月街道</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对师宗县城镇面山植被恢复工程进行规划；在通过封山育林和植苗的造林方式，规划恢复面山植被100公顷。</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师宗县林业和草原局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27</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林草质量提升工程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水源涵养林建设工程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丹凤街道大堵村；竹基镇，涉及竹基、斗坞、坞白、蒲草塘；雄壁镇的束岗、扯乐、小黑纳等村委会</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完成大堵水库、东风水库水源涵养林建设和提升工程作业设计；建设或提升改造水源涵养林面积共计100公顷；完善饮用水源地保护设施，设立防护网、界桩、保护标志。</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3020"/>
                  <wp:effectExtent l="0" t="0" r="6350" b="5080"/>
                  <wp:wrapNone/>
                  <wp:docPr id="44" name="图片_6"/>
                  <wp:cNvGraphicFramePr/>
                  <a:graphic xmlns:a="http://schemas.openxmlformats.org/drawingml/2006/main">
                    <a:graphicData uri="http://schemas.openxmlformats.org/drawingml/2006/picture">
                      <pic:pic xmlns:pic="http://schemas.openxmlformats.org/drawingml/2006/picture">
                        <pic:nvPicPr>
                          <pic:cNvPr id="44" name="图片_6"/>
                          <pic:cNvPicPr/>
                        </pic:nvPicPr>
                        <pic:blipFill>
                          <a:blip r:embed="rId30"/>
                          <a:stretch>
                            <a:fillRect/>
                          </a:stretch>
                        </pic:blipFill>
                        <pic:spPr>
                          <a:xfrm>
                            <a:off x="0" y="0"/>
                            <a:ext cx="19050" cy="3302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3020"/>
                  <wp:effectExtent l="0" t="0" r="6350" b="5080"/>
                  <wp:wrapNone/>
                  <wp:docPr id="4" name="图片_5"/>
                  <wp:cNvGraphicFramePr/>
                  <a:graphic xmlns:a="http://schemas.openxmlformats.org/drawingml/2006/main">
                    <a:graphicData uri="http://schemas.openxmlformats.org/drawingml/2006/picture">
                      <pic:pic xmlns:pic="http://schemas.openxmlformats.org/drawingml/2006/picture">
                        <pic:nvPicPr>
                          <pic:cNvPr id="4" name="图片_5"/>
                          <pic:cNvPicPr/>
                        </pic:nvPicPr>
                        <pic:blipFill>
                          <a:blip r:embed="rId30"/>
                          <a:stretch>
                            <a:fillRect/>
                          </a:stretch>
                        </pic:blipFill>
                        <pic:spPr>
                          <a:xfrm>
                            <a:off x="0" y="0"/>
                            <a:ext cx="19050" cy="3302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lang w:val="en-US" w:eastAsia="zh-CN" w:bidi="ar"/>
              </w:rPr>
              <w:t>600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师宗县水务局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《曲靖市国土空间生态修复规划（2021-2035年）》、师宗县国土空间总体规划(2021-2035)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28</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生物多样性保护工程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生物多样性保护宣传与教育工程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师宗全县</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制定师宗县生物多样性保护宣传与教育工程规划；宣传与教育基地建设；开展宣传教育活动。</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师宗县林业和草原局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师宗县生物多样性保护实施方案（2018-2030）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29</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生物多样性保护工程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生物多样性数据库与信息化管理能力提升 </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 xml:space="preserve">工程 </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师宗全县</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依托科研单位，以3S技术、数据库技术、网络技术为支撑，搜集、加工、整合师宗生物多样性保护和可持续资源利用的相关数据；借助已建和要建的基础监测设施，在师宗县持续开展生物多样性监测，建立长期定位监测站和网点，开展生物多样性长期、动态监测；加强菌子山市级自然保护区生物多样性长期动态监测；开展针对性地生物多样性保护工作，为政府决策、资源保护利用提供基础数据和科学参考依据；建立全县生物多样性预警技术体系和应急响应机制。 </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曲靖市生态环境局师宗分局、师宗县林业和草原局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曲靖市生态环境保护“十四五”规划、《曲靖市国土空间生态修复规划（2021-2035年）》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生物多样性保护工程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外来物种防控工程 </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师宗全县</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开展外来生物物种普查，编制外来物种防控规划，建设紫茎泽兰防控示范基地10公顷，开展入侵物种防控宣传，建立1个数据库，建立有害生物和外来入侵物种的长期监测机制和预警体系。</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师宗县林业和草原局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曲靖市生态环境保护“十四五”规划、《曲靖市国土空间生态修复规划（2021-2035年）》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31</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生物多样性保护工程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珍稀濒危物种野外救护与繁育工程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大 同 街道、龙庆乡、五龙乡、高良乡</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对菌子山市级自然保护区有着良好开发前景的乡土树种，包括濒临灭绝及珍稀名贵的物种进行普查；在菌子山市级自然保护区建立珍稀濒危物种植物园，面积10公顷；</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师宗县林业和草原局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32</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生物多样性保护工程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猕猴保护工程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大同街道、龙庆乡、五龙乡、高良乡</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开展猕猴种群普查；编制猕猴保护规划；开展猕猴栖息地植被恢复；开展种群比较研究和遗传多样性比较研究；建设远程电子监控管理网络；在保护区外建立保护小区或保护点。</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师宗县林业和草原局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33</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生物多样性保护工程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古树名木保护工程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师宗全县</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 xml:space="preserve">对师宗县古树名木进行普查；编制古树名木保护规划；对古树名木进行鉴定、定级、登记、编号、建档，设立标志牌，划定保护范围，提出配套的避让和保护措施；对后备古树资源进行统计，提前制定保护 措施；对濒临死亡的古树名木进行复壮；选择树龄最长、最有保护价值的古树名木，通过采集种子和营养体，繁殖古树后代，建设1个古树后代繁育基地，面积5亩。 </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师宗县林业和草原局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师宗县生物多样性保护实施方案（2018-2030）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34</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生物多样性保护工程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西华寺郊野公园建设工程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漾月街道</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完成西华寺郊野公园规划总体规划编制；在漾月街道建设西华寺郊野公园，面积49公顷。</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师宗县林业和草原局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生物多样性保护工程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五洛河湿地公园建设工程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五龙乡五洛河</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作为五洛河生物多样性保护的重要手段， 完成五洛河湿地公园规划设计，在五龙乡五洛河建设五洛河湿地公园，至规划期末，规划建设五洛河湿地公园面积39.09公顷，完善湿地公园的保护设施、基础设施和宣教设施，维护五洛河湿地生态系统的健康。</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师宗县林业和草原局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36</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生物多样性保护工程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湿地公园水源涵养综合治理工程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丹凤街道、漾月街道、竹基镇、葵山镇</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湿地公园区域内以保护为主，要加强自然生态系统功能的修复，开展土地整治与污染修复、历史遗留矿山生态环境修复、自然地质灾害防治、森林质量改善、生物多样性保护。</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22800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师宗县水务局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37</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生态空间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生物多样性保护工程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师宗县重点流域水生态监测工程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重点流域</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对南盘江、五洛河等重点水生生物保护区域开展水生态监测工作，制定水生生态监测方案，每两年监测1期，每期在春、夏、秋季各采样1次，监测内容包括浮游生物、底栖动物、水生植物、水生动物等，重点监测流域内珍稀濒危保护鱼类、特有土著鱼类和外来入侵物种。</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3020"/>
                  <wp:effectExtent l="0" t="0" r="6350" b="5080"/>
                  <wp:wrapNone/>
                  <wp:docPr id="45" name="图片_7_SpCnt_1"/>
                  <wp:cNvGraphicFramePr/>
                  <a:graphic xmlns:a="http://schemas.openxmlformats.org/drawingml/2006/main">
                    <a:graphicData uri="http://schemas.openxmlformats.org/drawingml/2006/picture">
                      <pic:pic xmlns:pic="http://schemas.openxmlformats.org/drawingml/2006/picture">
                        <pic:nvPicPr>
                          <pic:cNvPr id="45" name="图片_7_SpCnt_1"/>
                          <pic:cNvPicPr/>
                        </pic:nvPicPr>
                        <pic:blipFill>
                          <a:blip r:embed="rId31"/>
                          <a:stretch>
                            <a:fillRect/>
                          </a:stretch>
                        </pic:blipFill>
                        <pic:spPr>
                          <a:xfrm>
                            <a:off x="0" y="0"/>
                            <a:ext cx="19050" cy="3302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lang w:val="en-US" w:eastAsia="zh-CN" w:bidi="ar"/>
              </w:rPr>
              <w:t>450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师宗县农业农村局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《曲靖市国土空间生态修复规划（2021-2035年）》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38</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农业空间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土地综合整治工程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龙庆乡高标准农田建设项目</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龙庆乡</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龙庆乡农田宜机化改造面积28388亩，其中: 庄科村10000亩，泥槽村6000亩，豆温村3000亩，阿那黑村818亩，黑尔村3000亩，龙庆村1970亩，扯寨村600亩，山黑村3000亩。建设农田水利沟渠354千</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米。</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8100"/>
                  <wp:effectExtent l="0" t="0" r="6350" b="0"/>
                  <wp:wrapNone/>
                  <wp:docPr id="5" name="图片_11_SpCnt_2"/>
                  <wp:cNvGraphicFramePr/>
                  <a:graphic xmlns:a="http://schemas.openxmlformats.org/drawingml/2006/main">
                    <a:graphicData uri="http://schemas.openxmlformats.org/drawingml/2006/picture">
                      <pic:pic xmlns:pic="http://schemas.openxmlformats.org/drawingml/2006/picture">
                        <pic:nvPicPr>
                          <pic:cNvPr id="5" name="图片_11_SpCnt_2"/>
                          <pic:cNvPicPr/>
                        </pic:nvPicPr>
                        <pic:blipFill>
                          <a:blip r:embed="rId26"/>
                          <a:stretch>
                            <a:fillRect/>
                          </a:stretch>
                        </pic:blipFill>
                        <pic:spPr>
                          <a:xfrm>
                            <a:off x="0" y="0"/>
                            <a:ext cx="19050" cy="3810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8100"/>
                  <wp:effectExtent l="0" t="0" r="6350" b="0"/>
                  <wp:wrapNone/>
                  <wp:docPr id="6" name="图片_10_SpCnt_2"/>
                  <wp:cNvGraphicFramePr/>
                  <a:graphic xmlns:a="http://schemas.openxmlformats.org/drawingml/2006/main">
                    <a:graphicData uri="http://schemas.openxmlformats.org/drawingml/2006/picture">
                      <pic:pic xmlns:pic="http://schemas.openxmlformats.org/drawingml/2006/picture">
                        <pic:nvPicPr>
                          <pic:cNvPr id="6" name="图片_10_SpCnt_2"/>
                          <pic:cNvPicPr/>
                        </pic:nvPicPr>
                        <pic:blipFill>
                          <a:blip r:embed="rId26"/>
                          <a:stretch>
                            <a:fillRect/>
                          </a:stretch>
                        </pic:blipFill>
                        <pic:spPr>
                          <a:xfrm>
                            <a:off x="0" y="0"/>
                            <a:ext cx="19050" cy="3810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8100"/>
                  <wp:effectExtent l="0" t="0" r="6350" b="0"/>
                  <wp:wrapNone/>
                  <wp:docPr id="46" name="图片_12_SpCnt_2"/>
                  <wp:cNvGraphicFramePr/>
                  <a:graphic xmlns:a="http://schemas.openxmlformats.org/drawingml/2006/main">
                    <a:graphicData uri="http://schemas.openxmlformats.org/drawingml/2006/picture">
                      <pic:pic xmlns:pic="http://schemas.openxmlformats.org/drawingml/2006/picture">
                        <pic:nvPicPr>
                          <pic:cNvPr id="46" name="图片_12_SpCnt_2"/>
                          <pic:cNvPicPr/>
                        </pic:nvPicPr>
                        <pic:blipFill>
                          <a:blip r:embed="rId32"/>
                          <a:stretch>
                            <a:fillRect/>
                          </a:stretch>
                        </pic:blipFill>
                        <pic:spPr>
                          <a:xfrm>
                            <a:off x="0" y="0"/>
                            <a:ext cx="19050" cy="3810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lang w:val="en-US" w:eastAsia="zh-CN" w:bidi="ar"/>
              </w:rPr>
              <w:t>8519</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师宗县自然资源局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39</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农业空间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土地综合整治工程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彩云镇万亩高标准农田建设项目</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彩云镇</w:t>
            </w:r>
          </w:p>
        </w:tc>
        <w:tc>
          <w:tcPr>
            <w:tcW w:w="1420" w:type="pct"/>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建设高标准农田10000亩。通过土地整治建设形成集中连片、高产稳产、生态良好、抗灾能力强的万亩高标准农田建设，按照高标准建设要求完善水网、电网、路网、管网设施建设，受益2万余人。</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3002</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师宗县自然资源局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农业空间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土地综合整治工程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师宗县大同街道高标准农田建设项目</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大同街道</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农田改造建设6.2万亩及机耕路网、沟渠网等设施建设</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18599</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师宗县自然资源局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41</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农业空间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土地综合整治工程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漾月街道高标准农田建设项目</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漾月街道</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土地整理6000亩，田间配套基础设施、土地平整等。</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1800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师宗县自然资源局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42</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农业空间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土地综合整治工程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师宗县耕地质量提升改造项目</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师宗全县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对原有的耕地质量进行改造提升10万亩，降低农业生产成本，完善农业基础设施，科学指导化肥规范使用，减少土壤污染和改善农业生态环境的恶化，利于农业生产的长远发展。</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30002</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师宗县自然资源局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43</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农业空间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土地综合整治工程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师宗县耕地生产障碍修复利用项目</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师宗全县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对师宗县退化、污染耕地土</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壤进行修复治理。耕地土壤石灰调控10000亩，农作物叶面阻控50000亩，优化施肥80000亩，农产品协同监测1000个点位。</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2021-2030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39002</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师宗县自然资源局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44</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农业空间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土地综合整治工程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大同街道国土综合整治工程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主要涉及大同街道，以打造“ 生态宜居幸福街道”为重点，实施农民服务中心、丹凤路 大同段改扩建、文明路改造等市政工程，并逐步建立完善集镇管理长效机制，集镇承载功能、形象和品位逐步提升。综合整治土地面积816公顷</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3672</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师宗县自然资源局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曲靖市国土空间总体规划(2021-2035)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农业空间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土地综合整治工程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秸秆综合利用</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推广示范项目</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因地制宜发展秸秆热解气化、秸秆沼气、秸秆生物质燃料等农村清洁能源，推动秸秆高值化综合利用与农村人居环境改善有机结合。大力推广秸秆肥料化、饲料化、能源化、基料化、原料化等</w:t>
            </w:r>
            <w:r>
              <w:rPr>
                <w:rFonts w:hint="eastAsia" w:ascii="宋体" w:hAnsi="宋体" w:eastAsia="宋体" w:cs="宋体"/>
                <w:i w:val="0"/>
                <w:iCs w:val="0"/>
                <w:snapToGrid w:val="0"/>
                <w:color w:val="000000"/>
                <w:kern w:val="0"/>
                <w:sz w:val="18"/>
                <w:szCs w:val="18"/>
                <w:u w:val="none"/>
                <w:lang w:val="en-US" w:eastAsia="zh-CN" w:bidi="ar"/>
              </w:rPr>
              <w:br w:type="textWrapping"/>
            </w:r>
            <w:r>
              <w:rPr>
                <w:rFonts w:hint="eastAsia" w:ascii="宋体" w:hAnsi="宋体" w:eastAsia="宋体" w:cs="宋体"/>
                <w:i w:val="0"/>
                <w:iCs w:val="0"/>
                <w:snapToGrid w:val="0"/>
                <w:color w:val="000000"/>
                <w:kern w:val="0"/>
                <w:sz w:val="18"/>
                <w:szCs w:val="18"/>
                <w:u w:val="none"/>
                <w:lang w:val="en-US" w:eastAsia="zh-CN" w:bidi="ar"/>
              </w:rPr>
              <w:t>利用技术，推广陆良经验模式，完善师宗县废菜叶资源化利用配套基础设施。</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师宗县农业农村局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《曲靖市国土空间生态修复规划（2021-2035年）》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46</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农业空间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人居环境整治提升工程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农村生活污水治理专项工程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落实全县农村生活污水治理专项规划，以村庄人口集聚程度、污水产生规模为依据，因地制宜采用污染治理与资源利用相结合、工程措施与生态措施相结合、集中与分散相结合的建设模式和处理工艺，优先实施集中式饮用水水源保护区、自然保护地、乡镇政府所在地、中心村、城乡结合部等地区的农村生活污水治理工程。</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8735"/>
                  <wp:effectExtent l="0" t="0" r="6350" b="12065"/>
                  <wp:wrapNone/>
                  <wp:docPr id="15" name="图片_10_SpCnt_3"/>
                  <wp:cNvGraphicFramePr/>
                  <a:graphic xmlns:a="http://schemas.openxmlformats.org/drawingml/2006/main">
                    <a:graphicData uri="http://schemas.openxmlformats.org/drawingml/2006/picture">
                      <pic:pic xmlns:pic="http://schemas.openxmlformats.org/drawingml/2006/picture">
                        <pic:nvPicPr>
                          <pic:cNvPr id="15" name="图片_10_SpCnt_3"/>
                          <pic:cNvPicPr/>
                        </pic:nvPicPr>
                        <pic:blipFill>
                          <a:blip r:embed="rId22"/>
                          <a:stretch>
                            <a:fillRect/>
                          </a:stretch>
                        </pic:blipFill>
                        <pic:spPr>
                          <a:xfrm>
                            <a:off x="0" y="0"/>
                            <a:ext cx="19050" cy="3873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8735"/>
                  <wp:effectExtent l="0" t="0" r="6350" b="12065"/>
                  <wp:wrapNone/>
                  <wp:docPr id="10" name="图片_11_SpCnt_3"/>
                  <wp:cNvGraphicFramePr/>
                  <a:graphic xmlns:a="http://schemas.openxmlformats.org/drawingml/2006/main">
                    <a:graphicData uri="http://schemas.openxmlformats.org/drawingml/2006/picture">
                      <pic:pic xmlns:pic="http://schemas.openxmlformats.org/drawingml/2006/picture">
                        <pic:nvPicPr>
                          <pic:cNvPr id="10" name="图片_11_SpCnt_3"/>
                          <pic:cNvPicPr/>
                        </pic:nvPicPr>
                        <pic:blipFill>
                          <a:blip r:embed="rId22"/>
                          <a:stretch>
                            <a:fillRect/>
                          </a:stretch>
                        </pic:blipFill>
                        <pic:spPr>
                          <a:xfrm>
                            <a:off x="0" y="0"/>
                            <a:ext cx="19050" cy="3873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8735"/>
                  <wp:effectExtent l="0" t="0" r="6350" b="12065"/>
                  <wp:wrapNone/>
                  <wp:docPr id="47" name="图片_12_SpCnt_3"/>
                  <wp:cNvGraphicFramePr/>
                  <a:graphic xmlns:a="http://schemas.openxmlformats.org/drawingml/2006/main">
                    <a:graphicData uri="http://schemas.openxmlformats.org/drawingml/2006/picture">
                      <pic:pic xmlns:pic="http://schemas.openxmlformats.org/drawingml/2006/picture">
                        <pic:nvPicPr>
                          <pic:cNvPr id="47" name="图片_12_SpCnt_3"/>
                          <pic:cNvPicPr/>
                        </pic:nvPicPr>
                        <pic:blipFill>
                          <a:blip r:embed="rId23"/>
                          <a:stretch>
                            <a:fillRect/>
                          </a:stretch>
                        </pic:blipFill>
                        <pic:spPr>
                          <a:xfrm>
                            <a:off x="0" y="0"/>
                            <a:ext cx="19050" cy="38735"/>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lang w:val="en-US" w:eastAsia="zh-CN" w:bidi="ar"/>
              </w:rPr>
              <w:t>10730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师宗县农业农村局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47</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农业空间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人居环境整治提升工程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农村黑臭水体排查治理工程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全面开展农村黑臭水体排查治理工作，科学分析，因水施策，按“ 一村一策”原则对农村黑臭水体实施控源截污、清淤疏浚、生态修复、水系连通等整治工程，以消除黑臭水体为目标</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师宗县农业农村局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曲靖市生态环境保护“十 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48</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农业空间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人居环境整治提升工程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南盘江流域(师宗段)农村环境综合整治工程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主要工程内容为新建污水收集管75860米，建设塑料检查井(φ700PE)424座、沉泥井(φ700PE)228座、方形检查井(0.5×0.5×0.6米)1538 座。建设处理设施数量 15座，总处理规模为425立方米/天；建设I型庭院式污水处理系统(多户型)2套、II型庭院式污水处理系统(少户型)2套、户用一体化污水处理系统132套。</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2023-2024</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3023</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师宗县农业农村局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曲靖市重点流域水生态环境保护“十四五”规划研究报告、师宗县“十四五”农村供水保障规划（2020—2025）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49</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城镇空间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人居环境整治提升工程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餐厨垃圾资源化处理利用工程</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师宗全县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师宗县作为分中心，配置建设曲靖市餐厨垃圾资源化利用项目，满足曲靖市城市及各县城餐厨垃圾无害化处置和资源化利用需求。</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2021-2023</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9370"/>
                  <wp:effectExtent l="0" t="0" r="6350" b="11430"/>
                  <wp:wrapNone/>
                  <wp:docPr id="13" name="图片_13"/>
                  <wp:cNvGraphicFramePr/>
                  <a:graphic xmlns:a="http://schemas.openxmlformats.org/drawingml/2006/main">
                    <a:graphicData uri="http://schemas.openxmlformats.org/drawingml/2006/picture">
                      <pic:pic xmlns:pic="http://schemas.openxmlformats.org/drawingml/2006/picture">
                        <pic:nvPicPr>
                          <pic:cNvPr id="13" name="图片_13"/>
                          <pic:cNvPicPr/>
                        </pic:nvPicPr>
                        <pic:blipFill>
                          <a:blip r:embed="rId33"/>
                          <a:stretch>
                            <a:fillRect/>
                          </a:stretch>
                        </pic:blipFill>
                        <pic:spPr>
                          <a:xfrm>
                            <a:off x="0" y="0"/>
                            <a:ext cx="19050" cy="3937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9370"/>
                  <wp:effectExtent l="0" t="0" r="6350" b="11430"/>
                  <wp:wrapNone/>
                  <wp:docPr id="14" name="图片_14"/>
                  <wp:cNvGraphicFramePr/>
                  <a:graphic xmlns:a="http://schemas.openxmlformats.org/drawingml/2006/main">
                    <a:graphicData uri="http://schemas.openxmlformats.org/drawingml/2006/picture">
                      <pic:pic xmlns:pic="http://schemas.openxmlformats.org/drawingml/2006/picture">
                        <pic:nvPicPr>
                          <pic:cNvPr id="14" name="图片_14"/>
                          <pic:cNvPicPr/>
                        </pic:nvPicPr>
                        <pic:blipFill>
                          <a:blip r:embed="rId33"/>
                          <a:stretch>
                            <a:fillRect/>
                          </a:stretch>
                        </pic:blipFill>
                        <pic:spPr>
                          <a:xfrm>
                            <a:off x="0" y="0"/>
                            <a:ext cx="19050" cy="3937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lang w:val="en-US" w:eastAsia="zh-CN" w:bidi="ar"/>
              </w:rPr>
              <w:t>467</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师宗县城市综合管理局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曲靖市生态环境保护“十四五”规划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城镇空间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人居环境整治提升工程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师宗县入城口提升改造</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以提升改造为主、新建为辅的工作思路，计划修复城市道路10000余平方米，路灯安装150杆，新增4个城市入口绿化建设98000平方米，完成城市道路行道树补植1750棵，计划完成投资5200万元。</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2022-2024</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8100"/>
                  <wp:effectExtent l="0" t="0" r="6350" b="0"/>
                  <wp:wrapNone/>
                  <wp:docPr id="48" name="图片_15"/>
                  <wp:cNvGraphicFramePr/>
                  <a:graphic xmlns:a="http://schemas.openxmlformats.org/drawingml/2006/main">
                    <a:graphicData uri="http://schemas.openxmlformats.org/drawingml/2006/picture">
                      <pic:pic xmlns:pic="http://schemas.openxmlformats.org/drawingml/2006/picture">
                        <pic:nvPicPr>
                          <pic:cNvPr id="48" name="图片_15"/>
                          <pic:cNvPicPr/>
                        </pic:nvPicPr>
                        <pic:blipFill>
                          <a:blip r:embed="rId28"/>
                          <a:stretch>
                            <a:fillRect/>
                          </a:stretch>
                        </pic:blipFill>
                        <pic:spPr>
                          <a:xfrm>
                            <a:off x="0" y="0"/>
                            <a:ext cx="19050" cy="3810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lang w:val="en-US" w:eastAsia="zh-CN" w:bidi="ar"/>
              </w:rPr>
              <w:t>5200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师宗县住房和城乡建设局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曲靖市加快新型城镇化高质量发展城市基础设施建设三年行动项目清单(2022-2024年)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51</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城镇空间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人居环境整治提升工程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创建国家级园林城市</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通过绿化建设不断提高人均绿地面积和城市绿地率，为创建国家园林城市打下扎实基础，计划投资3000万元。</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2023-2024</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8100"/>
                  <wp:effectExtent l="0" t="0" r="6350" b="0"/>
                  <wp:wrapNone/>
                  <wp:docPr id="49" name="图片_16"/>
                  <wp:cNvGraphicFramePr/>
                  <a:graphic xmlns:a="http://schemas.openxmlformats.org/drawingml/2006/main">
                    <a:graphicData uri="http://schemas.openxmlformats.org/drawingml/2006/picture">
                      <pic:pic xmlns:pic="http://schemas.openxmlformats.org/drawingml/2006/picture">
                        <pic:nvPicPr>
                          <pic:cNvPr id="49" name="图片_16"/>
                          <pic:cNvPicPr/>
                        </pic:nvPicPr>
                        <pic:blipFill>
                          <a:blip r:embed="rId34"/>
                          <a:stretch>
                            <a:fillRect/>
                          </a:stretch>
                        </pic:blipFill>
                        <pic:spPr>
                          <a:xfrm>
                            <a:off x="0" y="0"/>
                            <a:ext cx="19050" cy="3810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9050" cy="38100"/>
                  <wp:effectExtent l="0" t="0" r="6350" b="0"/>
                  <wp:wrapNone/>
                  <wp:docPr id="50" name="图片_17"/>
                  <wp:cNvGraphicFramePr/>
                  <a:graphic xmlns:a="http://schemas.openxmlformats.org/drawingml/2006/main">
                    <a:graphicData uri="http://schemas.openxmlformats.org/drawingml/2006/picture">
                      <pic:pic xmlns:pic="http://schemas.openxmlformats.org/drawingml/2006/picture">
                        <pic:nvPicPr>
                          <pic:cNvPr id="50" name="图片_17"/>
                          <pic:cNvPicPr/>
                        </pic:nvPicPr>
                        <pic:blipFill>
                          <a:blip r:embed="rId34"/>
                          <a:stretch>
                            <a:fillRect/>
                          </a:stretch>
                        </pic:blipFill>
                        <pic:spPr>
                          <a:xfrm>
                            <a:off x="0" y="0"/>
                            <a:ext cx="19050" cy="38100"/>
                          </a:xfrm>
                          <a:prstGeom prst="rect">
                            <a:avLst/>
                          </a:prstGeom>
                          <a:noFill/>
                          <a:ln>
                            <a:noFill/>
                          </a:ln>
                        </pic:spPr>
                      </pic:pic>
                    </a:graphicData>
                  </a:graphic>
                </wp:anchor>
              </w:drawing>
            </w:r>
            <w:r>
              <w:rPr>
                <w:rFonts w:hint="eastAsia" w:ascii="宋体" w:hAnsi="宋体" w:eastAsia="宋体" w:cs="宋体"/>
                <w:i w:val="0"/>
                <w:iCs w:val="0"/>
                <w:snapToGrid w:val="0"/>
                <w:color w:val="000000"/>
                <w:kern w:val="0"/>
                <w:sz w:val="18"/>
                <w:szCs w:val="18"/>
                <w:u w:val="none"/>
                <w:lang w:val="en-US" w:eastAsia="zh-CN" w:bidi="ar"/>
              </w:rPr>
              <w:t>3000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师宗县住房和城乡建设局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曲靖市加快新型城镇化高质量发展城市基础设施建设三年行动项目清单(2022-2024年)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7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52</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城镇空间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人居环境整治提升工程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北出入口改造</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以提升改造为主、新建为辅的工作思路，计划修复城市道路，路灯安装及城市入口绿化建设，完成城市道路行道树补植扩绿。</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2022-2022</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1600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师宗县住房和城乡建设局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曲靖市加快新型城镇化高质量发展城市基础设施建设三年行动项目清单(2022-2024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68"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53</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城镇空间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人居环境整治提升工程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石湖公园改造</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提升改造公园绿道，路灯安装及补植扩绿。</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2022-2024</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1000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师宗县住房和城乡建设局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曲靖市加快新型城镇化高质量发展城市基础设施建设三年行动项目清单(2022-2024年)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0"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54</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城镇空间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人居环境整治提升工程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小青山公园</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提升改造公园绿道，路灯安装及补植扩绿。</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2022-2024</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师宗县住房和城乡建设局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曲靖市加快新型城镇化高质量发展城市基础设施建设三年行动项目清单(2022-2024年)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28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55</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城镇空间</w:t>
            </w:r>
          </w:p>
        </w:tc>
        <w:tc>
          <w:tcPr>
            <w:tcW w:w="32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人居环境整治提升工程</w:t>
            </w:r>
          </w:p>
        </w:tc>
        <w:tc>
          <w:tcPr>
            <w:tcW w:w="386"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凤凰大道增植补绿</w:t>
            </w:r>
          </w:p>
        </w:tc>
        <w:tc>
          <w:tcPr>
            <w:tcW w:w="32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w:t>
            </w:r>
          </w:p>
        </w:tc>
        <w:tc>
          <w:tcPr>
            <w:tcW w:w="1420"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以提升改造为主、新建为辅的工作思路，计划修复城市道路，路灯安装及城市入口绿化建设，完成城市道路行道树补植扩绿，全长5.3千米。</w:t>
            </w:r>
          </w:p>
        </w:tc>
        <w:tc>
          <w:tcPr>
            <w:tcW w:w="42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2022-2024</w:t>
            </w:r>
          </w:p>
        </w:tc>
        <w:tc>
          <w:tcPr>
            <w:tcW w:w="384"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400</w:t>
            </w:r>
          </w:p>
        </w:tc>
        <w:tc>
          <w:tcPr>
            <w:tcW w:w="405"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师宗县住房和城乡建设局</w:t>
            </w:r>
          </w:p>
        </w:tc>
        <w:tc>
          <w:tcPr>
            <w:tcW w:w="663"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snapToGrid w:val="0"/>
                <w:color w:val="000000"/>
                <w:kern w:val="0"/>
                <w:sz w:val="18"/>
                <w:szCs w:val="18"/>
                <w:u w:val="none"/>
                <w:lang w:val="en-US" w:eastAsia="zh-CN" w:bidi="ar"/>
              </w:rPr>
              <w:t>曲靖市加快新型城镇化高质量发展城市基础设施建设三年行动项目清单(2022-2024年)</w:t>
            </w:r>
          </w:p>
        </w:tc>
      </w:tr>
    </w:tbl>
    <w:p>
      <w:pPr>
        <w:jc w:val="both"/>
        <w:rPr>
          <w:rFonts w:hint="eastAsia"/>
          <w:lang w:val="en-US" w:eastAsia="zh-CN"/>
        </w:rPr>
      </w:pPr>
    </w:p>
    <w:sectPr>
      <w:pgSz w:w="16839" w:h="11907" w:orient="landscape"/>
      <w:pgMar w:top="1785" w:right="1431" w:bottom="1785" w:left="1477" w:header="0" w:footer="119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center" w:pos="4320"/>
        <w:tab w:val="right" w:pos="8640"/>
        <w:tab w:val="clear" w:pos="4153"/>
        <w:tab w:val="clear" w:pos="8306"/>
      </w:tabs>
      <w:jc w:val="center"/>
      <w:rPr>
        <w:rFonts w:hint="eastAsia"/>
      </w:rPr>
    </w:pPr>
  </w:p>
  <w:p>
    <w:pPr>
      <w:ind w:firstLine="360"/>
      <w:rPr>
        <w:rFonts w:ascii="仿宋" w:hAnsi="仿宋" w:eastAsia="仿宋"/>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LXIX</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LXIX</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pacing w:line="240" w:lineRule="auto"/>
      <w:ind w:firstLine="0" w:firstLineChars="0"/>
      <w:rPr>
        <w:rFonts w:ascii="宋体" w:hAnsi="宋体"/>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0" w:firstLineChars="0"/>
      <w:jc w:val="both"/>
      <w:rPr>
        <w:rStyle w:val="33"/>
        <w:rFonts w:eastAsia="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488D04"/>
    <w:multiLevelType w:val="multilevel"/>
    <w:tmpl w:val="D7488D04"/>
    <w:lvl w:ilvl="0" w:tentative="0">
      <w:start w:val="1"/>
      <w:numFmt w:val="chineseCountingThousand"/>
      <w:suff w:val="space"/>
      <w:lvlText w:val="第%1章"/>
      <w:lvlJc w:val="center"/>
      <w:pPr>
        <w:ind w:left="-289" w:firstLine="289"/>
      </w:pPr>
      <w:rPr>
        <w:rFonts w:hint="eastAsia" w:ascii="Times New Roman" w:hAnsi="Times New Roman" w:cs="Times New Roman"/>
        <w:i w:val="0"/>
        <w:iCs w:val="0"/>
        <w:caps w:val="0"/>
        <w:smallCaps w:val="0"/>
        <w:strike w:val="0"/>
        <w:dstrike w:val="0"/>
        <w:vanish w:val="0"/>
        <w:spacing w:val="0"/>
        <w:position w:val="0"/>
        <w:u w:val="none"/>
        <w:vertAlign w:val="baseline"/>
      </w:rPr>
    </w:lvl>
    <w:lvl w:ilvl="1" w:tentative="0">
      <w:start w:val="1"/>
      <w:numFmt w:val="decimal"/>
      <w:pStyle w:val="3"/>
      <w:isLgl/>
      <w:suff w:val="space"/>
      <w:lvlText w:val="%1.%2"/>
      <w:lvlJc w:val="left"/>
      <w:pPr>
        <w:ind w:left="2824" w:firstLine="289"/>
      </w:pPr>
    </w:lvl>
    <w:lvl w:ilvl="2" w:tentative="0">
      <w:start w:val="1"/>
      <w:numFmt w:val="decimal"/>
      <w:isLgl/>
      <w:suff w:val="space"/>
      <w:lvlText w:val="%1.%2.%3"/>
      <w:lvlJc w:val="left"/>
      <w:pPr>
        <w:ind w:left="1979" w:firstLine="289"/>
      </w:pPr>
    </w:lvl>
    <w:lvl w:ilvl="3" w:tentative="0">
      <w:start w:val="1"/>
      <w:numFmt w:val="decimal"/>
      <w:isLgl/>
      <w:suff w:val="space"/>
      <w:lvlText w:val="%1.%2.%3.%4"/>
      <w:lvlJc w:val="left"/>
      <w:pPr>
        <w:ind w:left="831" w:firstLine="289"/>
      </w:pPr>
    </w:lvl>
    <w:lvl w:ilvl="4" w:tentative="0">
      <w:start w:val="1"/>
      <w:numFmt w:val="decimal"/>
      <w:isLgl/>
      <w:lvlText w:val="%1.%2.%3.%4.%5"/>
      <w:lvlJc w:val="left"/>
      <w:pPr>
        <w:tabs>
          <w:tab w:val="left" w:pos="131"/>
        </w:tabs>
        <w:ind w:left="12163" w:firstLine="289"/>
      </w:pPr>
      <w:rPr>
        <w:rFonts w:hint="default" w:ascii="宋体" w:hAnsi="宋体" w:eastAsia="宋体" w:cs="宋体"/>
      </w:rPr>
    </w:lvl>
    <w:lvl w:ilvl="5" w:tentative="0">
      <w:start w:val="1"/>
      <w:numFmt w:val="decimal"/>
      <w:lvlText w:val="%1.%2.%3.%4.%5.%6"/>
      <w:lvlJc w:val="left"/>
      <w:pPr>
        <w:ind w:left="15276" w:firstLine="289"/>
      </w:pPr>
      <w:rPr>
        <w:rFonts w:hint="eastAsia"/>
      </w:rPr>
    </w:lvl>
    <w:lvl w:ilvl="6" w:tentative="0">
      <w:start w:val="1"/>
      <w:numFmt w:val="decimal"/>
      <w:lvlText w:val="%1.%2.%3.%4.%5.%6.%7"/>
      <w:lvlJc w:val="left"/>
      <w:pPr>
        <w:ind w:left="18389" w:firstLine="289"/>
      </w:pPr>
      <w:rPr>
        <w:rFonts w:hint="eastAsia"/>
      </w:rPr>
    </w:lvl>
    <w:lvl w:ilvl="7" w:tentative="0">
      <w:start w:val="1"/>
      <w:numFmt w:val="decimal"/>
      <w:lvlText w:val="%1.%2.%3.%4.%5.%6.%7.%8"/>
      <w:lvlJc w:val="left"/>
      <w:pPr>
        <w:ind w:left="21502" w:firstLine="289"/>
      </w:pPr>
      <w:rPr>
        <w:rFonts w:hint="eastAsia"/>
      </w:rPr>
    </w:lvl>
    <w:lvl w:ilvl="8" w:tentative="0">
      <w:start w:val="1"/>
      <w:numFmt w:val="decimal"/>
      <w:lvlText w:val="%1.%2.%3.%4.%5.%6.%7.%8.%9"/>
      <w:lvlJc w:val="left"/>
      <w:pPr>
        <w:ind w:left="24615" w:firstLine="28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docVars>
    <w:docVar w:name="commondata" w:val="eyJoZGlkIjoiZTczZGJiMzk3NmE4MTFmY2I0NmVkOTVhODY4OTk3OTcifQ=="/>
  </w:docVars>
  <w:rsids>
    <w:rsidRoot w:val="00000000"/>
    <w:rsid w:val="000C6385"/>
    <w:rsid w:val="001B3B18"/>
    <w:rsid w:val="00605CE7"/>
    <w:rsid w:val="00EB0303"/>
    <w:rsid w:val="012D0479"/>
    <w:rsid w:val="01356DB2"/>
    <w:rsid w:val="0162677A"/>
    <w:rsid w:val="01695955"/>
    <w:rsid w:val="0176282D"/>
    <w:rsid w:val="019127B6"/>
    <w:rsid w:val="019E2F16"/>
    <w:rsid w:val="01D47ED4"/>
    <w:rsid w:val="01FA0599"/>
    <w:rsid w:val="02006FDB"/>
    <w:rsid w:val="02530907"/>
    <w:rsid w:val="02624152"/>
    <w:rsid w:val="026A1DF1"/>
    <w:rsid w:val="0281282A"/>
    <w:rsid w:val="02937E77"/>
    <w:rsid w:val="02A01C50"/>
    <w:rsid w:val="03053C74"/>
    <w:rsid w:val="030D40BE"/>
    <w:rsid w:val="03215DBB"/>
    <w:rsid w:val="0382186E"/>
    <w:rsid w:val="038A781F"/>
    <w:rsid w:val="03EE0393"/>
    <w:rsid w:val="04685C0A"/>
    <w:rsid w:val="047168CE"/>
    <w:rsid w:val="048B7F31"/>
    <w:rsid w:val="04E84639"/>
    <w:rsid w:val="05131F73"/>
    <w:rsid w:val="051563B1"/>
    <w:rsid w:val="05783004"/>
    <w:rsid w:val="059D7AA9"/>
    <w:rsid w:val="05BD613B"/>
    <w:rsid w:val="05C54482"/>
    <w:rsid w:val="062B53E9"/>
    <w:rsid w:val="067B1FBF"/>
    <w:rsid w:val="06A002FD"/>
    <w:rsid w:val="0720267C"/>
    <w:rsid w:val="07674AE5"/>
    <w:rsid w:val="07715105"/>
    <w:rsid w:val="079C579D"/>
    <w:rsid w:val="07C136C9"/>
    <w:rsid w:val="07C4227D"/>
    <w:rsid w:val="082E205A"/>
    <w:rsid w:val="08C574DB"/>
    <w:rsid w:val="08E1593B"/>
    <w:rsid w:val="08ED259E"/>
    <w:rsid w:val="090B5543"/>
    <w:rsid w:val="09481AE3"/>
    <w:rsid w:val="0980664B"/>
    <w:rsid w:val="09D03865"/>
    <w:rsid w:val="09E910AB"/>
    <w:rsid w:val="09EC1A23"/>
    <w:rsid w:val="0A020820"/>
    <w:rsid w:val="0A20038D"/>
    <w:rsid w:val="0A4505DD"/>
    <w:rsid w:val="0A4852C3"/>
    <w:rsid w:val="0ABD4D36"/>
    <w:rsid w:val="0B511A01"/>
    <w:rsid w:val="0B5C270C"/>
    <w:rsid w:val="0B5D7C9B"/>
    <w:rsid w:val="0B8E217B"/>
    <w:rsid w:val="0BF40F20"/>
    <w:rsid w:val="0C5662DC"/>
    <w:rsid w:val="0D3C5F4E"/>
    <w:rsid w:val="0D5352EF"/>
    <w:rsid w:val="0DE02EB3"/>
    <w:rsid w:val="0E04500E"/>
    <w:rsid w:val="0E6D0107"/>
    <w:rsid w:val="0EC4361C"/>
    <w:rsid w:val="0F1432BC"/>
    <w:rsid w:val="0F455C42"/>
    <w:rsid w:val="0FA75CED"/>
    <w:rsid w:val="0FB3423F"/>
    <w:rsid w:val="0FBF2BE4"/>
    <w:rsid w:val="0FCA6CE9"/>
    <w:rsid w:val="0FE16F54"/>
    <w:rsid w:val="1001757E"/>
    <w:rsid w:val="10091463"/>
    <w:rsid w:val="1065002D"/>
    <w:rsid w:val="1077526D"/>
    <w:rsid w:val="10A75704"/>
    <w:rsid w:val="10CF6E57"/>
    <w:rsid w:val="10E96744"/>
    <w:rsid w:val="113E7EAC"/>
    <w:rsid w:val="12264C61"/>
    <w:rsid w:val="12302586"/>
    <w:rsid w:val="124F46F3"/>
    <w:rsid w:val="125650DF"/>
    <w:rsid w:val="1283436C"/>
    <w:rsid w:val="12B56900"/>
    <w:rsid w:val="12B749AA"/>
    <w:rsid w:val="12BD0CB8"/>
    <w:rsid w:val="12D925D1"/>
    <w:rsid w:val="13117BFA"/>
    <w:rsid w:val="13515C68"/>
    <w:rsid w:val="13AB65D9"/>
    <w:rsid w:val="13B9248A"/>
    <w:rsid w:val="13D20817"/>
    <w:rsid w:val="13FA01C8"/>
    <w:rsid w:val="14074AC7"/>
    <w:rsid w:val="141D25CF"/>
    <w:rsid w:val="14774EC2"/>
    <w:rsid w:val="149C7294"/>
    <w:rsid w:val="14D76A64"/>
    <w:rsid w:val="15032257"/>
    <w:rsid w:val="15695ACC"/>
    <w:rsid w:val="15A932A1"/>
    <w:rsid w:val="1604101C"/>
    <w:rsid w:val="16096CAD"/>
    <w:rsid w:val="16286B0F"/>
    <w:rsid w:val="16344B2F"/>
    <w:rsid w:val="167B6C54"/>
    <w:rsid w:val="167CEA4C"/>
    <w:rsid w:val="168557DD"/>
    <w:rsid w:val="16B226B1"/>
    <w:rsid w:val="16BB3814"/>
    <w:rsid w:val="16BF3261"/>
    <w:rsid w:val="16CA1E34"/>
    <w:rsid w:val="16F94EB3"/>
    <w:rsid w:val="172E1A92"/>
    <w:rsid w:val="177607DB"/>
    <w:rsid w:val="17797B1C"/>
    <w:rsid w:val="177C072E"/>
    <w:rsid w:val="177F74FC"/>
    <w:rsid w:val="17DE140F"/>
    <w:rsid w:val="180568A9"/>
    <w:rsid w:val="181D33C6"/>
    <w:rsid w:val="184779BD"/>
    <w:rsid w:val="188E2828"/>
    <w:rsid w:val="18C96881"/>
    <w:rsid w:val="18CE3E98"/>
    <w:rsid w:val="18D83D56"/>
    <w:rsid w:val="18F26764"/>
    <w:rsid w:val="19202945"/>
    <w:rsid w:val="193F075F"/>
    <w:rsid w:val="195B6BFB"/>
    <w:rsid w:val="196C593E"/>
    <w:rsid w:val="19721FF1"/>
    <w:rsid w:val="19741704"/>
    <w:rsid w:val="197467ED"/>
    <w:rsid w:val="198C7285"/>
    <w:rsid w:val="19D5240B"/>
    <w:rsid w:val="19F70C9F"/>
    <w:rsid w:val="1A141D7E"/>
    <w:rsid w:val="1A4E194E"/>
    <w:rsid w:val="1A7D2A9A"/>
    <w:rsid w:val="1AAF7C8C"/>
    <w:rsid w:val="1ACD38E9"/>
    <w:rsid w:val="1ADD7B12"/>
    <w:rsid w:val="1B203ACE"/>
    <w:rsid w:val="1B5543FC"/>
    <w:rsid w:val="1B602CA6"/>
    <w:rsid w:val="1BD57435"/>
    <w:rsid w:val="1C205EA6"/>
    <w:rsid w:val="1C5663F8"/>
    <w:rsid w:val="1DA6697D"/>
    <w:rsid w:val="1DBC0306"/>
    <w:rsid w:val="1DDD2438"/>
    <w:rsid w:val="1DE01D73"/>
    <w:rsid w:val="1E796654"/>
    <w:rsid w:val="1E8308AB"/>
    <w:rsid w:val="1EC8325D"/>
    <w:rsid w:val="1EDC730E"/>
    <w:rsid w:val="1EDD3086"/>
    <w:rsid w:val="1F6B2440"/>
    <w:rsid w:val="1F874298"/>
    <w:rsid w:val="1FDE1F09"/>
    <w:rsid w:val="1FE25B0F"/>
    <w:rsid w:val="2000527E"/>
    <w:rsid w:val="200E0A62"/>
    <w:rsid w:val="2011123A"/>
    <w:rsid w:val="2015551F"/>
    <w:rsid w:val="2018267C"/>
    <w:rsid w:val="208321FA"/>
    <w:rsid w:val="20A420AE"/>
    <w:rsid w:val="211214DA"/>
    <w:rsid w:val="211F7844"/>
    <w:rsid w:val="21274F48"/>
    <w:rsid w:val="21994DF3"/>
    <w:rsid w:val="220009E2"/>
    <w:rsid w:val="224A0EFC"/>
    <w:rsid w:val="22892C39"/>
    <w:rsid w:val="22B52816"/>
    <w:rsid w:val="22DF56C1"/>
    <w:rsid w:val="22E94738"/>
    <w:rsid w:val="238945C2"/>
    <w:rsid w:val="23A91789"/>
    <w:rsid w:val="23C241CA"/>
    <w:rsid w:val="23E925BB"/>
    <w:rsid w:val="23EA5155"/>
    <w:rsid w:val="24066BDB"/>
    <w:rsid w:val="24347A80"/>
    <w:rsid w:val="24465E1B"/>
    <w:rsid w:val="244D67FD"/>
    <w:rsid w:val="24944B32"/>
    <w:rsid w:val="24AE5162"/>
    <w:rsid w:val="24C613DE"/>
    <w:rsid w:val="24DD7871"/>
    <w:rsid w:val="24FF2B58"/>
    <w:rsid w:val="25095F38"/>
    <w:rsid w:val="25186280"/>
    <w:rsid w:val="252235A1"/>
    <w:rsid w:val="25382DC5"/>
    <w:rsid w:val="25413976"/>
    <w:rsid w:val="25790727"/>
    <w:rsid w:val="259A582D"/>
    <w:rsid w:val="25B16EAF"/>
    <w:rsid w:val="25B3069D"/>
    <w:rsid w:val="25D80758"/>
    <w:rsid w:val="25E27205"/>
    <w:rsid w:val="25EE433E"/>
    <w:rsid w:val="26031625"/>
    <w:rsid w:val="261E5614"/>
    <w:rsid w:val="26237E66"/>
    <w:rsid w:val="26541E57"/>
    <w:rsid w:val="26761726"/>
    <w:rsid w:val="26867DD8"/>
    <w:rsid w:val="26E6071B"/>
    <w:rsid w:val="26F176CF"/>
    <w:rsid w:val="27233601"/>
    <w:rsid w:val="276239DF"/>
    <w:rsid w:val="277B4318"/>
    <w:rsid w:val="27972340"/>
    <w:rsid w:val="27D61C41"/>
    <w:rsid w:val="280E48D2"/>
    <w:rsid w:val="283771E3"/>
    <w:rsid w:val="28510897"/>
    <w:rsid w:val="287414B3"/>
    <w:rsid w:val="288F0A8A"/>
    <w:rsid w:val="28AE0644"/>
    <w:rsid w:val="28EF40E2"/>
    <w:rsid w:val="29820AB2"/>
    <w:rsid w:val="29DE284C"/>
    <w:rsid w:val="29EA0B73"/>
    <w:rsid w:val="29FD233A"/>
    <w:rsid w:val="2A3946D4"/>
    <w:rsid w:val="2A8D2576"/>
    <w:rsid w:val="2AB54EB7"/>
    <w:rsid w:val="2AB92391"/>
    <w:rsid w:val="2ABD35B9"/>
    <w:rsid w:val="2ACD5C25"/>
    <w:rsid w:val="2AF45EAF"/>
    <w:rsid w:val="2B2E3048"/>
    <w:rsid w:val="2B2F6AE3"/>
    <w:rsid w:val="2B8C17C5"/>
    <w:rsid w:val="2BA93541"/>
    <w:rsid w:val="2BAC2938"/>
    <w:rsid w:val="2BF31F8A"/>
    <w:rsid w:val="2C0170E2"/>
    <w:rsid w:val="2C2D78F8"/>
    <w:rsid w:val="2C546864"/>
    <w:rsid w:val="2C646DCE"/>
    <w:rsid w:val="2C714E0E"/>
    <w:rsid w:val="2C7E7D2B"/>
    <w:rsid w:val="2CE306F3"/>
    <w:rsid w:val="2DF33D2D"/>
    <w:rsid w:val="2E0D7FA5"/>
    <w:rsid w:val="2E175C51"/>
    <w:rsid w:val="2E1B5693"/>
    <w:rsid w:val="2E6266F4"/>
    <w:rsid w:val="2E933E1E"/>
    <w:rsid w:val="2EDA6C9B"/>
    <w:rsid w:val="2F5C1DA5"/>
    <w:rsid w:val="2F8D524C"/>
    <w:rsid w:val="2FA147AD"/>
    <w:rsid w:val="30274161"/>
    <w:rsid w:val="305F4D62"/>
    <w:rsid w:val="309304E6"/>
    <w:rsid w:val="311158C9"/>
    <w:rsid w:val="312308EE"/>
    <w:rsid w:val="31541B56"/>
    <w:rsid w:val="316D4389"/>
    <w:rsid w:val="31833AED"/>
    <w:rsid w:val="31E65088"/>
    <w:rsid w:val="32203ECE"/>
    <w:rsid w:val="32441361"/>
    <w:rsid w:val="32527412"/>
    <w:rsid w:val="325946B1"/>
    <w:rsid w:val="32696CB3"/>
    <w:rsid w:val="327B76D8"/>
    <w:rsid w:val="32952849"/>
    <w:rsid w:val="329F47FB"/>
    <w:rsid w:val="32D74ECB"/>
    <w:rsid w:val="33306E3C"/>
    <w:rsid w:val="333A0650"/>
    <w:rsid w:val="334778A9"/>
    <w:rsid w:val="335F2A10"/>
    <w:rsid w:val="339A61E6"/>
    <w:rsid w:val="33EC7649"/>
    <w:rsid w:val="33FB1B8D"/>
    <w:rsid w:val="342F529F"/>
    <w:rsid w:val="349F14B4"/>
    <w:rsid w:val="35042CC3"/>
    <w:rsid w:val="350F5067"/>
    <w:rsid w:val="35354AA3"/>
    <w:rsid w:val="357D1E22"/>
    <w:rsid w:val="35861BFC"/>
    <w:rsid w:val="35C90EA5"/>
    <w:rsid w:val="368C11C2"/>
    <w:rsid w:val="36D90521"/>
    <w:rsid w:val="370451FC"/>
    <w:rsid w:val="37976058"/>
    <w:rsid w:val="37D14CE2"/>
    <w:rsid w:val="37DD07A0"/>
    <w:rsid w:val="3860054A"/>
    <w:rsid w:val="3861325C"/>
    <w:rsid w:val="38D16F51"/>
    <w:rsid w:val="38F66A63"/>
    <w:rsid w:val="39030A0D"/>
    <w:rsid w:val="3915111C"/>
    <w:rsid w:val="398644A7"/>
    <w:rsid w:val="39A052BE"/>
    <w:rsid w:val="39F9459F"/>
    <w:rsid w:val="3A4A1178"/>
    <w:rsid w:val="3A4B4908"/>
    <w:rsid w:val="3A79487B"/>
    <w:rsid w:val="3A811491"/>
    <w:rsid w:val="3ABA74E1"/>
    <w:rsid w:val="3ADE5E09"/>
    <w:rsid w:val="3B010C10"/>
    <w:rsid w:val="3B2E403C"/>
    <w:rsid w:val="3B411350"/>
    <w:rsid w:val="3B471B5C"/>
    <w:rsid w:val="3B4F19E2"/>
    <w:rsid w:val="3B650C7B"/>
    <w:rsid w:val="3B8C756F"/>
    <w:rsid w:val="3BFC46F4"/>
    <w:rsid w:val="3C131672"/>
    <w:rsid w:val="3C4037BA"/>
    <w:rsid w:val="3C6A2A4D"/>
    <w:rsid w:val="3C6E51C8"/>
    <w:rsid w:val="3CAA1115"/>
    <w:rsid w:val="3CE24615"/>
    <w:rsid w:val="3CE82451"/>
    <w:rsid w:val="3D0537D3"/>
    <w:rsid w:val="3D48236E"/>
    <w:rsid w:val="3D7C774C"/>
    <w:rsid w:val="3DC13C46"/>
    <w:rsid w:val="3DC54FBA"/>
    <w:rsid w:val="3E404E0F"/>
    <w:rsid w:val="3E454216"/>
    <w:rsid w:val="3E483BD6"/>
    <w:rsid w:val="3E64170C"/>
    <w:rsid w:val="3E8F1CD1"/>
    <w:rsid w:val="3E8F662D"/>
    <w:rsid w:val="3EFC11A6"/>
    <w:rsid w:val="3F3E02C8"/>
    <w:rsid w:val="3F4343E8"/>
    <w:rsid w:val="3F5E364E"/>
    <w:rsid w:val="3F7722E4"/>
    <w:rsid w:val="3F9C0AC8"/>
    <w:rsid w:val="3FA10E42"/>
    <w:rsid w:val="3FEE6A4A"/>
    <w:rsid w:val="40075910"/>
    <w:rsid w:val="40333C26"/>
    <w:rsid w:val="40C31C84"/>
    <w:rsid w:val="41007D73"/>
    <w:rsid w:val="411A73CB"/>
    <w:rsid w:val="413F4150"/>
    <w:rsid w:val="41717932"/>
    <w:rsid w:val="41C0638D"/>
    <w:rsid w:val="41C45458"/>
    <w:rsid w:val="42120A14"/>
    <w:rsid w:val="42515506"/>
    <w:rsid w:val="426E3E72"/>
    <w:rsid w:val="427563EC"/>
    <w:rsid w:val="428D386D"/>
    <w:rsid w:val="42AD6748"/>
    <w:rsid w:val="42D9739E"/>
    <w:rsid w:val="42E80317"/>
    <w:rsid w:val="42F832FB"/>
    <w:rsid w:val="430D1EA0"/>
    <w:rsid w:val="431E7F0A"/>
    <w:rsid w:val="43615785"/>
    <w:rsid w:val="43672D9B"/>
    <w:rsid w:val="43A07D60"/>
    <w:rsid w:val="44033C27"/>
    <w:rsid w:val="44170BCC"/>
    <w:rsid w:val="442F3449"/>
    <w:rsid w:val="444A1154"/>
    <w:rsid w:val="4482327D"/>
    <w:rsid w:val="449C6F96"/>
    <w:rsid w:val="44A949DB"/>
    <w:rsid w:val="44E623E5"/>
    <w:rsid w:val="450D3EB7"/>
    <w:rsid w:val="452F6252"/>
    <w:rsid w:val="45332881"/>
    <w:rsid w:val="45AA0A5C"/>
    <w:rsid w:val="45E41D2B"/>
    <w:rsid w:val="4691012F"/>
    <w:rsid w:val="46B93824"/>
    <w:rsid w:val="46BB203E"/>
    <w:rsid w:val="46E82445"/>
    <w:rsid w:val="471D05AE"/>
    <w:rsid w:val="473E02B7"/>
    <w:rsid w:val="473F1A7D"/>
    <w:rsid w:val="48A71E8C"/>
    <w:rsid w:val="48B12D0A"/>
    <w:rsid w:val="48C879F5"/>
    <w:rsid w:val="48E629B4"/>
    <w:rsid w:val="48FF3F5F"/>
    <w:rsid w:val="49227EC8"/>
    <w:rsid w:val="492C14B0"/>
    <w:rsid w:val="493B4FAE"/>
    <w:rsid w:val="498D72D3"/>
    <w:rsid w:val="4A10395E"/>
    <w:rsid w:val="4A1770F6"/>
    <w:rsid w:val="4A19661E"/>
    <w:rsid w:val="4A207CD7"/>
    <w:rsid w:val="4A2319E6"/>
    <w:rsid w:val="4A572317"/>
    <w:rsid w:val="4A817DD7"/>
    <w:rsid w:val="4B266D0C"/>
    <w:rsid w:val="4B46598C"/>
    <w:rsid w:val="4B527092"/>
    <w:rsid w:val="4B8940F4"/>
    <w:rsid w:val="4B8C624C"/>
    <w:rsid w:val="4B967761"/>
    <w:rsid w:val="4C353FA2"/>
    <w:rsid w:val="4C61406C"/>
    <w:rsid w:val="4CAF5DEC"/>
    <w:rsid w:val="4D0375AA"/>
    <w:rsid w:val="4D0A709D"/>
    <w:rsid w:val="4D3026E0"/>
    <w:rsid w:val="4D3063DB"/>
    <w:rsid w:val="4D423F31"/>
    <w:rsid w:val="4D5B3160"/>
    <w:rsid w:val="4D6B58EA"/>
    <w:rsid w:val="4DB046E4"/>
    <w:rsid w:val="4E054622"/>
    <w:rsid w:val="4E0B6685"/>
    <w:rsid w:val="4E2A19CF"/>
    <w:rsid w:val="4E511DED"/>
    <w:rsid w:val="4EE80B08"/>
    <w:rsid w:val="4F3B7EBF"/>
    <w:rsid w:val="4F477F24"/>
    <w:rsid w:val="4F4C1097"/>
    <w:rsid w:val="4F766A82"/>
    <w:rsid w:val="4F90539D"/>
    <w:rsid w:val="4FB52DDC"/>
    <w:rsid w:val="4FB9279B"/>
    <w:rsid w:val="4FBA6C39"/>
    <w:rsid w:val="4FCF3380"/>
    <w:rsid w:val="4FDB4BA2"/>
    <w:rsid w:val="4FEC63D6"/>
    <w:rsid w:val="50055C55"/>
    <w:rsid w:val="501B2972"/>
    <w:rsid w:val="505E1AF1"/>
    <w:rsid w:val="50661029"/>
    <w:rsid w:val="507A1716"/>
    <w:rsid w:val="508C31D8"/>
    <w:rsid w:val="51305C81"/>
    <w:rsid w:val="515D1360"/>
    <w:rsid w:val="51826ED6"/>
    <w:rsid w:val="51962E4F"/>
    <w:rsid w:val="521105B2"/>
    <w:rsid w:val="525F551A"/>
    <w:rsid w:val="52602A17"/>
    <w:rsid w:val="526A35A6"/>
    <w:rsid w:val="52A0126F"/>
    <w:rsid w:val="5324020D"/>
    <w:rsid w:val="53775BA0"/>
    <w:rsid w:val="537B0343"/>
    <w:rsid w:val="537C55D4"/>
    <w:rsid w:val="53B034E4"/>
    <w:rsid w:val="54100115"/>
    <w:rsid w:val="546E385E"/>
    <w:rsid w:val="54BC6CBF"/>
    <w:rsid w:val="550979AB"/>
    <w:rsid w:val="553027F9"/>
    <w:rsid w:val="5563713A"/>
    <w:rsid w:val="558108E9"/>
    <w:rsid w:val="558F1CDD"/>
    <w:rsid w:val="559B47CF"/>
    <w:rsid w:val="55DB3416"/>
    <w:rsid w:val="56253ED6"/>
    <w:rsid w:val="562F71C8"/>
    <w:rsid w:val="565F038E"/>
    <w:rsid w:val="567D5FDA"/>
    <w:rsid w:val="56C360E3"/>
    <w:rsid w:val="571A0208"/>
    <w:rsid w:val="57590062"/>
    <w:rsid w:val="57691F00"/>
    <w:rsid w:val="57707232"/>
    <w:rsid w:val="578161EA"/>
    <w:rsid w:val="57B74DD8"/>
    <w:rsid w:val="57B7551B"/>
    <w:rsid w:val="57FC5330"/>
    <w:rsid w:val="58242BB1"/>
    <w:rsid w:val="582452DD"/>
    <w:rsid w:val="58A951A3"/>
    <w:rsid w:val="58BA52C3"/>
    <w:rsid w:val="58C45D76"/>
    <w:rsid w:val="59030722"/>
    <w:rsid w:val="592A2449"/>
    <w:rsid w:val="593C28E8"/>
    <w:rsid w:val="59544B9F"/>
    <w:rsid w:val="59B96BA5"/>
    <w:rsid w:val="59CE54CA"/>
    <w:rsid w:val="59E3084A"/>
    <w:rsid w:val="5A907E2F"/>
    <w:rsid w:val="5AAC071B"/>
    <w:rsid w:val="5AF97112"/>
    <w:rsid w:val="5B0672C5"/>
    <w:rsid w:val="5B0942E0"/>
    <w:rsid w:val="5B321A89"/>
    <w:rsid w:val="5B5D17E8"/>
    <w:rsid w:val="5B700BEB"/>
    <w:rsid w:val="5B927F28"/>
    <w:rsid w:val="5BBE331C"/>
    <w:rsid w:val="5BD275E9"/>
    <w:rsid w:val="5C0C22DA"/>
    <w:rsid w:val="5C333BAD"/>
    <w:rsid w:val="5CA40764"/>
    <w:rsid w:val="5D116B0F"/>
    <w:rsid w:val="5D186A5C"/>
    <w:rsid w:val="5D2D52D3"/>
    <w:rsid w:val="5D390CCF"/>
    <w:rsid w:val="5DEE5F83"/>
    <w:rsid w:val="5DEF4A8E"/>
    <w:rsid w:val="5DF82A3D"/>
    <w:rsid w:val="5E112F6F"/>
    <w:rsid w:val="5E2C3853"/>
    <w:rsid w:val="5E8C397C"/>
    <w:rsid w:val="5EEA21DC"/>
    <w:rsid w:val="5F2E03EF"/>
    <w:rsid w:val="5FAC25F1"/>
    <w:rsid w:val="5FF07B84"/>
    <w:rsid w:val="5FFE0E19"/>
    <w:rsid w:val="602A337D"/>
    <w:rsid w:val="607641C6"/>
    <w:rsid w:val="60872AA7"/>
    <w:rsid w:val="60C22582"/>
    <w:rsid w:val="61050922"/>
    <w:rsid w:val="61147B25"/>
    <w:rsid w:val="61785284"/>
    <w:rsid w:val="617F47FE"/>
    <w:rsid w:val="61CC1C69"/>
    <w:rsid w:val="61F465FC"/>
    <w:rsid w:val="62D72BDE"/>
    <w:rsid w:val="62DA532B"/>
    <w:rsid w:val="631F5732"/>
    <w:rsid w:val="63253C81"/>
    <w:rsid w:val="633A4D48"/>
    <w:rsid w:val="633D0FCB"/>
    <w:rsid w:val="63626030"/>
    <w:rsid w:val="63831F32"/>
    <w:rsid w:val="639F5594"/>
    <w:rsid w:val="63BA0A55"/>
    <w:rsid w:val="64192D60"/>
    <w:rsid w:val="641E5ABA"/>
    <w:rsid w:val="648F1CFA"/>
    <w:rsid w:val="64B21544"/>
    <w:rsid w:val="64C375C6"/>
    <w:rsid w:val="64E42046"/>
    <w:rsid w:val="64EC2CA8"/>
    <w:rsid w:val="65211318"/>
    <w:rsid w:val="65714F6D"/>
    <w:rsid w:val="65921AA2"/>
    <w:rsid w:val="65A90878"/>
    <w:rsid w:val="65E25E59"/>
    <w:rsid w:val="65F00167"/>
    <w:rsid w:val="66317005"/>
    <w:rsid w:val="66680A54"/>
    <w:rsid w:val="66AB5303"/>
    <w:rsid w:val="66B16911"/>
    <w:rsid w:val="670B3B0B"/>
    <w:rsid w:val="672D473D"/>
    <w:rsid w:val="674E7135"/>
    <w:rsid w:val="67642FCA"/>
    <w:rsid w:val="6764746E"/>
    <w:rsid w:val="6780592A"/>
    <w:rsid w:val="6794698A"/>
    <w:rsid w:val="6797036D"/>
    <w:rsid w:val="679B1120"/>
    <w:rsid w:val="679C6C08"/>
    <w:rsid w:val="67AA7DCB"/>
    <w:rsid w:val="67D22629"/>
    <w:rsid w:val="680F7C3B"/>
    <w:rsid w:val="68494FAA"/>
    <w:rsid w:val="685F5A5D"/>
    <w:rsid w:val="686A2286"/>
    <w:rsid w:val="68EA350A"/>
    <w:rsid w:val="68F441DB"/>
    <w:rsid w:val="691602F4"/>
    <w:rsid w:val="69441BE5"/>
    <w:rsid w:val="696E45ED"/>
    <w:rsid w:val="698A2A90"/>
    <w:rsid w:val="69935DE8"/>
    <w:rsid w:val="6A02479E"/>
    <w:rsid w:val="6A051B57"/>
    <w:rsid w:val="6A083F0F"/>
    <w:rsid w:val="6A5D1BE9"/>
    <w:rsid w:val="6A5F013F"/>
    <w:rsid w:val="6B485246"/>
    <w:rsid w:val="6B677081"/>
    <w:rsid w:val="6BD41445"/>
    <w:rsid w:val="6C553829"/>
    <w:rsid w:val="6C645543"/>
    <w:rsid w:val="6CA64CB9"/>
    <w:rsid w:val="6CFD2983"/>
    <w:rsid w:val="6D31184E"/>
    <w:rsid w:val="6D77157D"/>
    <w:rsid w:val="6D934C6D"/>
    <w:rsid w:val="6DC972AE"/>
    <w:rsid w:val="6DE07122"/>
    <w:rsid w:val="6E0C170B"/>
    <w:rsid w:val="6E810905"/>
    <w:rsid w:val="6E9B381A"/>
    <w:rsid w:val="6F280D81"/>
    <w:rsid w:val="6F630159"/>
    <w:rsid w:val="6F674DBE"/>
    <w:rsid w:val="6FB302B1"/>
    <w:rsid w:val="6FBE5162"/>
    <w:rsid w:val="6FE61D8A"/>
    <w:rsid w:val="7015612F"/>
    <w:rsid w:val="701E77AF"/>
    <w:rsid w:val="704D41CB"/>
    <w:rsid w:val="70814BED"/>
    <w:rsid w:val="70891C60"/>
    <w:rsid w:val="71400818"/>
    <w:rsid w:val="7159276B"/>
    <w:rsid w:val="716D5743"/>
    <w:rsid w:val="71805163"/>
    <w:rsid w:val="71A212BE"/>
    <w:rsid w:val="71FD70D9"/>
    <w:rsid w:val="72097843"/>
    <w:rsid w:val="727627DB"/>
    <w:rsid w:val="72897D89"/>
    <w:rsid w:val="7290622E"/>
    <w:rsid w:val="72B9661D"/>
    <w:rsid w:val="72BD3C5C"/>
    <w:rsid w:val="72F61033"/>
    <w:rsid w:val="72F62F44"/>
    <w:rsid w:val="7302232E"/>
    <w:rsid w:val="733579E1"/>
    <w:rsid w:val="73376E96"/>
    <w:rsid w:val="73670AD3"/>
    <w:rsid w:val="738D5656"/>
    <w:rsid w:val="73AA7273"/>
    <w:rsid w:val="73D13D02"/>
    <w:rsid w:val="73DA2474"/>
    <w:rsid w:val="747F3B84"/>
    <w:rsid w:val="74E41300"/>
    <w:rsid w:val="74EE24F4"/>
    <w:rsid w:val="75145083"/>
    <w:rsid w:val="753144E6"/>
    <w:rsid w:val="75392068"/>
    <w:rsid w:val="75617A5A"/>
    <w:rsid w:val="75680129"/>
    <w:rsid w:val="758F6E2D"/>
    <w:rsid w:val="75A12743"/>
    <w:rsid w:val="75AB35CE"/>
    <w:rsid w:val="75C8039D"/>
    <w:rsid w:val="75D2069D"/>
    <w:rsid w:val="76074AB5"/>
    <w:rsid w:val="76534E3F"/>
    <w:rsid w:val="766034F6"/>
    <w:rsid w:val="768D58A6"/>
    <w:rsid w:val="772067E2"/>
    <w:rsid w:val="77453F58"/>
    <w:rsid w:val="77F730CE"/>
    <w:rsid w:val="780126B8"/>
    <w:rsid w:val="78215730"/>
    <w:rsid w:val="78500E7C"/>
    <w:rsid w:val="789F68EB"/>
    <w:rsid w:val="78D635FC"/>
    <w:rsid w:val="78E06AB0"/>
    <w:rsid w:val="799A775C"/>
    <w:rsid w:val="79B53F54"/>
    <w:rsid w:val="79CD3DAB"/>
    <w:rsid w:val="79EA6D8C"/>
    <w:rsid w:val="7A523156"/>
    <w:rsid w:val="7A713452"/>
    <w:rsid w:val="7A826316"/>
    <w:rsid w:val="7A9C3EB1"/>
    <w:rsid w:val="7AA31F19"/>
    <w:rsid w:val="7AA5469E"/>
    <w:rsid w:val="7ACA5776"/>
    <w:rsid w:val="7B3D3E06"/>
    <w:rsid w:val="7B481BFB"/>
    <w:rsid w:val="7B4C4049"/>
    <w:rsid w:val="7B827BBF"/>
    <w:rsid w:val="7B98702C"/>
    <w:rsid w:val="7BDE7397"/>
    <w:rsid w:val="7C266648"/>
    <w:rsid w:val="7C574A54"/>
    <w:rsid w:val="7C7E0232"/>
    <w:rsid w:val="7CA93D00"/>
    <w:rsid w:val="7CE243B6"/>
    <w:rsid w:val="7CF51D19"/>
    <w:rsid w:val="7CFC8D69"/>
    <w:rsid w:val="7D1231FF"/>
    <w:rsid w:val="7D3C1A3B"/>
    <w:rsid w:val="7D627B54"/>
    <w:rsid w:val="7D68228A"/>
    <w:rsid w:val="7D695987"/>
    <w:rsid w:val="7D7D2BE0"/>
    <w:rsid w:val="7D9B2809"/>
    <w:rsid w:val="7DFD162B"/>
    <w:rsid w:val="7E0B0100"/>
    <w:rsid w:val="7E3D5ECB"/>
    <w:rsid w:val="7E530E2B"/>
    <w:rsid w:val="7E780003"/>
    <w:rsid w:val="7E9D00E8"/>
    <w:rsid w:val="7ED378B1"/>
    <w:rsid w:val="7F2826D7"/>
    <w:rsid w:val="7F5B485B"/>
    <w:rsid w:val="7F944F92"/>
    <w:rsid w:val="7FAC50B6"/>
    <w:rsid w:val="7FB4040F"/>
    <w:rsid w:val="7FFA0518"/>
    <w:rsid w:val="7FFA22C6"/>
    <w:rsid w:val="BDEF686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nhideWhenUsed="0"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9"/>
    <w:pPr>
      <w:spacing w:before="28"/>
      <w:jc w:val="center"/>
      <w:outlineLvl w:val="0"/>
    </w:pPr>
    <w:rPr>
      <w:rFonts w:ascii="黑体" w:hAnsi="黑体" w:eastAsia="黑体" w:cs="黑体"/>
      <w:sz w:val="44"/>
      <w:szCs w:val="44"/>
    </w:rPr>
  </w:style>
  <w:style w:type="paragraph" w:styleId="3">
    <w:name w:val="heading 2"/>
    <w:basedOn w:val="1"/>
    <w:next w:val="1"/>
    <w:qFormat/>
    <w:uiPriority w:val="0"/>
    <w:pPr>
      <w:keepNext/>
      <w:keepLines/>
      <w:numPr>
        <w:ilvl w:val="1"/>
        <w:numId w:val="1"/>
      </w:numPr>
      <w:tabs>
        <w:tab w:val="left" w:pos="0"/>
      </w:tabs>
      <w:spacing w:before="260" w:after="260" w:line="415" w:lineRule="auto"/>
      <w:ind w:left="0" w:firstLine="0" w:firstLineChars="0"/>
      <w:jc w:val="left"/>
      <w:outlineLvl w:val="1"/>
    </w:pPr>
    <w:rPr>
      <w:rFonts w:eastAsia="宋体"/>
      <w:b/>
      <w:bCs/>
      <w:sz w:val="32"/>
      <w:szCs w:val="32"/>
    </w:rPr>
  </w:style>
  <w:style w:type="paragraph" w:styleId="4">
    <w:name w:val="heading 3"/>
    <w:basedOn w:val="1"/>
    <w:next w:val="1"/>
    <w:unhideWhenUsed/>
    <w:qFormat/>
    <w:uiPriority w:val="0"/>
    <w:pPr>
      <w:keepNext/>
      <w:keepLines/>
      <w:spacing w:beforeLines="0" w:afterLines="0"/>
      <w:ind w:firstLine="640"/>
      <w:outlineLvl w:val="2"/>
    </w:pPr>
    <w:rPr>
      <w:rFonts w:ascii="方正黑体_GBK" w:hAnsi="方正黑体_GBK" w:eastAsia="方正黑体_GBK" w:cs="方正黑体_GBK"/>
      <w:szCs w:val="28"/>
    </w:rPr>
  </w:style>
  <w:style w:type="paragraph" w:styleId="5">
    <w:name w:val="heading 4"/>
    <w:basedOn w:val="1"/>
    <w:next w:val="1"/>
    <w:unhideWhenUsed/>
    <w:qFormat/>
    <w:uiPriority w:val="0"/>
    <w:pPr>
      <w:keepNext/>
      <w:keepLines/>
      <w:spacing w:beforeLines="0" w:afterLines="0"/>
      <w:outlineLvl w:val="3"/>
    </w:pPr>
    <w:rPr>
      <w:b/>
    </w:rPr>
  </w:style>
  <w:style w:type="paragraph" w:styleId="6">
    <w:name w:val="heading 5"/>
    <w:basedOn w:val="1"/>
    <w:next w:val="1"/>
    <w:qFormat/>
    <w:uiPriority w:val="0"/>
    <w:pPr>
      <w:keepNext/>
      <w:keepLines/>
      <w:spacing w:before="50" w:beforeLines="50" w:after="50" w:afterLines="50"/>
      <w:outlineLvl w:val="4"/>
    </w:pPr>
    <w:rPr>
      <w:b/>
      <w:bCs/>
      <w:sz w:val="28"/>
      <w:szCs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7">
    <w:name w:val="Normal Indent"/>
    <w:basedOn w:val="1"/>
    <w:next w:val="1"/>
    <w:unhideWhenUsed/>
    <w:qFormat/>
    <w:uiPriority w:val="0"/>
    <w:pPr>
      <w:ind w:firstLine="420" w:firstLineChars="200"/>
    </w:pPr>
  </w:style>
  <w:style w:type="paragraph" w:styleId="8">
    <w:name w:val="Document Map"/>
    <w:basedOn w:val="1"/>
    <w:qFormat/>
    <w:uiPriority w:val="99"/>
    <w:rPr>
      <w:rFonts w:ascii="Calibri"/>
      <w:sz w:val="18"/>
      <w:szCs w:val="18"/>
    </w:rPr>
  </w:style>
  <w:style w:type="paragraph" w:styleId="9">
    <w:name w:val="Body Text"/>
    <w:basedOn w:val="1"/>
    <w:next w:val="1"/>
    <w:semiHidden/>
    <w:qFormat/>
    <w:uiPriority w:val="0"/>
    <w:rPr>
      <w:rFonts w:ascii="Arial" w:hAnsi="Arial" w:eastAsia="Arial" w:cs="Arial"/>
      <w:sz w:val="21"/>
      <w:szCs w:val="21"/>
      <w:lang w:val="en-US" w:eastAsia="en-US" w:bidi="ar-SA"/>
    </w:rPr>
  </w:style>
  <w:style w:type="paragraph" w:styleId="10">
    <w:name w:val="Body Text Indent"/>
    <w:basedOn w:val="1"/>
    <w:semiHidden/>
    <w:unhideWhenUsed/>
    <w:qFormat/>
    <w:uiPriority w:val="99"/>
    <w:pPr>
      <w:spacing w:after="120"/>
      <w:ind w:left="420" w:leftChars="200"/>
    </w:pPr>
  </w:style>
  <w:style w:type="paragraph" w:styleId="11">
    <w:name w:val="toc 3"/>
    <w:basedOn w:val="1"/>
    <w:next w:val="1"/>
    <w:qFormat/>
    <w:uiPriority w:val="0"/>
    <w:pPr>
      <w:ind w:left="840" w:leftChars="400"/>
    </w:pPr>
  </w:style>
  <w:style w:type="paragraph" w:styleId="12">
    <w:name w:val="Plain Text"/>
    <w:basedOn w:val="1"/>
    <w:qFormat/>
    <w:uiPriority w:val="99"/>
    <w:rPr>
      <w:rFonts w:ascii="宋体" w:hAnsi="Courier New" w:eastAsia="宋体" w:cs="Times New Roman"/>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link w:val="3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Title"/>
    <w:basedOn w:val="1"/>
    <w:next w:val="1"/>
    <w:qFormat/>
    <w:uiPriority w:val="0"/>
    <w:pPr>
      <w:spacing w:before="240" w:after="60"/>
      <w:jc w:val="center"/>
      <w:outlineLvl w:val="0"/>
    </w:pPr>
    <w:rPr>
      <w:rFonts w:ascii="Arial" w:hAnsi="Arial" w:cs="Arial"/>
      <w:b/>
      <w:bCs/>
      <w:sz w:val="32"/>
      <w:szCs w:val="32"/>
    </w:rPr>
  </w:style>
  <w:style w:type="paragraph" w:styleId="18">
    <w:name w:val="Body Text First Indent"/>
    <w:basedOn w:val="9"/>
    <w:semiHidden/>
    <w:unhideWhenUsed/>
    <w:qFormat/>
    <w:uiPriority w:val="99"/>
    <w:pPr>
      <w:ind w:firstLine="420" w:firstLineChars="100"/>
    </w:pPr>
  </w:style>
  <w:style w:type="paragraph" w:styleId="19">
    <w:name w:val="Body Text First Indent 2"/>
    <w:basedOn w:val="10"/>
    <w:next w:val="1"/>
    <w:qFormat/>
    <w:uiPriority w:val="0"/>
    <w:pPr>
      <w:ind w:firstLine="420" w:firstLineChars="200"/>
    </w:pPr>
    <w:rPr>
      <w:rFonts w:ascii="Times New Roman" w:hAnsi="Times New Roman"/>
      <w:szCs w:val="24"/>
    </w:rPr>
  </w:style>
  <w:style w:type="table" w:styleId="21">
    <w:name w:val="Table Grid"/>
    <w:qFormat/>
    <w:uiPriority w:val="39"/>
    <w:pPr>
      <w:widowControl w:val="0"/>
      <w:jc w:val="both"/>
    </w:pPr>
    <w:rPr>
      <w:rFonts w:ascii="Calibri" w:hAnsi="Calibri"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Hyperlink"/>
    <w:basedOn w:val="22"/>
    <w:qFormat/>
    <w:uiPriority w:val="0"/>
    <w:rPr>
      <w:color w:val="0000FF"/>
      <w:u w:val="single"/>
    </w:rPr>
  </w:style>
  <w:style w:type="table" w:customStyle="1" w:styleId="25">
    <w:name w:val="Table Normal"/>
    <w:semiHidden/>
    <w:unhideWhenUsed/>
    <w:qFormat/>
    <w:uiPriority w:val="0"/>
    <w:tblPr>
      <w:tblCellMar>
        <w:top w:w="0" w:type="dxa"/>
        <w:left w:w="0" w:type="dxa"/>
        <w:bottom w:w="0" w:type="dxa"/>
        <w:right w:w="0" w:type="dxa"/>
      </w:tblCellMar>
    </w:tblPr>
  </w:style>
  <w:style w:type="paragraph" w:customStyle="1" w:styleId="26">
    <w:name w:val="Table Text"/>
    <w:basedOn w:val="1"/>
    <w:semiHidden/>
    <w:qFormat/>
    <w:uiPriority w:val="0"/>
    <w:rPr>
      <w:rFonts w:ascii="Arial" w:hAnsi="Arial" w:eastAsia="Arial" w:cs="Arial"/>
      <w:sz w:val="21"/>
      <w:szCs w:val="21"/>
      <w:lang w:val="en-US" w:eastAsia="en-US" w:bidi="ar-SA"/>
    </w:rPr>
  </w:style>
  <w:style w:type="paragraph" w:customStyle="1" w:styleId="27">
    <w:name w:val="正文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
    <w:name w:val="标题 31"/>
    <w:basedOn w:val="27"/>
    <w:next w:val="27"/>
    <w:unhideWhenUsed/>
    <w:qFormat/>
    <w:uiPriority w:val="9"/>
    <w:pPr>
      <w:keepNext/>
      <w:keepLines/>
      <w:spacing w:before="260" w:after="260" w:line="415" w:lineRule="auto"/>
      <w:outlineLvl w:val="2"/>
    </w:pPr>
    <w:rPr>
      <w:b/>
      <w:bCs/>
      <w:sz w:val="32"/>
      <w:szCs w:val="32"/>
    </w:rPr>
  </w:style>
  <w:style w:type="paragraph" w:customStyle="1" w:styleId="29">
    <w:name w:val="Normal Indent1"/>
    <w:qFormat/>
    <w:uiPriority w:val="99"/>
    <w:pPr>
      <w:widowControl w:val="0"/>
      <w:ind w:firstLine="420" w:firstLineChars="200"/>
    </w:pPr>
    <w:rPr>
      <w:rFonts w:ascii="Calibri" w:hAnsi="Calibri" w:eastAsia="Calibri" w:cs="Times New Roman"/>
      <w:sz w:val="22"/>
      <w:szCs w:val="22"/>
      <w:lang w:val="en-US" w:eastAsia="en-US" w:bidi="ar-SA"/>
    </w:rPr>
  </w:style>
  <w:style w:type="paragraph" w:customStyle="1" w:styleId="30">
    <w:name w:val="表格（2内容）"/>
    <w:basedOn w:val="1"/>
    <w:qFormat/>
    <w:uiPriority w:val="0"/>
    <w:pPr>
      <w:adjustRightInd w:val="0"/>
      <w:snapToGrid w:val="0"/>
      <w:spacing w:afterLines="0" w:line="240" w:lineRule="atLeast"/>
      <w:ind w:firstLine="0" w:firstLineChars="0"/>
      <w:jc w:val="center"/>
    </w:pPr>
    <w:rPr>
      <w:rFonts w:ascii="仿宋_GB2312" w:hAnsi="仿宋_GB2312" w:eastAsia="仿宋_GB2312" w:cs="仿宋_GB2312"/>
      <w:sz w:val="24"/>
      <w:lang w:eastAsia="en-US"/>
    </w:rPr>
  </w:style>
  <w:style w:type="paragraph" w:customStyle="1" w:styleId="31">
    <w:name w:val="图片（1图片本身）"/>
    <w:basedOn w:val="1"/>
    <w:next w:val="1"/>
    <w:qFormat/>
    <w:uiPriority w:val="0"/>
    <w:pPr>
      <w:adjustRightInd w:val="0"/>
      <w:snapToGrid w:val="0"/>
      <w:spacing w:line="240" w:lineRule="atLeast"/>
      <w:ind w:firstLine="0" w:firstLineChars="0"/>
      <w:jc w:val="center"/>
      <w:outlineLvl w:val="4"/>
    </w:pPr>
  </w:style>
  <w:style w:type="paragraph" w:customStyle="1" w:styleId="32">
    <w:name w:val="图片（2名称）"/>
    <w:basedOn w:val="1"/>
    <w:next w:val="1"/>
    <w:qFormat/>
    <w:uiPriority w:val="0"/>
    <w:pPr>
      <w:adjustRightInd w:val="0"/>
      <w:snapToGrid w:val="0"/>
      <w:spacing w:line="240" w:lineRule="atLeast"/>
      <w:ind w:firstLine="0" w:firstLineChars="0"/>
      <w:jc w:val="center"/>
      <w:outlineLvl w:val="4"/>
    </w:pPr>
    <w:rPr>
      <w:rFonts w:ascii="宋体" w:hAnsi="宋体" w:eastAsia="宋体" w:cs="宋体"/>
      <w:b/>
      <w:bCs/>
      <w:sz w:val="24"/>
      <w:szCs w:val="22"/>
    </w:rPr>
  </w:style>
  <w:style w:type="character" w:customStyle="1" w:styleId="33">
    <w:name w:val="页眉 Char"/>
    <w:link w:val="14"/>
    <w:qFormat/>
    <w:uiPriority w:val="0"/>
    <w:rPr>
      <w:sz w:val="18"/>
    </w:rPr>
  </w:style>
  <w:style w:type="paragraph" w:customStyle="1" w:styleId="34">
    <w:name w:val="样式 (西文) Times New Roman (中文) 宋体 小四 行距: 固定值 25 磅"/>
    <w:basedOn w:val="1"/>
    <w:qFormat/>
    <w:uiPriority w:val="0"/>
    <w:pPr>
      <w:spacing w:line="500" w:lineRule="exact"/>
      <w:ind w:firstLine="200" w:firstLineChars="200"/>
    </w:pPr>
    <w:rPr>
      <w:rFonts w:ascii="Times New Roman" w:hAnsi="宋体" w:cs="宋体"/>
      <w:sz w:val="24"/>
      <w:szCs w:val="20"/>
    </w:rPr>
  </w:style>
  <w:style w:type="paragraph" w:customStyle="1" w:styleId="35">
    <w:name w:val="目录"/>
    <w:basedOn w:val="1"/>
    <w:next w:val="1"/>
    <w:qFormat/>
    <w:uiPriority w:val="0"/>
    <w:pPr>
      <w:numPr>
        <w:ilvl w:val="0"/>
        <w:numId w:val="0"/>
      </w:numPr>
      <w:tabs>
        <w:tab w:val="left" w:pos="0"/>
      </w:tabs>
      <w:snapToGrid w:val="0"/>
      <w:spacing w:line="360" w:lineRule="auto"/>
      <w:jc w:val="center"/>
    </w:pPr>
    <w:rPr>
      <w:rFonts w:eastAsia="黑体"/>
      <w:sz w:val="32"/>
    </w:rPr>
  </w:style>
  <w:style w:type="paragraph" w:customStyle="1" w:styleId="36">
    <w:name w:val="WPSOffice手动目录 1"/>
    <w:qFormat/>
    <w:uiPriority w:val="0"/>
    <w:pPr>
      <w:ind w:leftChars="0"/>
    </w:pPr>
    <w:rPr>
      <w:rFonts w:ascii="Times New Roman" w:hAnsi="Times New Roman" w:eastAsia="宋体" w:cs="Times New Roman"/>
      <w:sz w:val="20"/>
      <w:szCs w:val="20"/>
    </w:rPr>
  </w:style>
  <w:style w:type="paragraph" w:customStyle="1" w:styleId="37">
    <w:name w:val="WPSOffice手动目录 2"/>
    <w:qFormat/>
    <w:uiPriority w:val="0"/>
    <w:pPr>
      <w:ind w:leftChars="200"/>
    </w:pPr>
    <w:rPr>
      <w:rFonts w:ascii="Times New Roman" w:hAnsi="Times New Roman" w:eastAsia="宋体" w:cs="Times New Roman"/>
      <w:sz w:val="20"/>
      <w:szCs w:val="20"/>
    </w:rPr>
  </w:style>
  <w:style w:type="paragraph" w:customStyle="1" w:styleId="38">
    <w:name w:val="WPSOffice手动目录 3"/>
    <w:qFormat/>
    <w:uiPriority w:val="0"/>
    <w:pPr>
      <w:ind w:leftChars="400"/>
    </w:pPr>
    <w:rPr>
      <w:rFonts w:ascii="Times New Roman" w:hAnsi="Times New Roman" w:eastAsia="宋体" w:cs="Times New Roman"/>
      <w:sz w:val="20"/>
      <w:szCs w:val="20"/>
    </w:rPr>
  </w:style>
  <w:style w:type="character" w:customStyle="1" w:styleId="39">
    <w:name w:val="font21"/>
    <w:basedOn w:val="22"/>
    <w:qFormat/>
    <w:uiPriority w:val="0"/>
    <w:rPr>
      <w:rFonts w:hint="eastAsia" w:ascii="宋体" w:hAnsi="宋体" w:eastAsia="宋体" w:cs="宋体"/>
      <w:b/>
      <w:bCs/>
      <w:color w:val="000000"/>
      <w:sz w:val="16"/>
      <w:szCs w:val="16"/>
      <w:u w:val="none"/>
    </w:rPr>
  </w:style>
  <w:style w:type="character" w:customStyle="1" w:styleId="40">
    <w:name w:val="font31"/>
    <w:basedOn w:val="22"/>
    <w:qFormat/>
    <w:uiPriority w:val="0"/>
    <w:rPr>
      <w:rFonts w:hint="default" w:ascii="Times New Roman" w:hAnsi="Times New Roman" w:cs="Times New Roman"/>
      <w:b/>
      <w:bCs/>
      <w:color w:val="000000"/>
      <w:sz w:val="16"/>
      <w:szCs w:val="16"/>
      <w:u w:val="none"/>
    </w:rPr>
  </w:style>
  <w:style w:type="character" w:customStyle="1" w:styleId="41">
    <w:name w:val="font51"/>
    <w:basedOn w:val="22"/>
    <w:qFormat/>
    <w:uiPriority w:val="0"/>
    <w:rPr>
      <w:rFonts w:hint="default" w:ascii="Times New Roman" w:hAnsi="Times New Roman" w:cs="Times New Roman"/>
      <w:b/>
      <w:bCs/>
      <w:color w:val="000000"/>
      <w:sz w:val="16"/>
      <w:szCs w:val="16"/>
      <w:u w:val="none"/>
      <w:vertAlign w:val="superscript"/>
    </w:rPr>
  </w:style>
  <w:style w:type="character" w:customStyle="1" w:styleId="42">
    <w:name w:val="font41"/>
    <w:basedOn w:val="22"/>
    <w:qFormat/>
    <w:uiPriority w:val="0"/>
    <w:rPr>
      <w:rFonts w:hint="eastAsia" w:ascii="宋体" w:hAnsi="宋体" w:eastAsia="宋体" w:cs="宋体"/>
      <w:b/>
      <w:bCs/>
      <w:color w:val="000000"/>
      <w:sz w:val="16"/>
      <w:szCs w:val="16"/>
      <w:u w:val="none"/>
    </w:rPr>
  </w:style>
  <w:style w:type="paragraph" w:customStyle="1" w:styleId="43">
    <w:name w:val="表格（1名称）"/>
    <w:basedOn w:val="1"/>
    <w:qFormat/>
    <w:uiPriority w:val="0"/>
    <w:pPr>
      <w:adjustRightInd w:val="0"/>
      <w:snapToGrid w:val="0"/>
      <w:spacing w:before="157" w:beforeLines="50" w:line="240" w:lineRule="atLeast"/>
      <w:ind w:firstLine="0" w:firstLineChars="0"/>
      <w:jc w:val="center"/>
    </w:pPr>
    <w:rPr>
      <w:rFonts w:ascii="宋体" w:hAnsi="宋体" w:eastAsia="宋体" w:cs="宋体"/>
      <w:b/>
      <w:bCs/>
      <w:sz w:val="24"/>
      <w:szCs w:val="22"/>
    </w:rPr>
  </w:style>
  <w:style w:type="paragraph" w:customStyle="1" w:styleId="44">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86</Pages>
  <Words>16724</Words>
  <Characters>18416</Characters>
  <TotalTime>42</TotalTime>
  <ScaleCrop>false</ScaleCrop>
  <LinksUpToDate>false</LinksUpToDate>
  <CharactersWithSpaces>18670</CharactersWithSpaces>
  <Application>WPS Office_11.1.0.14235_F1E327BC-269C-435d-A152-05C5408002CA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2025-01-11T00:21:00Z</dcterms:created>
  <dc:creator>LEGION</dc:creator>
  <cp:lastModifiedBy>郑若愚</cp:lastModifiedBy>
  <dcterms:modified xsi:type="dcterms:W3CDTF">2025-10-30T02:54:12Z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2025-03-17T09:57:38Z</vt:filetime>
  </property>
  <property fmtid="{D5CDD505-2E9C-101B-9397-08002B2CF9AE}" pid="4" name="KSOTemplateDocerSaveRecord">
    <vt:lpwstr>eyJoZGlkIjoiZGIwMTVjOWZlZGQxOGJhOThmMzAxMjJkOGVkNzNjODciLCJ1c2VySWQiOiIyODEyMjkwNDUifQ==</vt:lpwstr>
  </property>
  <property fmtid="{D5CDD505-2E9C-101B-9397-08002B2CF9AE}" pid="5" name="KSOProductBuildVer">
    <vt:lpwstr>2052-11.1.0.14235</vt:lpwstr>
  </property>
  <property fmtid="{D5CDD505-2E9C-101B-9397-08002B2CF9AE}" pid="6" name="ICV">
    <vt:lpwstr>C7F3EFE0336242EC89E4F39AFF9E9D7E_12</vt:lpwstr>
  </property>
</Properties>
</file>