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_GBK" w:hAnsi="方正小标宋_GBK" w:eastAsia="方正小标宋_GBK" w:cs="方正小标宋_GBK"/>
          <w:b w:val="0"/>
          <w:bCs/>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2021年</w:t>
      </w:r>
      <w:r>
        <w:rPr>
          <w:rFonts w:hint="eastAsia" w:ascii="方正小标宋_GBK" w:hAnsi="方正小标宋_GBK" w:eastAsia="方正小标宋_GBK" w:cs="方正小标宋_GBK"/>
          <w:b w:val="0"/>
          <w:bCs/>
          <w:color w:val="auto"/>
          <w:sz w:val="44"/>
          <w:szCs w:val="44"/>
          <w:lang w:val="en-US" w:eastAsia="zh-CN"/>
        </w:rPr>
        <w:t>师宗县本级一般公共预算、政府性基金预算和国有资本经营预算执行变动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b/>
          <w:color w:val="auto"/>
          <w:sz w:val="44"/>
          <w:szCs w:val="44"/>
          <w:lang w:val="en-US" w:eastAsia="zh-CN"/>
        </w:rPr>
      </w:pPr>
      <w:r>
        <w:rPr>
          <w:rFonts w:hint="eastAsia" w:ascii="方正小标宋_GBK" w:hAnsi="方正小标宋_GBK" w:eastAsia="方正小标宋_GBK" w:cs="方正小标宋_GBK"/>
          <w:b w:val="0"/>
          <w:bCs/>
          <w:color w:val="auto"/>
          <w:sz w:val="44"/>
          <w:szCs w:val="44"/>
          <w:lang w:val="en-US" w:eastAsia="zh-CN"/>
        </w:rPr>
        <w:t>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val="0"/>
          <w:bCs/>
          <w:color w:val="auto"/>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一、</w:t>
      </w:r>
      <w:r>
        <w:rPr>
          <w:rFonts w:hint="eastAsia" w:ascii="方正黑体_GBK" w:hAnsi="方正黑体_GBK" w:eastAsia="方正黑体_GBK" w:cs="方正黑体_GBK"/>
          <w:b w:val="0"/>
          <w:bCs/>
          <w:color w:val="auto"/>
          <w:sz w:val="32"/>
          <w:szCs w:val="32"/>
          <w:lang w:eastAsia="zh-CN"/>
        </w:rPr>
        <w:t>2021年</w:t>
      </w:r>
      <w:r>
        <w:rPr>
          <w:rFonts w:hint="eastAsia" w:ascii="方正黑体_GBK" w:hAnsi="方正黑体_GBK" w:eastAsia="方正黑体_GBK" w:cs="方正黑体_GBK"/>
          <w:b w:val="0"/>
          <w:bCs/>
          <w:color w:val="auto"/>
          <w:sz w:val="32"/>
          <w:szCs w:val="32"/>
        </w:rPr>
        <w:t>县本级一般公共预算支出变动说明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lang w:eastAsia="zh-CN"/>
        </w:rPr>
        <w:t>（一）</w:t>
      </w:r>
      <w:r>
        <w:rPr>
          <w:rFonts w:hint="eastAsia" w:ascii="方正楷体_GBK" w:hAnsi="方正楷体_GBK" w:eastAsia="方正楷体_GBK" w:cs="方正楷体_GBK"/>
          <w:color w:val="auto"/>
          <w:sz w:val="32"/>
          <w:szCs w:val="32"/>
        </w:rPr>
        <w:t>一般公共服务类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1.统计信息事务款比2020年决算数下降43.01%，主要原因是</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2020年安排师宗县第七次全国人口普查经费及普查“两员”补助资金</w:t>
      </w:r>
      <w:r>
        <w:rPr>
          <w:rFonts w:hint="eastAsia" w:ascii="方正仿宋_GBK" w:hAnsi="方正仿宋_GBK" w:eastAsia="方正仿宋_GBK" w:cs="方正仿宋_GBK"/>
          <w:color w:val="auto"/>
          <w:sz w:val="32"/>
          <w:szCs w:val="32"/>
          <w:lang w:val="en-US" w:eastAsia="zh-CN"/>
        </w:rPr>
        <w:t>391.07</w:t>
      </w:r>
      <w:r>
        <w:rPr>
          <w:rFonts w:hint="eastAsia" w:ascii="方正仿宋_GBK" w:hAnsi="方正仿宋_GBK" w:eastAsia="方正仿宋_GBK" w:cs="方正仿宋_GBK"/>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2.税收事务款比2020年决算数增长540.00%，主要原因是：202</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年安排征税工作经费支出</w:t>
      </w:r>
      <w:r>
        <w:rPr>
          <w:rFonts w:hint="eastAsia" w:ascii="方正仿宋_GBK" w:hAnsi="方正仿宋_GBK" w:eastAsia="方正仿宋_GBK" w:cs="方正仿宋_GBK"/>
          <w:color w:val="auto"/>
          <w:sz w:val="32"/>
          <w:szCs w:val="32"/>
          <w:lang w:eastAsia="zh-CN"/>
        </w:rPr>
        <w:t>增加</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3.纪检监察事务款比2020年决算数增长33.74%，主要原因是：2021年安排县委巡察办工作经费</w:t>
      </w:r>
      <w:r>
        <w:rPr>
          <w:rFonts w:hint="eastAsia" w:ascii="方正仿宋_GBK" w:hAnsi="方正仿宋_GBK" w:eastAsia="方正仿宋_GBK" w:cs="方正仿宋_GBK"/>
          <w:color w:val="auto"/>
          <w:sz w:val="32"/>
          <w:szCs w:val="32"/>
          <w:lang w:eastAsia="zh-CN"/>
        </w:rPr>
        <w:t>、案件查办及留置工作</w:t>
      </w:r>
      <w:r>
        <w:rPr>
          <w:rFonts w:hint="eastAsia" w:ascii="方正仿宋_GBK" w:hAnsi="方正仿宋_GBK" w:eastAsia="方正仿宋_GBK" w:cs="方正仿宋_GBK"/>
          <w:color w:val="auto"/>
          <w:sz w:val="32"/>
          <w:szCs w:val="32"/>
        </w:rPr>
        <w:t>经费支出增加。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4.民族事务款比2020年决算数下降39.11%，主要原因是：</w:t>
      </w:r>
      <w:r>
        <w:rPr>
          <w:rFonts w:hint="eastAsia" w:ascii="方正仿宋_GBK" w:hAnsi="方正仿宋_GBK" w:eastAsia="方正仿宋_GBK" w:cs="方正仿宋_GBK"/>
          <w:color w:val="auto"/>
          <w:sz w:val="32"/>
          <w:szCs w:val="32"/>
          <w:lang w:val="en-US" w:eastAsia="zh-CN"/>
        </w:rPr>
        <w:t>2021年安排</w:t>
      </w:r>
      <w:r>
        <w:rPr>
          <w:rFonts w:hint="eastAsia" w:ascii="方正仿宋_GBK" w:hAnsi="方正仿宋_GBK" w:eastAsia="方正仿宋_GBK" w:cs="方正仿宋_GBK"/>
          <w:color w:val="auto"/>
          <w:sz w:val="32"/>
          <w:szCs w:val="32"/>
        </w:rPr>
        <w:t>民族宗教</w:t>
      </w:r>
      <w:r>
        <w:rPr>
          <w:rFonts w:hint="eastAsia" w:ascii="方正仿宋_GBK" w:hAnsi="方正仿宋_GBK" w:eastAsia="方正仿宋_GBK" w:cs="方正仿宋_GBK"/>
          <w:color w:val="auto"/>
          <w:sz w:val="32"/>
          <w:szCs w:val="32"/>
          <w:lang w:eastAsia="zh-CN"/>
        </w:rPr>
        <w:t>事务工作经费支出减少。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5.统战事务款比2020年决算数增长108.89%，主要原因是：</w:t>
      </w:r>
      <w:r>
        <w:rPr>
          <w:rFonts w:hint="eastAsia" w:ascii="方正仿宋_GBK" w:hAnsi="方正仿宋_GBK" w:eastAsia="方正仿宋_GBK" w:cs="方正仿宋_GBK"/>
          <w:color w:val="auto"/>
          <w:sz w:val="32"/>
          <w:szCs w:val="32"/>
          <w:lang w:val="en-US" w:eastAsia="zh-CN"/>
        </w:rPr>
        <w:t>2021年安排宗教工作经费、宗教场所改造专项资金支出188.18万元。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6.其他共产党事务支出(款)款比2020年决算数增长280.00%，主要原因是：</w:t>
      </w:r>
      <w:r>
        <w:rPr>
          <w:rFonts w:hint="eastAsia" w:ascii="方正仿宋_GBK" w:hAnsi="方正仿宋_GBK" w:eastAsia="方正仿宋_GBK" w:cs="方正仿宋_GBK"/>
          <w:color w:val="auto"/>
          <w:sz w:val="32"/>
          <w:szCs w:val="32"/>
          <w:lang w:val="en-US" w:eastAsia="zh-CN"/>
        </w:rPr>
        <w:t>2021年增加安排</w:t>
      </w:r>
      <w:r>
        <w:rPr>
          <w:rFonts w:hint="eastAsia" w:ascii="方正仿宋_GBK" w:hAnsi="方正仿宋_GBK" w:eastAsia="方正仿宋_GBK" w:cs="方正仿宋_GBK"/>
          <w:color w:val="auto"/>
          <w:sz w:val="32"/>
          <w:szCs w:val="32"/>
        </w:rPr>
        <w:t>综治维稳工作补助（市域社会治理）的补助资金</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7.其他一般公共服务支出(款)款比2020年决算数下降84.57%，主要原因是：本年年初预算较上年减少。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（二）公共安全支出类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8.检察款比2020年决算数增长100%，主要原因是：</w:t>
      </w:r>
      <w:r>
        <w:rPr>
          <w:rFonts w:hint="eastAsia" w:ascii="方正仿宋_GBK" w:hAnsi="方正仿宋_GBK" w:eastAsia="方正仿宋_GBK" w:cs="方正仿宋_GBK"/>
          <w:color w:val="auto"/>
          <w:sz w:val="32"/>
          <w:szCs w:val="32"/>
          <w:lang w:val="en-US" w:eastAsia="zh-CN"/>
        </w:rPr>
        <w:t>2021年</w:t>
      </w:r>
      <w:r>
        <w:rPr>
          <w:rFonts w:hint="eastAsia" w:ascii="方正仿宋_GBK" w:hAnsi="方正仿宋_GBK" w:eastAsia="方正仿宋_GBK" w:cs="方正仿宋_GBK"/>
          <w:color w:val="auto"/>
          <w:sz w:val="32"/>
          <w:szCs w:val="32"/>
          <w:lang w:eastAsia="zh-CN"/>
        </w:rPr>
        <w:t>增加安排县人民检察院办案工作经费</w:t>
      </w:r>
      <w:r>
        <w:rPr>
          <w:rFonts w:hint="eastAsia" w:ascii="方正仿宋_GBK" w:hAnsi="方正仿宋_GBK" w:eastAsia="方正仿宋_GBK" w:cs="方正仿宋_GBK"/>
          <w:color w:val="auto"/>
          <w:sz w:val="32"/>
          <w:szCs w:val="32"/>
          <w:lang w:val="en-US" w:eastAsia="zh-CN"/>
        </w:rPr>
        <w:t>100万元</w:t>
      </w:r>
      <w:r>
        <w:rPr>
          <w:rFonts w:hint="eastAsia" w:ascii="方正仿宋_GBK" w:hAnsi="方正仿宋_GBK" w:eastAsia="方正仿宋_GBK" w:cs="方正仿宋_GBK"/>
          <w:color w:val="auto"/>
          <w:sz w:val="32"/>
          <w:szCs w:val="32"/>
          <w:lang w:eastAsia="zh-CN"/>
        </w:rPr>
        <w:t>、“两房”建设</w:t>
      </w:r>
      <w:r>
        <w:rPr>
          <w:rFonts w:hint="eastAsia" w:ascii="方正仿宋_GBK" w:hAnsi="方正仿宋_GBK" w:eastAsia="方正仿宋_GBK" w:cs="方正仿宋_GBK"/>
          <w:color w:val="auto"/>
          <w:sz w:val="32"/>
          <w:szCs w:val="32"/>
          <w:lang w:val="en-US" w:eastAsia="zh-CN"/>
        </w:rPr>
        <w:t>100万元，</w:t>
      </w:r>
      <w:r>
        <w:rPr>
          <w:rFonts w:hint="eastAsia" w:ascii="方正仿宋_GBK" w:hAnsi="方正仿宋_GBK" w:eastAsia="方正仿宋_GBK" w:cs="方正仿宋_GBK"/>
          <w:color w:val="auto"/>
          <w:sz w:val="32"/>
          <w:szCs w:val="32"/>
          <w:lang w:eastAsia="zh-CN"/>
        </w:rPr>
        <w:t>司法救助资金</w:t>
      </w:r>
      <w:r>
        <w:rPr>
          <w:rFonts w:hint="eastAsia" w:ascii="方正仿宋_GBK" w:hAnsi="方正仿宋_GBK" w:eastAsia="方正仿宋_GBK" w:cs="方正仿宋_GBK"/>
          <w:color w:val="auto"/>
          <w:sz w:val="32"/>
          <w:szCs w:val="32"/>
          <w:lang w:val="en-US" w:eastAsia="zh-CN"/>
        </w:rPr>
        <w:t>5万元</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9.法院款比2020年决算数增长100%，主要原因是：</w:t>
      </w:r>
      <w:r>
        <w:rPr>
          <w:rFonts w:hint="eastAsia" w:ascii="方正仿宋_GBK" w:hAnsi="方正仿宋_GBK" w:eastAsia="方正仿宋_GBK" w:cs="方正仿宋_GBK"/>
          <w:color w:val="auto"/>
          <w:sz w:val="32"/>
          <w:szCs w:val="32"/>
          <w:lang w:val="en-US" w:eastAsia="zh-CN"/>
        </w:rPr>
        <w:t>2021年安排县人民法院</w:t>
      </w:r>
      <w:r>
        <w:rPr>
          <w:rFonts w:hint="eastAsia" w:ascii="方正仿宋_GBK" w:hAnsi="方正仿宋_GBK" w:eastAsia="方正仿宋_GBK" w:cs="方正仿宋_GBK"/>
          <w:color w:val="auto"/>
          <w:sz w:val="32"/>
          <w:szCs w:val="32"/>
          <w:lang w:eastAsia="zh-CN"/>
        </w:rPr>
        <w:t>“两庭”建设经费支出</w:t>
      </w:r>
      <w:r>
        <w:rPr>
          <w:rFonts w:hint="eastAsia" w:ascii="方正仿宋_GBK" w:hAnsi="方正仿宋_GBK" w:eastAsia="方正仿宋_GBK" w:cs="方正仿宋_GBK"/>
          <w:color w:val="auto"/>
          <w:sz w:val="32"/>
          <w:szCs w:val="32"/>
          <w:lang w:val="en-US" w:eastAsia="zh-CN"/>
        </w:rPr>
        <w:t>100万元</w:t>
      </w:r>
      <w:r>
        <w:rPr>
          <w:rFonts w:hint="eastAsia" w:ascii="方正仿宋_GBK" w:hAnsi="方正仿宋_GBK" w:eastAsia="方正仿宋_GBK" w:cs="方正仿宋_GBK"/>
          <w:color w:val="auto"/>
          <w:sz w:val="32"/>
          <w:szCs w:val="32"/>
          <w:lang w:eastAsia="zh-CN"/>
        </w:rPr>
        <w:t>、中央政法转移支付司法救助资金经费</w:t>
      </w:r>
      <w:r>
        <w:rPr>
          <w:rFonts w:hint="eastAsia" w:ascii="方正仿宋_GBK" w:hAnsi="方正仿宋_GBK" w:eastAsia="方正仿宋_GBK" w:cs="方正仿宋_GBK"/>
          <w:color w:val="auto"/>
          <w:sz w:val="32"/>
          <w:szCs w:val="32"/>
          <w:lang w:val="en-US" w:eastAsia="zh-CN"/>
        </w:rPr>
        <w:t>20万元</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10.其他公共安全支出(款)款比2020年决算数增长352.78%，主要原因是：本年上级补助其他公共安全支出专款增加。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（三）教育支出类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11.教育费附加安排的支出款比2020年决算数下降71.24%，主要原因是：</w:t>
      </w:r>
      <w:r>
        <w:rPr>
          <w:rFonts w:hint="eastAsia" w:ascii="方正仿宋_GBK" w:hAnsi="方正仿宋_GBK" w:eastAsia="方正仿宋_GBK" w:cs="方正仿宋_GBK"/>
          <w:color w:val="auto"/>
          <w:sz w:val="32"/>
          <w:szCs w:val="32"/>
          <w:lang w:val="en-US" w:eastAsia="zh-CN"/>
        </w:rPr>
        <w:t>2021</w:t>
      </w:r>
      <w:r>
        <w:rPr>
          <w:rFonts w:hint="eastAsia" w:ascii="方正仿宋_GBK" w:hAnsi="方正仿宋_GBK" w:eastAsia="方正仿宋_GBK" w:cs="方正仿宋_GBK"/>
          <w:color w:val="auto"/>
          <w:sz w:val="32"/>
          <w:szCs w:val="32"/>
          <w:lang w:eastAsia="zh-CN"/>
        </w:rPr>
        <w:t>年上级补助专款较上年减少。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（四）科学技术支出类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12.技术研究与开发款比2020年决算数增长41.61%，主要原因是：</w:t>
      </w:r>
      <w:r>
        <w:rPr>
          <w:rFonts w:hint="eastAsia" w:ascii="方正仿宋_GBK" w:hAnsi="方正仿宋_GBK" w:eastAsia="方正仿宋_GBK" w:cs="方正仿宋_GBK"/>
          <w:color w:val="auto"/>
          <w:sz w:val="32"/>
          <w:szCs w:val="32"/>
        </w:rPr>
        <w:t>贯彻落实《云南省人民政府办公厅关于财政支持和促进科技成果转化的实施意见》，增加科技成果转化补助资金。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13.科技条件与服务款比2020年决算数下降100%，主要原因是：本年上级补助科技条件与服务专款较上年减少。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（五）文化体育与传媒支出类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14.体育款比2020年决算数增长153.60%，主要原因是：2021年新增足球场建设项目资金支出190万元。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15.其他文化旅游体育与传媒支出(款)款比2020年决算数增长164.91%，主要原因是：</w:t>
      </w:r>
      <w:r>
        <w:rPr>
          <w:rFonts w:hint="eastAsia" w:ascii="方正仿宋_GBK" w:hAnsi="方正仿宋_GBK" w:eastAsia="方正仿宋_GBK" w:cs="方正仿宋_GBK"/>
          <w:color w:val="auto"/>
          <w:sz w:val="32"/>
          <w:szCs w:val="32"/>
          <w:lang w:eastAsia="zh-CN"/>
        </w:rPr>
        <w:t>2021年</w:t>
      </w:r>
      <w:r>
        <w:rPr>
          <w:rFonts w:hint="eastAsia" w:ascii="方正仿宋_GBK" w:hAnsi="方正仿宋_GBK" w:eastAsia="方正仿宋_GBK" w:cs="方正仿宋_GBK"/>
          <w:color w:val="auto"/>
          <w:sz w:val="32"/>
          <w:szCs w:val="32"/>
        </w:rPr>
        <w:t>中央补助地方公共文化服务体系</w:t>
      </w:r>
      <w:r>
        <w:rPr>
          <w:rFonts w:hint="eastAsia" w:ascii="方正仿宋_GBK" w:hAnsi="方正仿宋_GBK" w:eastAsia="方正仿宋_GBK" w:cs="方正仿宋_GBK"/>
          <w:color w:val="auto"/>
          <w:sz w:val="32"/>
          <w:szCs w:val="32"/>
          <w:lang w:eastAsia="zh-CN"/>
        </w:rPr>
        <w:t>建设</w:t>
      </w:r>
      <w:r>
        <w:rPr>
          <w:rFonts w:hint="eastAsia" w:ascii="方正仿宋_GBK" w:hAnsi="方正仿宋_GBK" w:eastAsia="方正仿宋_GBK" w:cs="方正仿宋_GBK"/>
          <w:color w:val="auto"/>
          <w:sz w:val="32"/>
          <w:szCs w:val="32"/>
        </w:rPr>
        <w:t>专项资金</w:t>
      </w:r>
      <w:r>
        <w:rPr>
          <w:rFonts w:hint="eastAsia" w:ascii="方正仿宋_GBK" w:hAnsi="方正仿宋_GBK" w:eastAsia="方正仿宋_GBK" w:cs="方正仿宋_GBK"/>
          <w:color w:val="auto"/>
          <w:sz w:val="32"/>
          <w:szCs w:val="32"/>
          <w:lang w:eastAsia="zh-CN"/>
        </w:rPr>
        <w:t>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（六）社会保障和就业支出类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16.行政事业单位养老支出款比2020年决算数增长32.90%，主要原因是：县本级机关事业单位养老保险财政补助资金较上年增加。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17.就业补助款比2020年决算数增长34.57%，主要原因是：“六稳六保”政策支持，上级增加就业补助力度。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18.退役安置款比2020年决算数增长60.73%，主要原因是：2021年上级补助退役安置专款增加。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19.社会福利款比2020年决算数下降61.93%，主要原因是：2021年殡葬改革相关工作经费支出减少。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20.财政对基本养老保险基金的补助款比2020年决算数下降53.55%，主要原因是：本年上级补助专款较上年减少。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val="en-US" w:eastAsia="zh-CN"/>
        </w:rPr>
        <w:t>（七）</w:t>
      </w:r>
      <w:r>
        <w:rPr>
          <w:rFonts w:hint="eastAsia" w:ascii="方正楷体_GBK" w:hAnsi="方正楷体_GBK" w:eastAsia="方正楷体_GBK" w:cs="方正楷体_GBK"/>
          <w:color w:val="auto"/>
          <w:sz w:val="32"/>
          <w:szCs w:val="32"/>
          <w:lang w:eastAsia="zh-CN"/>
        </w:rPr>
        <w:t>卫生健康支出类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21.计划生育事务款比2020年决算数下降53.66%，主要原因是：</w:t>
      </w:r>
      <w:r>
        <w:rPr>
          <w:rFonts w:hint="eastAsia" w:ascii="方正仿宋_GBK" w:hAnsi="方正仿宋_GBK" w:eastAsia="方正仿宋_GBK" w:cs="方正仿宋_GBK"/>
          <w:color w:val="auto"/>
          <w:sz w:val="32"/>
          <w:szCs w:val="32"/>
          <w:lang w:val="en-US" w:eastAsia="zh-CN"/>
        </w:rPr>
        <w:t>2021年上级补助</w:t>
      </w:r>
      <w:r>
        <w:rPr>
          <w:rFonts w:hint="eastAsia" w:ascii="方正仿宋_GBK" w:hAnsi="方正仿宋_GBK" w:eastAsia="方正仿宋_GBK" w:cs="方正仿宋_GBK"/>
          <w:color w:val="auto"/>
          <w:sz w:val="32"/>
          <w:szCs w:val="32"/>
        </w:rPr>
        <w:t>计划生育事务</w:t>
      </w:r>
      <w:r>
        <w:rPr>
          <w:rFonts w:hint="eastAsia" w:ascii="方正仿宋_GBK" w:hAnsi="方正仿宋_GBK" w:eastAsia="方正仿宋_GBK" w:cs="方正仿宋_GBK"/>
          <w:color w:val="auto"/>
          <w:sz w:val="32"/>
          <w:szCs w:val="32"/>
          <w:lang w:val="en-US" w:eastAsia="zh-CN"/>
        </w:rPr>
        <w:t>专款较上年减少。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22.行政事业单位医疗款比2020年决算数下降67.94%，主要原因是：受财力及资金调度影响，年初预算存在资金缺口。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23.财政对基本医疗保险基金的补助款比2020年决算数增长75.27%，主要原因是：</w:t>
      </w:r>
      <w:r>
        <w:rPr>
          <w:rFonts w:hint="eastAsia" w:ascii="方正仿宋_GBK" w:hAnsi="方正仿宋_GBK" w:eastAsia="方正仿宋_GBK" w:cs="方正仿宋_GBK"/>
          <w:color w:val="auto"/>
          <w:sz w:val="32"/>
          <w:szCs w:val="32"/>
          <w:lang w:eastAsia="zh-CN"/>
        </w:rPr>
        <w:t>一是</w:t>
      </w:r>
      <w:r>
        <w:rPr>
          <w:rFonts w:hint="eastAsia" w:ascii="方正仿宋_GBK" w:hAnsi="方正仿宋_GBK" w:eastAsia="方正仿宋_GBK" w:cs="方正仿宋_GBK"/>
          <w:color w:val="auto"/>
          <w:sz w:val="32"/>
          <w:szCs w:val="32"/>
        </w:rPr>
        <w:t>本年上级补助专款增加</w:t>
      </w:r>
      <w:r>
        <w:rPr>
          <w:rFonts w:hint="eastAsia" w:ascii="方正仿宋_GBK" w:hAnsi="方正仿宋_GBK" w:eastAsia="方正仿宋_GBK" w:cs="方正仿宋_GBK"/>
          <w:color w:val="auto"/>
          <w:sz w:val="32"/>
          <w:szCs w:val="32"/>
          <w:lang w:eastAsia="zh-CN"/>
        </w:rPr>
        <w:t>；二是</w:t>
      </w:r>
      <w:r>
        <w:rPr>
          <w:rFonts w:hint="eastAsia" w:ascii="方正仿宋_GBK" w:hAnsi="方正仿宋_GBK" w:eastAsia="方正仿宋_GBK" w:cs="方正仿宋_GBK"/>
          <w:color w:val="auto"/>
          <w:sz w:val="32"/>
          <w:szCs w:val="32"/>
        </w:rPr>
        <w:t>根据医保基金负担新冠病毒疫苗及接种费用财政补助政策，增加安排新冠病毒疫苗及接种费用</w:t>
      </w:r>
      <w:r>
        <w:rPr>
          <w:rFonts w:hint="eastAsia" w:ascii="方正仿宋_GBK" w:hAnsi="方正仿宋_GBK" w:eastAsia="方正仿宋_GBK" w:cs="方正仿宋_GBK"/>
          <w:color w:val="auto"/>
          <w:sz w:val="32"/>
          <w:szCs w:val="32"/>
          <w:lang w:eastAsia="zh-CN"/>
        </w:rPr>
        <w:t>县级</w:t>
      </w:r>
      <w:r>
        <w:rPr>
          <w:rFonts w:hint="eastAsia" w:ascii="方正仿宋_GBK" w:hAnsi="方正仿宋_GBK" w:eastAsia="方正仿宋_GBK" w:cs="方正仿宋_GBK"/>
          <w:color w:val="auto"/>
          <w:sz w:val="32"/>
          <w:szCs w:val="32"/>
        </w:rPr>
        <w:t>财政补助资金。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24.医疗救助款比2020年决算数增长103.02%，主要原因是：</w:t>
      </w:r>
      <w:r>
        <w:rPr>
          <w:rFonts w:hint="eastAsia" w:ascii="方正仿宋_GBK" w:hAnsi="方正仿宋_GBK" w:eastAsia="方正仿宋_GBK" w:cs="方正仿宋_GBK"/>
          <w:color w:val="auto"/>
          <w:sz w:val="32"/>
          <w:szCs w:val="32"/>
          <w:lang w:val="en-US" w:eastAsia="zh-CN"/>
        </w:rPr>
        <w:t>2021</w:t>
      </w:r>
      <w:r>
        <w:rPr>
          <w:rFonts w:hint="eastAsia" w:ascii="方正仿宋_GBK" w:hAnsi="方正仿宋_GBK" w:eastAsia="方正仿宋_GBK" w:cs="方正仿宋_GBK"/>
          <w:color w:val="auto"/>
          <w:sz w:val="32"/>
          <w:szCs w:val="32"/>
        </w:rPr>
        <w:t>年上级补助专款</w:t>
      </w:r>
      <w:r>
        <w:rPr>
          <w:rFonts w:hint="eastAsia" w:ascii="方正仿宋_GBK" w:hAnsi="方正仿宋_GBK" w:eastAsia="方正仿宋_GBK" w:cs="方正仿宋_GBK"/>
          <w:color w:val="auto"/>
          <w:sz w:val="32"/>
          <w:szCs w:val="32"/>
          <w:lang w:eastAsia="zh-CN"/>
        </w:rPr>
        <w:t>较上年</w:t>
      </w:r>
      <w:r>
        <w:rPr>
          <w:rFonts w:hint="eastAsia" w:ascii="方正仿宋_GBK" w:hAnsi="方正仿宋_GBK" w:eastAsia="方正仿宋_GBK" w:cs="方正仿宋_GBK"/>
          <w:color w:val="auto"/>
          <w:sz w:val="32"/>
          <w:szCs w:val="32"/>
        </w:rPr>
        <w:t>增加</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25.优抚对象医疗款比2020年决算数增长83.33%，主要原因是：</w:t>
      </w:r>
      <w:r>
        <w:rPr>
          <w:rFonts w:hint="eastAsia" w:ascii="方正仿宋_GBK" w:hAnsi="方正仿宋_GBK" w:eastAsia="方正仿宋_GBK" w:cs="方正仿宋_GBK"/>
          <w:color w:val="auto"/>
          <w:sz w:val="32"/>
          <w:szCs w:val="32"/>
          <w:lang w:val="en-US" w:eastAsia="zh-CN"/>
        </w:rPr>
        <w:t>2021</w:t>
      </w:r>
      <w:r>
        <w:rPr>
          <w:rFonts w:hint="eastAsia" w:ascii="方正仿宋_GBK" w:hAnsi="方正仿宋_GBK" w:eastAsia="方正仿宋_GBK" w:cs="方正仿宋_GBK"/>
          <w:color w:val="auto"/>
          <w:sz w:val="32"/>
          <w:szCs w:val="32"/>
        </w:rPr>
        <w:t>年上级补助优抚对象医疗专款增加</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26.其他卫生健康支出(款)款比2020年决算数增长100%，主要原因是：</w:t>
      </w:r>
      <w:r>
        <w:rPr>
          <w:rFonts w:hint="eastAsia" w:ascii="方正仿宋_GBK" w:hAnsi="方正仿宋_GBK" w:eastAsia="方正仿宋_GBK" w:cs="方正仿宋_GBK"/>
          <w:color w:val="auto"/>
          <w:sz w:val="32"/>
          <w:szCs w:val="32"/>
          <w:lang w:val="en-US" w:eastAsia="zh-CN"/>
        </w:rPr>
        <w:t>2021年安排拨付上年</w:t>
      </w:r>
      <w:r>
        <w:rPr>
          <w:rFonts w:hint="eastAsia" w:ascii="方正仿宋_GBK" w:hAnsi="方正仿宋_GBK" w:eastAsia="方正仿宋_GBK" w:cs="方正仿宋_GBK"/>
          <w:color w:val="auto"/>
          <w:sz w:val="32"/>
          <w:szCs w:val="32"/>
        </w:rPr>
        <w:t>医疗服务与保障能力提升中央财政补助资金</w:t>
      </w:r>
      <w:r>
        <w:rPr>
          <w:rFonts w:hint="eastAsia" w:ascii="方正仿宋_GBK" w:hAnsi="方正仿宋_GBK" w:eastAsia="方正仿宋_GBK" w:cs="方正仿宋_GBK"/>
          <w:color w:val="auto"/>
          <w:sz w:val="32"/>
          <w:szCs w:val="32"/>
          <w:lang w:val="en-US" w:eastAsia="zh-CN"/>
        </w:rPr>
        <w:t>35万元。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（八）节能环保支出类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27.环境保护管理事务款比2020年决算数下降90.99%，主要原因是：本年曲靖市生态环境局师宗分局年初预算较上年减少。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28.环境监测与监察款比2020年决算数增长546.15%，主要原因是：加大对环境监测监察投入力度，增加安排县域生态环境质量监测评价与考核监测经费。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29.自然生态保护款比2020年决算数增长283.09%，主要原因是：2021年安排中央财政林业草原生态保护恢复资金护林员补助资金支出较上年增加。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30.退耕还林还草款比2020年决算数增长294.37%，主要原因是：2021年新增安排林业草原生态保护恢复退耕还林专项资金支出。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31.风沙荒漠治理款比2020年决算数减少200万元，主要原因是：2021年上级补助风沙荒漠治理专款较上年减少。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32.能源节约利用(款)款比2020年决算数增加50万元，主要原因是：2021年新增安排节能减排补助资金50万元。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33.其他节能环保支出(款)款比2020年决算数减少213万元，主要原因是：2020年安排</w:t>
      </w:r>
      <w:r>
        <w:rPr>
          <w:rFonts w:hint="eastAsia" w:ascii="方正仿宋_GBK" w:hAnsi="方正仿宋_GBK" w:eastAsia="方正仿宋_GBK" w:cs="方正仿宋_GBK"/>
          <w:color w:val="auto"/>
          <w:sz w:val="32"/>
          <w:szCs w:val="32"/>
        </w:rPr>
        <w:t>省级煤炭行业化解过剩产能专项补助资金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野生动植物保护专项资金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2021年无此项支出。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（九）城乡社区支出类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34.城乡社区环境卫生(款)款比2020年决算数增长62.70%，主要原因是：</w:t>
      </w:r>
      <w:r>
        <w:rPr>
          <w:rFonts w:hint="eastAsia" w:ascii="方正仿宋_GBK" w:hAnsi="方正仿宋_GBK" w:eastAsia="方正仿宋_GBK" w:cs="方正仿宋_GBK"/>
          <w:color w:val="auto"/>
          <w:sz w:val="32"/>
          <w:szCs w:val="32"/>
          <w:lang w:val="en-US" w:eastAsia="zh-CN"/>
        </w:rPr>
        <w:t>2021</w:t>
      </w:r>
      <w:r>
        <w:rPr>
          <w:rFonts w:hint="eastAsia" w:ascii="方正仿宋_GBK" w:hAnsi="方正仿宋_GBK" w:eastAsia="方正仿宋_GBK" w:cs="方正仿宋_GBK"/>
          <w:color w:val="auto"/>
          <w:sz w:val="32"/>
          <w:szCs w:val="32"/>
          <w:lang w:eastAsia="zh-CN"/>
        </w:rPr>
        <w:t>年安排</w:t>
      </w:r>
      <w:r>
        <w:rPr>
          <w:rFonts w:hint="eastAsia" w:ascii="方正仿宋_GBK" w:hAnsi="方正仿宋_GBK" w:eastAsia="方正仿宋_GBK" w:cs="方正仿宋_GBK"/>
          <w:color w:val="auto"/>
          <w:sz w:val="32"/>
          <w:szCs w:val="32"/>
        </w:rPr>
        <w:t>城乡社区管理事务支出</w:t>
      </w:r>
      <w:r>
        <w:rPr>
          <w:rFonts w:hint="eastAsia" w:ascii="方正仿宋_GBK" w:hAnsi="方正仿宋_GBK" w:eastAsia="方正仿宋_GBK" w:cs="方正仿宋_GBK"/>
          <w:color w:val="auto"/>
          <w:sz w:val="32"/>
          <w:szCs w:val="32"/>
          <w:lang w:eastAsia="zh-CN"/>
        </w:rPr>
        <w:t>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（十）农林水支出类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35.农业农村款比2020年决算数增长31.24%，主要原因是：一是2021年上级补助农业农村专款增加；二是本年安排拨付上年专款资金。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36.林业和草原款比2020年决算数下降34.18%，主要原因是：县森林公安局划转至县公安局，支出转列“20402公安”相关科目。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37.水利款比2020年决算数增长52.26%，主要原因是：2021年</w:t>
      </w:r>
      <w:r>
        <w:rPr>
          <w:rFonts w:hint="eastAsia" w:ascii="方正仿宋_GBK" w:hAnsi="方正仿宋_GBK" w:eastAsia="方正仿宋_GBK" w:cs="方正仿宋_GBK"/>
          <w:color w:val="auto"/>
          <w:sz w:val="32"/>
          <w:szCs w:val="32"/>
          <w:lang w:eastAsia="zh-CN"/>
        </w:rPr>
        <w:t>安排水利项目</w:t>
      </w:r>
      <w:r>
        <w:rPr>
          <w:rFonts w:hint="eastAsia" w:ascii="方正仿宋_GBK" w:hAnsi="方正仿宋_GBK" w:eastAsia="方正仿宋_GBK" w:cs="方正仿宋_GBK"/>
          <w:color w:val="auto"/>
          <w:sz w:val="32"/>
          <w:szCs w:val="32"/>
        </w:rPr>
        <w:t>支出</w:t>
      </w:r>
      <w:r>
        <w:rPr>
          <w:rFonts w:hint="eastAsia" w:ascii="方正仿宋_GBK" w:hAnsi="方正仿宋_GBK" w:eastAsia="方正仿宋_GBK" w:cs="方正仿宋_GBK"/>
          <w:color w:val="auto"/>
          <w:sz w:val="32"/>
          <w:szCs w:val="32"/>
          <w:lang w:eastAsia="zh-CN"/>
        </w:rPr>
        <w:t>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38.农村综合改革款比2020年决算数下降33.93%，主要原因是：减少安排对村民委员会和村党支部的补助和对村级一事一议的补助经费。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39.其他农林水支出(款)款比2020年决算数增长105.30%，主要原因是：安排2018年重点区域生态保护与修复中央基建投资300万元。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（十一）交通运输支出类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40.公路水路运输款比2020年决算数增长66.35%，主要原因是：</w:t>
      </w:r>
      <w:r>
        <w:rPr>
          <w:rFonts w:hint="eastAsia" w:ascii="方正仿宋_GBK" w:hAnsi="方正仿宋_GBK" w:eastAsia="方正仿宋_GBK" w:cs="方正仿宋_GBK"/>
          <w:color w:val="auto"/>
          <w:sz w:val="32"/>
          <w:szCs w:val="32"/>
          <w:lang w:eastAsia="zh-CN"/>
        </w:rPr>
        <w:t>一是</w:t>
      </w:r>
      <w:r>
        <w:rPr>
          <w:rFonts w:hint="eastAsia" w:ascii="方正仿宋_GBK" w:hAnsi="方正仿宋_GBK" w:eastAsia="方正仿宋_GBK" w:cs="方正仿宋_GBK"/>
          <w:color w:val="auto"/>
          <w:sz w:val="32"/>
          <w:szCs w:val="32"/>
        </w:rPr>
        <w:t>增加凤凰大道及连接线改造工程建设、高良至布勒农村公路改造建设</w:t>
      </w:r>
      <w:r>
        <w:rPr>
          <w:rFonts w:hint="eastAsia" w:ascii="方正仿宋_GBK" w:hAnsi="方正仿宋_GBK" w:eastAsia="方正仿宋_GBK" w:cs="方正仿宋_GBK"/>
          <w:color w:val="auto"/>
          <w:sz w:val="32"/>
          <w:szCs w:val="32"/>
          <w:lang w:eastAsia="zh-CN"/>
        </w:rPr>
        <w:t>项目专项资金支出；</w:t>
      </w:r>
      <w:r>
        <w:rPr>
          <w:rFonts w:hint="eastAsia" w:ascii="方正仿宋_GBK" w:hAnsi="方正仿宋_GBK" w:eastAsia="方正仿宋_GBK" w:cs="方正仿宋_GBK"/>
          <w:color w:val="auto"/>
          <w:sz w:val="32"/>
          <w:szCs w:val="32"/>
          <w:lang w:val="en-US" w:eastAsia="zh-CN"/>
        </w:rPr>
        <w:t>二是本年安排拨付上年农村公路生命安全防护工程省级补助资金。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41.成品油价格改革对交通运输的补贴款比2020年决算数</w:t>
      </w:r>
      <w:r>
        <w:rPr>
          <w:rFonts w:hint="eastAsia" w:ascii="方正仿宋_GBK" w:hAnsi="方正仿宋_GBK" w:eastAsia="方正仿宋_GBK" w:cs="方正仿宋_GBK"/>
          <w:color w:val="auto"/>
          <w:sz w:val="32"/>
          <w:szCs w:val="32"/>
          <w:lang w:eastAsia="zh-CN"/>
        </w:rPr>
        <w:t>增加</w:t>
      </w:r>
      <w:r>
        <w:rPr>
          <w:rFonts w:hint="eastAsia" w:ascii="方正仿宋_GBK" w:hAnsi="方正仿宋_GBK" w:eastAsia="方正仿宋_GBK" w:cs="方正仿宋_GBK"/>
          <w:color w:val="auto"/>
          <w:sz w:val="32"/>
          <w:szCs w:val="32"/>
          <w:lang w:val="en-US" w:eastAsia="zh-CN"/>
        </w:rPr>
        <w:t>876万元</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2021年增加安排</w:t>
      </w:r>
      <w:r>
        <w:rPr>
          <w:rFonts w:hint="eastAsia" w:ascii="方正仿宋_GBK" w:hAnsi="方正仿宋_GBK" w:eastAsia="方正仿宋_GBK" w:cs="方正仿宋_GBK"/>
          <w:color w:val="auto"/>
          <w:sz w:val="32"/>
          <w:szCs w:val="32"/>
        </w:rPr>
        <w:t>成品油价格改革对交通运输的补贴</w:t>
      </w:r>
      <w:r>
        <w:rPr>
          <w:rFonts w:hint="eastAsia" w:ascii="方正仿宋_GBK" w:hAnsi="方正仿宋_GBK" w:eastAsia="方正仿宋_GBK" w:cs="方正仿宋_GBK"/>
          <w:color w:val="auto"/>
          <w:sz w:val="32"/>
          <w:szCs w:val="32"/>
          <w:lang w:eastAsia="zh-CN"/>
        </w:rPr>
        <w:t>支出</w:t>
      </w:r>
      <w:r>
        <w:rPr>
          <w:rFonts w:hint="eastAsia" w:ascii="方正仿宋_GBK" w:hAnsi="方正仿宋_GBK" w:eastAsia="方正仿宋_GBK" w:cs="方正仿宋_GBK"/>
          <w:color w:val="auto"/>
          <w:sz w:val="32"/>
          <w:szCs w:val="32"/>
          <w:lang w:val="en-US" w:eastAsia="zh-CN"/>
        </w:rPr>
        <w:t>876.32万元,2020年无此项支出。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（十二）资源勘探信息等支出类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42.工业和信息产业监管款比2020年决算数下降68.35%，主要原因是：</w:t>
      </w:r>
      <w:r>
        <w:rPr>
          <w:rFonts w:hint="eastAsia" w:ascii="方正仿宋_GBK" w:hAnsi="方正仿宋_GBK" w:eastAsia="方正仿宋_GBK" w:cs="方正仿宋_GBK"/>
          <w:color w:val="auto"/>
          <w:sz w:val="32"/>
          <w:szCs w:val="32"/>
          <w:lang w:val="en-US" w:eastAsia="zh-CN"/>
        </w:rPr>
        <w:t>2021年</w:t>
      </w:r>
      <w:r>
        <w:rPr>
          <w:rFonts w:hint="eastAsia" w:ascii="方正仿宋_GBK" w:hAnsi="方正仿宋_GBK" w:eastAsia="方正仿宋_GBK" w:cs="方正仿宋_GBK"/>
          <w:color w:val="auto"/>
          <w:sz w:val="32"/>
          <w:szCs w:val="32"/>
          <w:lang w:eastAsia="zh-CN"/>
        </w:rPr>
        <w:t>上级补助工业和信息化发展专款较上年减少。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43.支持中小企业发展和管理支出款比2020年决算数增加</w:t>
      </w:r>
      <w:r>
        <w:rPr>
          <w:rFonts w:hint="eastAsia" w:ascii="方正仿宋_GBK" w:hAnsi="方正仿宋_GBK" w:eastAsia="方正仿宋_GBK" w:cs="方正仿宋_GBK"/>
          <w:color w:val="auto"/>
          <w:sz w:val="32"/>
          <w:szCs w:val="32"/>
          <w:lang w:val="en-US" w:eastAsia="zh-CN"/>
        </w:rPr>
        <w:t>3252万元</w:t>
      </w:r>
      <w:r>
        <w:rPr>
          <w:rFonts w:hint="eastAsia" w:ascii="方正仿宋_GBK" w:hAnsi="方正仿宋_GBK" w:eastAsia="方正仿宋_GBK" w:cs="方正仿宋_GBK"/>
          <w:color w:val="auto"/>
          <w:sz w:val="32"/>
          <w:szCs w:val="32"/>
          <w:lang w:eastAsia="zh-CN"/>
        </w:rPr>
        <w:t>，主要原因是：2021年安排师宗浩新投资有限公司废旧金属采购产业发展扶持补助资金3103.24万元、师宗县天源投资开发有限责任有限公司废旧金属采购扶持专项资金300万元。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（十三）商业服务业类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44.其他商业服务业等支出(款)款比2020年决算数下降71.21%，主要原因是：</w:t>
      </w:r>
      <w:r>
        <w:rPr>
          <w:rFonts w:hint="eastAsia" w:ascii="方正仿宋_GBK" w:hAnsi="方正仿宋_GBK" w:eastAsia="方正仿宋_GBK" w:cs="方正仿宋_GBK"/>
          <w:color w:val="auto"/>
          <w:sz w:val="32"/>
          <w:szCs w:val="32"/>
          <w:lang w:val="en-US" w:eastAsia="zh-CN"/>
        </w:rPr>
        <w:t>2021</w:t>
      </w:r>
      <w:r>
        <w:rPr>
          <w:rFonts w:hint="eastAsia" w:ascii="方正仿宋_GBK" w:hAnsi="方正仿宋_GBK" w:eastAsia="方正仿宋_GBK" w:cs="方正仿宋_GBK"/>
          <w:color w:val="auto"/>
          <w:sz w:val="32"/>
          <w:szCs w:val="32"/>
        </w:rPr>
        <w:t>年上级补助其他商业服务业等专款减少。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（十四）自然资源海洋气象等支出类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45.自然资源事务款比2020年决算数增长129.17%，主要原因是：</w:t>
      </w:r>
      <w:r>
        <w:rPr>
          <w:rFonts w:hint="eastAsia" w:ascii="方正仿宋_GBK" w:hAnsi="方正仿宋_GBK" w:eastAsia="方正仿宋_GBK" w:cs="方正仿宋_GBK"/>
          <w:color w:val="auto"/>
          <w:sz w:val="32"/>
          <w:szCs w:val="32"/>
          <w:lang w:val="en-US" w:eastAsia="zh-CN"/>
        </w:rPr>
        <w:t>2021年</w:t>
      </w:r>
      <w:r>
        <w:rPr>
          <w:rFonts w:hint="eastAsia" w:ascii="方正仿宋_GBK" w:hAnsi="方正仿宋_GBK" w:eastAsia="方正仿宋_GBK" w:cs="方正仿宋_GBK"/>
          <w:color w:val="auto"/>
          <w:sz w:val="32"/>
          <w:szCs w:val="32"/>
        </w:rPr>
        <w:t>自然资源规划及管理、自然资源利用与保护等事项支出增加。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46.其他自然资源海洋气象等支出(款)款比2020年决算数</w:t>
      </w:r>
      <w:r>
        <w:rPr>
          <w:rFonts w:hint="eastAsia" w:ascii="方正仿宋_GBK" w:hAnsi="方正仿宋_GBK" w:eastAsia="方正仿宋_GBK" w:cs="方正仿宋_GBK"/>
          <w:color w:val="auto"/>
          <w:sz w:val="32"/>
          <w:szCs w:val="32"/>
          <w:lang w:eastAsia="zh-CN"/>
        </w:rPr>
        <w:t>减少</w:t>
      </w:r>
      <w:r>
        <w:rPr>
          <w:rFonts w:hint="eastAsia" w:ascii="方正仿宋_GBK" w:hAnsi="方正仿宋_GBK" w:eastAsia="方正仿宋_GBK" w:cs="方正仿宋_GBK"/>
          <w:color w:val="auto"/>
          <w:sz w:val="32"/>
          <w:szCs w:val="32"/>
          <w:lang w:val="en-US" w:eastAsia="zh-CN"/>
        </w:rPr>
        <w:t>100万元</w:t>
      </w:r>
      <w:r>
        <w:rPr>
          <w:rFonts w:hint="eastAsia" w:ascii="方正仿宋_GBK" w:hAnsi="方正仿宋_GBK" w:eastAsia="方正仿宋_GBK" w:cs="方正仿宋_GBK"/>
          <w:color w:val="auto"/>
          <w:sz w:val="32"/>
          <w:szCs w:val="32"/>
        </w:rPr>
        <w:t>，主要原因是：</w:t>
      </w:r>
      <w:r>
        <w:rPr>
          <w:rFonts w:hint="eastAsia" w:ascii="方正仿宋_GBK" w:hAnsi="方正仿宋_GBK" w:eastAsia="方正仿宋_GBK" w:cs="方正仿宋_GBK"/>
          <w:color w:val="auto"/>
          <w:sz w:val="32"/>
          <w:szCs w:val="32"/>
          <w:lang w:val="en-US" w:eastAsia="zh-CN"/>
        </w:rPr>
        <w:t>2020年拨付</w:t>
      </w:r>
      <w:r>
        <w:rPr>
          <w:rFonts w:hint="eastAsia" w:ascii="方正仿宋_GBK" w:hAnsi="方正仿宋_GBK" w:eastAsia="方正仿宋_GBK" w:cs="方正仿宋_GBK"/>
          <w:color w:val="auto"/>
          <w:sz w:val="32"/>
          <w:szCs w:val="32"/>
        </w:rPr>
        <w:t>全省不动产登记存量数据整合工作省级补助经费</w:t>
      </w:r>
      <w:r>
        <w:rPr>
          <w:rFonts w:hint="eastAsia" w:ascii="方正仿宋_GBK" w:hAnsi="方正仿宋_GBK" w:eastAsia="方正仿宋_GBK" w:cs="方正仿宋_GBK"/>
          <w:color w:val="auto"/>
          <w:sz w:val="32"/>
          <w:szCs w:val="32"/>
          <w:lang w:val="en-US" w:eastAsia="zh-CN"/>
        </w:rPr>
        <w:t>100万元，2021年无此项支出。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（十五）住房保障支出类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47.保障性安居工程支出款比2020年决算数下降41.06%，主要原因是：2021年上级补助保障性安居工程</w:t>
      </w:r>
      <w:r>
        <w:rPr>
          <w:rFonts w:hint="eastAsia" w:ascii="方正仿宋_GBK" w:hAnsi="方正仿宋_GBK" w:eastAsia="方正仿宋_GBK" w:cs="方正仿宋_GBK"/>
          <w:color w:val="auto"/>
          <w:sz w:val="32"/>
          <w:szCs w:val="32"/>
          <w:lang w:eastAsia="zh-CN"/>
        </w:rPr>
        <w:t>支出</w:t>
      </w:r>
      <w:r>
        <w:rPr>
          <w:rFonts w:hint="eastAsia" w:ascii="方正仿宋_GBK" w:hAnsi="方正仿宋_GBK" w:eastAsia="方正仿宋_GBK" w:cs="方正仿宋_GBK"/>
          <w:color w:val="auto"/>
          <w:sz w:val="32"/>
          <w:szCs w:val="32"/>
        </w:rPr>
        <w:t>专款减少。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48.住房改革支出款比2020年决算数增长49.26%，主要原因是：</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级机关事业单位住房公积金支出增加。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（十六）粮油物资储备支出类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49. 粮油事务款比2020年决算数增长196.74%，主要原因是：</w:t>
      </w:r>
      <w:r>
        <w:rPr>
          <w:rFonts w:hint="eastAsia" w:ascii="方正仿宋_GBK" w:hAnsi="方正仿宋_GBK" w:eastAsia="方正仿宋_GBK" w:cs="方正仿宋_GBK"/>
          <w:color w:val="auto"/>
          <w:sz w:val="32"/>
          <w:szCs w:val="32"/>
          <w:lang w:eastAsia="zh-CN"/>
        </w:rPr>
        <w:t>一是2021年安排粮食风险基金专项资金720万元；二是拨付2020年优质粮食工程项目资金350万元。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（十七）灾害防治及应急管理支出类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50. 地震事务款比2020年决算数下降100%，主要原因是：2020年安排地震预测预报、地震灾害预防工作经费35万元，2021年无此项支出。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51. 自然灾害防治款比2020年决算数增长71.13%，主要原因是：上级加大对我县自然灾害防治专项资金补助力度。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52. 其他灾害防治及应急管理支出款比2020年决算数减少81万元，主要原因是：2020年安排拨付上年专款资金80.69万元，2021年无此项支出。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color w:val="auto"/>
          <w:sz w:val="32"/>
          <w:szCs w:val="32"/>
        </w:rPr>
        <w:t>二、</w:t>
      </w:r>
      <w:r>
        <w:rPr>
          <w:rFonts w:hint="eastAsia" w:ascii="方正黑体_GBK" w:hAnsi="方正黑体_GBK" w:eastAsia="方正黑体_GBK" w:cs="方正黑体_GBK"/>
          <w:b w:val="0"/>
          <w:bCs/>
          <w:color w:val="auto"/>
          <w:sz w:val="32"/>
          <w:szCs w:val="32"/>
          <w:lang w:eastAsia="zh-CN"/>
        </w:rPr>
        <w:t>2021年</w:t>
      </w:r>
      <w:r>
        <w:rPr>
          <w:rFonts w:hint="eastAsia" w:ascii="方正黑体_GBK" w:hAnsi="方正黑体_GBK" w:eastAsia="方正黑体_GBK" w:cs="方正黑体_GBK"/>
          <w:b w:val="0"/>
          <w:bCs/>
          <w:color w:val="auto"/>
          <w:sz w:val="32"/>
          <w:szCs w:val="32"/>
        </w:rPr>
        <w:t>县本级政府性基金预算支出变动说明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（一）文化旅游体育与传媒支出类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1.国家电影事业发展专项资金安排的支出款比2020年决算数下降-100%，主要原因是：2020年安排拨付2019年省级电影事业发展专项资金2.3万元，2021年无此项支出。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（二）社会保障和就业支出类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2.大中型水库移民后期扶持基金支出款比2020年决算数增加376万元，主要原因是：2021年安排大中型水库移民后期扶持资金专项经费375.99万元。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（三）城乡社区支出类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3.国有土地使用权出让收入安排的支出款比2020年决算数增长7,350万元，主要原因是：2021年安排征地和拆迁补偿、土地出让业务、其他国有土地使用权出让收入安排的支出增加。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（四）其他支出类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4.其他政府性基金及对应专项债务收入安排的支出款比2020年决算数下降-29.82%，主要原因是：2021年其他政府性基金及对应专项债务收入安排的支出减少1.7亿元。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5.彩票公益金安排的支出款比2020年决算数增加508万元，主要原因是：2021年上级补助彩票公益金安排的支出专项资金较上年增加。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（五）债务付息支出类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6.地方政府专项债务付息支出款比2020年决算数增长242.12%，主要原因是：2021年安排其他地方自行试点项目收益专项债券付息专项资金支出1,815.24万元，2020年无此项支出。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（六）抗疫特别国债安排的支出类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7.基础设施建设款、抗疫相关支出款比2020年决算数下降-100%，主要原因是：2020年全力支持抗击新冠肺炎疫情，安排</w:t>
      </w:r>
      <w:r>
        <w:rPr>
          <w:rFonts w:hint="eastAsia" w:ascii="方正仿宋_GBK" w:hAnsi="方正仿宋_GBK" w:eastAsia="方正仿宋_GBK" w:cs="方正仿宋_GBK"/>
          <w:color w:val="auto"/>
          <w:sz w:val="32"/>
          <w:szCs w:val="32"/>
        </w:rPr>
        <w:t>抗疫特别国债支出8357万元</w:t>
      </w:r>
      <w:r>
        <w:rPr>
          <w:rFonts w:hint="eastAsia" w:ascii="方正仿宋_GBK" w:hAnsi="方正仿宋_GBK" w:eastAsia="方正仿宋_GBK" w:cs="方正仿宋_GBK"/>
          <w:color w:val="auto"/>
          <w:sz w:val="32"/>
          <w:szCs w:val="32"/>
          <w:lang w:eastAsia="zh-CN"/>
        </w:rPr>
        <w:t>，其中：</w:t>
      </w:r>
      <w:r>
        <w:rPr>
          <w:rFonts w:hint="eastAsia" w:ascii="方正仿宋_GBK" w:hAnsi="方正仿宋_GBK" w:eastAsia="方正仿宋_GBK" w:cs="方正仿宋_GBK"/>
          <w:color w:val="auto"/>
          <w:sz w:val="32"/>
          <w:szCs w:val="32"/>
        </w:rPr>
        <w:t>基础设施建设8000</w:t>
      </w:r>
      <w:r>
        <w:rPr>
          <w:rFonts w:hint="eastAsia" w:ascii="方正仿宋_GBK" w:hAnsi="方正仿宋_GBK" w:eastAsia="方正仿宋_GBK" w:cs="方正仿宋_GBK"/>
          <w:color w:val="auto"/>
          <w:sz w:val="32"/>
          <w:szCs w:val="32"/>
          <w:lang w:eastAsia="zh-CN"/>
        </w:rPr>
        <w:t>万元、</w:t>
      </w:r>
      <w:r>
        <w:rPr>
          <w:rFonts w:hint="eastAsia" w:ascii="方正仿宋_GBK" w:hAnsi="方正仿宋_GBK" w:eastAsia="方正仿宋_GBK" w:cs="方正仿宋_GBK"/>
          <w:color w:val="auto"/>
          <w:sz w:val="32"/>
          <w:szCs w:val="32"/>
        </w:rPr>
        <w:t>抗疫相关支出357</w:t>
      </w:r>
      <w:r>
        <w:rPr>
          <w:rFonts w:hint="eastAsia" w:ascii="方正仿宋_GBK" w:hAnsi="方正仿宋_GBK" w:eastAsia="方正仿宋_GBK" w:cs="方正仿宋_GBK"/>
          <w:color w:val="auto"/>
          <w:sz w:val="32"/>
          <w:szCs w:val="32"/>
          <w:lang w:eastAsia="zh-CN"/>
        </w:rPr>
        <w:t>万元，</w:t>
      </w:r>
      <w:r>
        <w:rPr>
          <w:rFonts w:hint="eastAsia" w:ascii="方正仿宋_GBK" w:hAnsi="方正仿宋_GBK" w:eastAsia="方正仿宋_GBK" w:cs="方正仿宋_GBK"/>
          <w:color w:val="auto"/>
          <w:sz w:val="32"/>
          <w:szCs w:val="32"/>
          <w:lang w:val="en-US" w:eastAsia="zh-CN"/>
        </w:rPr>
        <w:t>2021年无此项支出。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b/>
          <w:color w:val="auto"/>
          <w:sz w:val="32"/>
          <w:szCs w:val="32"/>
        </w:rPr>
      </w:pPr>
      <w:r>
        <w:rPr>
          <w:rFonts w:hint="eastAsia" w:ascii="方正黑体_GBK" w:hAnsi="方正黑体_GBK" w:eastAsia="方正黑体_GBK" w:cs="方正黑体_GBK"/>
          <w:b w:val="0"/>
          <w:bCs/>
          <w:color w:val="auto"/>
          <w:sz w:val="32"/>
          <w:szCs w:val="32"/>
        </w:rPr>
        <w:t>三、</w:t>
      </w:r>
      <w:r>
        <w:rPr>
          <w:rFonts w:hint="eastAsia" w:ascii="方正黑体_GBK" w:hAnsi="方正黑体_GBK" w:eastAsia="方正黑体_GBK" w:cs="方正黑体_GBK"/>
          <w:b w:val="0"/>
          <w:bCs/>
          <w:color w:val="auto"/>
          <w:sz w:val="32"/>
          <w:szCs w:val="32"/>
          <w:lang w:eastAsia="zh-CN"/>
        </w:rPr>
        <w:t>2021年</w:t>
      </w:r>
      <w:r>
        <w:rPr>
          <w:rFonts w:hint="eastAsia" w:ascii="方正黑体_GBK" w:hAnsi="方正黑体_GBK" w:eastAsia="方正黑体_GBK" w:cs="方正黑体_GBK"/>
          <w:b w:val="0"/>
          <w:bCs/>
          <w:color w:val="auto"/>
          <w:sz w:val="32"/>
          <w:szCs w:val="32"/>
        </w:rPr>
        <w:t>县本级国有资本经营预算收入、支出变动说明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（一）县本级国有资本经营预算收入与上年决算数变动说明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2021年</w:t>
      </w:r>
      <w:r>
        <w:rPr>
          <w:rFonts w:hint="eastAsia" w:ascii="方正仿宋_GBK" w:hAnsi="方正仿宋_GBK" w:eastAsia="方正仿宋_GBK" w:cs="方正仿宋_GBK"/>
          <w:color w:val="auto"/>
          <w:sz w:val="32"/>
          <w:szCs w:val="32"/>
        </w:rPr>
        <w:t>国有资本经营预算收入</w:t>
      </w:r>
      <w:r>
        <w:rPr>
          <w:rFonts w:hint="eastAsia" w:ascii="方正仿宋_GBK" w:hAnsi="方正仿宋_GBK" w:eastAsia="方正仿宋_GBK" w:cs="方正仿宋_GBK"/>
          <w:color w:val="auto"/>
          <w:sz w:val="32"/>
          <w:szCs w:val="32"/>
          <w:lang w:eastAsia="zh-CN"/>
        </w:rPr>
        <w:t>决算数与2020年决算数相比，增长</w:t>
      </w:r>
      <w:r>
        <w:rPr>
          <w:rFonts w:hint="eastAsia" w:ascii="方正仿宋_GBK" w:hAnsi="方正仿宋_GBK" w:eastAsia="方正仿宋_GBK" w:cs="方正仿宋_GBK"/>
          <w:color w:val="auto"/>
          <w:sz w:val="32"/>
          <w:szCs w:val="32"/>
          <w:lang w:val="en-US" w:eastAsia="zh-CN"/>
        </w:rPr>
        <w:t>25.17%。主要原因是：2021年</w:t>
      </w:r>
      <w:r>
        <w:rPr>
          <w:rFonts w:hint="eastAsia" w:ascii="方正仿宋_GBK" w:hAnsi="方正仿宋_GBK" w:eastAsia="方正仿宋_GBK" w:cs="方正仿宋_GBK"/>
          <w:color w:val="auto"/>
          <w:sz w:val="32"/>
          <w:szCs w:val="32"/>
        </w:rPr>
        <w:t>师宗县方为公司</w:t>
      </w:r>
      <w:r>
        <w:rPr>
          <w:rFonts w:hint="eastAsia" w:ascii="方正仿宋_GBK" w:hAnsi="方正仿宋_GBK" w:eastAsia="方正仿宋_GBK" w:cs="方正仿宋_GBK"/>
          <w:color w:val="auto"/>
          <w:sz w:val="32"/>
          <w:szCs w:val="32"/>
          <w:lang w:eastAsia="zh-CN"/>
        </w:rPr>
        <w:t>缴入其他国有资本经营预算企业利润收入</w:t>
      </w:r>
      <w:r>
        <w:rPr>
          <w:rFonts w:hint="eastAsia" w:ascii="方正仿宋_GBK" w:hAnsi="方正仿宋_GBK" w:eastAsia="方正仿宋_GBK" w:cs="方正仿宋_GBK"/>
          <w:color w:val="auto"/>
          <w:sz w:val="32"/>
          <w:szCs w:val="32"/>
          <w:lang w:val="en-US" w:eastAsia="zh-CN"/>
        </w:rPr>
        <w:t>168</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上级补助收入</w:t>
      </w:r>
      <w:r>
        <w:rPr>
          <w:rFonts w:hint="eastAsia" w:ascii="方正仿宋_GBK" w:hAnsi="方正仿宋_GBK" w:eastAsia="方正仿宋_GBK" w:cs="方正仿宋_GBK"/>
          <w:color w:val="auto"/>
          <w:sz w:val="32"/>
          <w:szCs w:val="32"/>
          <w:lang w:val="en-US" w:eastAsia="zh-CN"/>
        </w:rPr>
        <w:t>16</w:t>
      </w:r>
      <w:r>
        <w:rPr>
          <w:rFonts w:hint="eastAsia" w:ascii="方正仿宋_GBK" w:hAnsi="方正仿宋_GBK" w:eastAsia="方正仿宋_GBK" w:cs="方正仿宋_GBK"/>
          <w:color w:val="auto"/>
          <w:sz w:val="32"/>
          <w:szCs w:val="32"/>
        </w:rPr>
        <w:t>万元，收入总计</w:t>
      </w:r>
      <w:r>
        <w:rPr>
          <w:rFonts w:hint="eastAsia" w:ascii="方正仿宋_GBK" w:hAnsi="方正仿宋_GBK" w:eastAsia="方正仿宋_GBK" w:cs="方正仿宋_GBK"/>
          <w:color w:val="auto"/>
          <w:sz w:val="32"/>
          <w:szCs w:val="32"/>
          <w:lang w:val="en-US" w:eastAsia="zh-CN"/>
        </w:rPr>
        <w:t>184</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比</w:t>
      </w:r>
      <w:r>
        <w:rPr>
          <w:rFonts w:hint="eastAsia" w:ascii="方正仿宋_GBK" w:hAnsi="方正仿宋_GBK" w:eastAsia="方正仿宋_GBK" w:cs="方正仿宋_GBK"/>
          <w:color w:val="auto"/>
          <w:sz w:val="32"/>
          <w:szCs w:val="32"/>
          <w:lang w:eastAsia="zh-CN"/>
        </w:rPr>
        <w:t>上年</w:t>
      </w:r>
      <w:r>
        <w:rPr>
          <w:rFonts w:hint="eastAsia" w:ascii="方正仿宋_GBK" w:hAnsi="方正仿宋_GBK" w:eastAsia="方正仿宋_GBK" w:cs="方正仿宋_GBK"/>
          <w:color w:val="auto"/>
          <w:sz w:val="32"/>
          <w:szCs w:val="32"/>
        </w:rPr>
        <w:t>决算数</w:t>
      </w:r>
      <w:r>
        <w:rPr>
          <w:rFonts w:hint="eastAsia" w:ascii="方正仿宋_GBK" w:hAnsi="方正仿宋_GBK" w:eastAsia="方正仿宋_GBK" w:cs="方正仿宋_GBK"/>
          <w:color w:val="auto"/>
          <w:sz w:val="32"/>
          <w:szCs w:val="32"/>
          <w:lang w:eastAsia="zh-CN"/>
        </w:rPr>
        <w:t>增加</w:t>
      </w:r>
      <w:r>
        <w:rPr>
          <w:rFonts w:hint="eastAsia" w:ascii="方正仿宋_GBK" w:hAnsi="方正仿宋_GBK" w:eastAsia="方正仿宋_GBK" w:cs="方正仿宋_GBK"/>
          <w:color w:val="auto"/>
          <w:sz w:val="32"/>
          <w:szCs w:val="32"/>
          <w:lang w:val="en-US" w:eastAsia="zh-CN"/>
        </w:rPr>
        <w:t>37</w:t>
      </w:r>
      <w:r>
        <w:rPr>
          <w:rFonts w:hint="eastAsia" w:ascii="方正仿宋_GBK" w:hAnsi="方正仿宋_GBK" w:eastAsia="方正仿宋_GBK" w:cs="方正仿宋_GBK"/>
          <w:color w:val="auto"/>
          <w:sz w:val="32"/>
          <w:szCs w:val="32"/>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（二）县本级国有资本经营预算支出与上年决算数变动说明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2021年</w:t>
      </w:r>
      <w:r>
        <w:rPr>
          <w:rFonts w:hint="eastAsia" w:ascii="方正仿宋_GBK" w:hAnsi="方正仿宋_GBK" w:eastAsia="方正仿宋_GBK" w:cs="方正仿宋_GBK"/>
          <w:color w:val="auto"/>
          <w:sz w:val="32"/>
          <w:szCs w:val="32"/>
        </w:rPr>
        <w:t>国有资本经营预算支出</w:t>
      </w:r>
      <w:r>
        <w:rPr>
          <w:rFonts w:hint="eastAsia" w:ascii="方正仿宋_GBK" w:hAnsi="方正仿宋_GBK" w:eastAsia="方正仿宋_GBK" w:cs="方正仿宋_GBK"/>
          <w:color w:val="auto"/>
          <w:sz w:val="32"/>
          <w:szCs w:val="32"/>
          <w:lang w:val="en-US" w:eastAsia="zh-CN"/>
        </w:rPr>
        <w:t>184</w:t>
      </w:r>
      <w:r>
        <w:rPr>
          <w:rFonts w:hint="eastAsia" w:ascii="方正仿宋_GBK" w:hAnsi="方正仿宋_GBK" w:eastAsia="方正仿宋_GBK" w:cs="方正仿宋_GBK"/>
          <w:color w:val="auto"/>
          <w:sz w:val="32"/>
          <w:szCs w:val="32"/>
        </w:rPr>
        <w:t>万元</w:t>
      </w:r>
      <w:r>
        <w:rPr>
          <w:rFonts w:hint="eastAsia" w:ascii="方正仿宋_GBK" w:hAnsi="方正仿宋_GBK" w:eastAsia="方正仿宋_GBK" w:cs="方正仿宋_GBK"/>
          <w:color w:val="auto"/>
          <w:sz w:val="32"/>
          <w:szCs w:val="32"/>
          <w:lang w:eastAsia="zh-CN"/>
        </w:rPr>
        <w:t>，与2020年决算数相比，增长</w:t>
      </w:r>
      <w:r>
        <w:rPr>
          <w:rFonts w:hint="eastAsia" w:ascii="方正仿宋_GBK" w:hAnsi="方正仿宋_GBK" w:eastAsia="方正仿宋_GBK" w:cs="方正仿宋_GBK"/>
          <w:color w:val="auto"/>
          <w:sz w:val="32"/>
          <w:szCs w:val="32"/>
          <w:lang w:val="en-US" w:eastAsia="zh-CN"/>
        </w:rPr>
        <w:t>25.17%。主要原因是：一是安排国有企业政策性补贴168万元，二是</w:t>
      </w:r>
      <w:r>
        <w:rPr>
          <w:rFonts w:hint="eastAsia" w:ascii="方正仿宋_GBK" w:hAnsi="方正仿宋_GBK" w:eastAsia="方正仿宋_GBK" w:cs="方正仿宋_GBK"/>
          <w:color w:val="auto"/>
          <w:sz w:val="32"/>
          <w:szCs w:val="32"/>
          <w:lang w:eastAsia="zh-CN"/>
        </w:rPr>
        <w:t>2021年国有企业退休人员社会化管理补助资金</w:t>
      </w:r>
      <w:r>
        <w:rPr>
          <w:rFonts w:hint="eastAsia" w:ascii="方正仿宋_GBK" w:hAnsi="方正仿宋_GBK" w:eastAsia="方正仿宋_GBK" w:cs="方正仿宋_GBK"/>
          <w:color w:val="auto"/>
          <w:sz w:val="32"/>
          <w:szCs w:val="32"/>
          <w:lang w:val="en-US" w:eastAsia="zh-CN"/>
        </w:rPr>
        <w:t>16万元。</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硬笔行书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康体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4" o:spid="_x0000_s3074"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60111"/>
    <w:rsid w:val="0006335C"/>
    <w:rsid w:val="000640DE"/>
    <w:rsid w:val="0016306E"/>
    <w:rsid w:val="00260F5D"/>
    <w:rsid w:val="00344A92"/>
    <w:rsid w:val="00407DC3"/>
    <w:rsid w:val="00427FD3"/>
    <w:rsid w:val="00435912"/>
    <w:rsid w:val="0044258D"/>
    <w:rsid w:val="004F5E21"/>
    <w:rsid w:val="00631574"/>
    <w:rsid w:val="0077446D"/>
    <w:rsid w:val="007A3200"/>
    <w:rsid w:val="009F13C5"/>
    <w:rsid w:val="00BA6B74"/>
    <w:rsid w:val="00BB493E"/>
    <w:rsid w:val="00C60111"/>
    <w:rsid w:val="00CC3493"/>
    <w:rsid w:val="00D56B67"/>
    <w:rsid w:val="00D922E9"/>
    <w:rsid w:val="00E85517"/>
    <w:rsid w:val="00F661CD"/>
    <w:rsid w:val="01011F97"/>
    <w:rsid w:val="0144155D"/>
    <w:rsid w:val="015E757B"/>
    <w:rsid w:val="03EC35C6"/>
    <w:rsid w:val="04C72432"/>
    <w:rsid w:val="04CE1F3A"/>
    <w:rsid w:val="04CE5B50"/>
    <w:rsid w:val="05182302"/>
    <w:rsid w:val="05642B9E"/>
    <w:rsid w:val="05847D83"/>
    <w:rsid w:val="05F76A52"/>
    <w:rsid w:val="05FC62B5"/>
    <w:rsid w:val="061E0F86"/>
    <w:rsid w:val="076A143E"/>
    <w:rsid w:val="084401A2"/>
    <w:rsid w:val="09D33AEC"/>
    <w:rsid w:val="0AB87396"/>
    <w:rsid w:val="0ACE6CF5"/>
    <w:rsid w:val="0C3448AB"/>
    <w:rsid w:val="0C4C68CB"/>
    <w:rsid w:val="0D0102D8"/>
    <w:rsid w:val="0D493268"/>
    <w:rsid w:val="0D7D093D"/>
    <w:rsid w:val="0E626210"/>
    <w:rsid w:val="0EB2412C"/>
    <w:rsid w:val="0EB73F28"/>
    <w:rsid w:val="0EC22C3A"/>
    <w:rsid w:val="0EDB2FC4"/>
    <w:rsid w:val="0FAF77B0"/>
    <w:rsid w:val="0FB21935"/>
    <w:rsid w:val="108E00FE"/>
    <w:rsid w:val="10D64F05"/>
    <w:rsid w:val="12016796"/>
    <w:rsid w:val="129E6DD6"/>
    <w:rsid w:val="12BF70D2"/>
    <w:rsid w:val="12C47E8E"/>
    <w:rsid w:val="146C00E5"/>
    <w:rsid w:val="14A4000C"/>
    <w:rsid w:val="14B0489D"/>
    <w:rsid w:val="14F177AF"/>
    <w:rsid w:val="15686F3E"/>
    <w:rsid w:val="15DE2FE4"/>
    <w:rsid w:val="16045839"/>
    <w:rsid w:val="165B108F"/>
    <w:rsid w:val="17EB2806"/>
    <w:rsid w:val="180A1701"/>
    <w:rsid w:val="18AB060B"/>
    <w:rsid w:val="18BD6CBC"/>
    <w:rsid w:val="191D56C9"/>
    <w:rsid w:val="19B137D5"/>
    <w:rsid w:val="19D128CF"/>
    <w:rsid w:val="1A39628F"/>
    <w:rsid w:val="1A6D5D4B"/>
    <w:rsid w:val="1A74092D"/>
    <w:rsid w:val="1B1F5F81"/>
    <w:rsid w:val="1BDC086E"/>
    <w:rsid w:val="1C8652F0"/>
    <w:rsid w:val="1C9F7E31"/>
    <w:rsid w:val="1CBD4128"/>
    <w:rsid w:val="1D1D7A08"/>
    <w:rsid w:val="1DB8392A"/>
    <w:rsid w:val="1DF22A87"/>
    <w:rsid w:val="1EAE302F"/>
    <w:rsid w:val="1F4E5871"/>
    <w:rsid w:val="1F5674F2"/>
    <w:rsid w:val="1FB74980"/>
    <w:rsid w:val="208E07CC"/>
    <w:rsid w:val="20AA7FB0"/>
    <w:rsid w:val="213847B4"/>
    <w:rsid w:val="2177661D"/>
    <w:rsid w:val="232B3650"/>
    <w:rsid w:val="2361235A"/>
    <w:rsid w:val="23C766A3"/>
    <w:rsid w:val="240453B2"/>
    <w:rsid w:val="24A46381"/>
    <w:rsid w:val="24A4684D"/>
    <w:rsid w:val="24F53E06"/>
    <w:rsid w:val="24F740C3"/>
    <w:rsid w:val="272F5FF8"/>
    <w:rsid w:val="27702C4F"/>
    <w:rsid w:val="27D4194D"/>
    <w:rsid w:val="283F5823"/>
    <w:rsid w:val="286C3634"/>
    <w:rsid w:val="28D44D38"/>
    <w:rsid w:val="2AB0557E"/>
    <w:rsid w:val="2B340E14"/>
    <w:rsid w:val="2B4C7D68"/>
    <w:rsid w:val="2B7069F9"/>
    <w:rsid w:val="2C210028"/>
    <w:rsid w:val="2D12752A"/>
    <w:rsid w:val="2D411A4F"/>
    <w:rsid w:val="2E0D25CC"/>
    <w:rsid w:val="2E3B124C"/>
    <w:rsid w:val="2EC26B95"/>
    <w:rsid w:val="2EEB6C3E"/>
    <w:rsid w:val="2EF45C3B"/>
    <w:rsid w:val="2F427116"/>
    <w:rsid w:val="301E400A"/>
    <w:rsid w:val="30F63DF6"/>
    <w:rsid w:val="31F5534A"/>
    <w:rsid w:val="32A62584"/>
    <w:rsid w:val="32FE34AC"/>
    <w:rsid w:val="331A05D7"/>
    <w:rsid w:val="335B0AF6"/>
    <w:rsid w:val="34F06F95"/>
    <w:rsid w:val="350F0472"/>
    <w:rsid w:val="35C30823"/>
    <w:rsid w:val="35F3219A"/>
    <w:rsid w:val="375C79C0"/>
    <w:rsid w:val="380F612E"/>
    <w:rsid w:val="38A16DDA"/>
    <w:rsid w:val="38B27DBF"/>
    <w:rsid w:val="39E571DC"/>
    <w:rsid w:val="3A197639"/>
    <w:rsid w:val="3B2019DF"/>
    <w:rsid w:val="3B410742"/>
    <w:rsid w:val="3B674D8E"/>
    <w:rsid w:val="3BF664BF"/>
    <w:rsid w:val="3C870AE1"/>
    <w:rsid w:val="3C8822A2"/>
    <w:rsid w:val="3EAE117F"/>
    <w:rsid w:val="3F0B60EF"/>
    <w:rsid w:val="3F4D3907"/>
    <w:rsid w:val="3FFD6A31"/>
    <w:rsid w:val="406855AB"/>
    <w:rsid w:val="40A60327"/>
    <w:rsid w:val="40D012B2"/>
    <w:rsid w:val="43BC34AF"/>
    <w:rsid w:val="44845D1B"/>
    <w:rsid w:val="45596540"/>
    <w:rsid w:val="45BA712F"/>
    <w:rsid w:val="468D6C42"/>
    <w:rsid w:val="46CD67CE"/>
    <w:rsid w:val="47427AD2"/>
    <w:rsid w:val="47A254F9"/>
    <w:rsid w:val="487460D0"/>
    <w:rsid w:val="49F71D75"/>
    <w:rsid w:val="4A5B716A"/>
    <w:rsid w:val="4A995C2D"/>
    <w:rsid w:val="4B231605"/>
    <w:rsid w:val="4BE23B9C"/>
    <w:rsid w:val="4BF103D0"/>
    <w:rsid w:val="4C05399F"/>
    <w:rsid w:val="4C0A7667"/>
    <w:rsid w:val="4C710A95"/>
    <w:rsid w:val="4D69663C"/>
    <w:rsid w:val="4D7033C5"/>
    <w:rsid w:val="4E8C7D4E"/>
    <w:rsid w:val="509A20A7"/>
    <w:rsid w:val="5181761F"/>
    <w:rsid w:val="525F7661"/>
    <w:rsid w:val="52707FA7"/>
    <w:rsid w:val="5378517B"/>
    <w:rsid w:val="552253CC"/>
    <w:rsid w:val="55631E35"/>
    <w:rsid w:val="56ED4920"/>
    <w:rsid w:val="573C4E5F"/>
    <w:rsid w:val="57C95136"/>
    <w:rsid w:val="57FE0B42"/>
    <w:rsid w:val="58106883"/>
    <w:rsid w:val="58321C61"/>
    <w:rsid w:val="584F24AB"/>
    <w:rsid w:val="586A6C87"/>
    <w:rsid w:val="5A48547F"/>
    <w:rsid w:val="5ABD2547"/>
    <w:rsid w:val="5AC4577A"/>
    <w:rsid w:val="5ADF36FC"/>
    <w:rsid w:val="5B5208F8"/>
    <w:rsid w:val="5B9D3EEA"/>
    <w:rsid w:val="5CB87DC1"/>
    <w:rsid w:val="5D527E43"/>
    <w:rsid w:val="5F986547"/>
    <w:rsid w:val="60B56307"/>
    <w:rsid w:val="60E53C4D"/>
    <w:rsid w:val="611D5CAC"/>
    <w:rsid w:val="62382FE1"/>
    <w:rsid w:val="646B0AC7"/>
    <w:rsid w:val="647838DF"/>
    <w:rsid w:val="648A6FB2"/>
    <w:rsid w:val="648E0A45"/>
    <w:rsid w:val="64A806A4"/>
    <w:rsid w:val="64CF77FF"/>
    <w:rsid w:val="64D901DD"/>
    <w:rsid w:val="65154FA7"/>
    <w:rsid w:val="6575671E"/>
    <w:rsid w:val="65BE3E51"/>
    <w:rsid w:val="66713FF2"/>
    <w:rsid w:val="66900CCC"/>
    <w:rsid w:val="66E335BD"/>
    <w:rsid w:val="67656FFA"/>
    <w:rsid w:val="67CD7402"/>
    <w:rsid w:val="67F961FC"/>
    <w:rsid w:val="68FE2954"/>
    <w:rsid w:val="69197846"/>
    <w:rsid w:val="6A170BAF"/>
    <w:rsid w:val="6A530FDE"/>
    <w:rsid w:val="6AFC2586"/>
    <w:rsid w:val="6AFD5251"/>
    <w:rsid w:val="6B517BC6"/>
    <w:rsid w:val="6B597461"/>
    <w:rsid w:val="6BFE1562"/>
    <w:rsid w:val="6C247818"/>
    <w:rsid w:val="6C37205A"/>
    <w:rsid w:val="6C471D2D"/>
    <w:rsid w:val="6CB15F81"/>
    <w:rsid w:val="6D50334B"/>
    <w:rsid w:val="70EC2B7F"/>
    <w:rsid w:val="710602DD"/>
    <w:rsid w:val="712B00A3"/>
    <w:rsid w:val="716500F8"/>
    <w:rsid w:val="719F7BA5"/>
    <w:rsid w:val="72401B87"/>
    <w:rsid w:val="72724C0C"/>
    <w:rsid w:val="74450EAB"/>
    <w:rsid w:val="75566F04"/>
    <w:rsid w:val="75BD6F58"/>
    <w:rsid w:val="75ED5CC6"/>
    <w:rsid w:val="765B0E39"/>
    <w:rsid w:val="76C01126"/>
    <w:rsid w:val="77064AB5"/>
    <w:rsid w:val="77BB0B02"/>
    <w:rsid w:val="78AE1B6F"/>
    <w:rsid w:val="792F1A81"/>
    <w:rsid w:val="797308DC"/>
    <w:rsid w:val="79B51A08"/>
    <w:rsid w:val="7A057B65"/>
    <w:rsid w:val="7B15739E"/>
    <w:rsid w:val="7C0E0564"/>
    <w:rsid w:val="7C32182F"/>
    <w:rsid w:val="7D38583E"/>
    <w:rsid w:val="7E2505A0"/>
    <w:rsid w:val="7F42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No Spacing"/>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semiHidden/>
    <w:qFormat/>
    <w:uiPriority w:val="99"/>
    <w:rPr>
      <w:kern w:val="2"/>
      <w:sz w:val="18"/>
      <w:szCs w:val="18"/>
    </w:rPr>
  </w:style>
  <w:style w:type="character" w:customStyle="1" w:styleId="10">
    <w:name w:val="标题 1 Char"/>
    <w:basedOn w:val="6"/>
    <w:link w:val="2"/>
    <w:qFormat/>
    <w:uiPriority w:val="0"/>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249</Words>
  <Characters>1422</Characters>
  <Lines>11</Lines>
  <Paragraphs>3</Paragraphs>
  <TotalTime>6</TotalTime>
  <ScaleCrop>false</ScaleCrop>
  <LinksUpToDate>false</LinksUpToDate>
  <CharactersWithSpaces>1668</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2020-09-10T09:04:00Z</dcterms:created>
  <dc:creator>AutoBVT</dc:creator>
  <cp:lastModifiedBy>Administrator</cp:lastModifiedBy>
  <dcterms:modified xsi:type="dcterms:W3CDTF">2022-09-03T06:42:56Z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