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宋体" w:hAnsi="宋体" w:eastAsia="宋体" w:cs="宋体"/>
          <w:b w:val="0"/>
          <w:bCs w:val="0"/>
          <w:color w:val="auto"/>
          <w:kern w:val="2"/>
          <w:sz w:val="24"/>
          <w:szCs w:val="24"/>
          <w:lang w:val="zh-CN"/>
        </w:rPr>
        <w:id w:val="-1546603116"/>
        <w:docPartObj>
          <w:docPartGallery w:val="Table of Contents"/>
          <w:docPartUnique/>
        </w:docPartObj>
      </w:sdtPr>
      <w:sdtEndPr>
        <w:rPr>
          <w:rFonts w:hint="eastAsia" w:ascii="Times New Roman" w:hAnsi="Times New Roman" w:eastAsia="宋体" w:cs="Times New Roman"/>
          <w:b w:val="0"/>
          <w:bCs w:val="0"/>
          <w:color w:val="auto"/>
          <w:kern w:val="2"/>
          <w:sz w:val="24"/>
          <w:szCs w:val="24"/>
          <w:lang w:val="zh-CN"/>
        </w:rPr>
      </w:sdtEndPr>
      <w:sdtContent>
        <w:p>
          <w:pPr>
            <w:pStyle w:val="94"/>
            <w:keepNext/>
            <w:keepLines/>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auto"/>
              <w:sz w:val="32"/>
              <w:szCs w:val="32"/>
            </w:rPr>
          </w:pPr>
          <w:r>
            <w:rPr>
              <w:rFonts w:hint="eastAsia" w:ascii="宋体" w:hAnsi="宋体" w:eastAsia="宋体" w:cs="宋体"/>
              <w:color w:val="auto"/>
              <w:sz w:val="32"/>
              <w:szCs w:val="32"/>
              <w:lang w:val="zh-CN"/>
            </w:rPr>
            <w:t>目  录</w:t>
          </w:r>
        </w:p>
        <w:p>
          <w:pPr>
            <w:pStyle w:val="19"/>
            <w:tabs>
              <w:tab w:val="right" w:leader="dot" w:pos="8834"/>
            </w:tabs>
            <w:ind w:firstLine="0" w:firstLineChars="0"/>
            <w:rPr>
              <w:rFonts w:asciiTheme="minorHAnsi" w:hAnsiTheme="minorHAnsi" w:eastAsiaTheme="minorEastAsia" w:cstheme="minorBidi"/>
              <w:color w:val="auto"/>
              <w:sz w:val="28"/>
              <w:szCs w:val="28"/>
            </w:rPr>
          </w:pP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 TOC \o "1-3" \h \z \u </w:instrText>
          </w:r>
          <w:r>
            <w:rPr>
              <w:rFonts w:asciiTheme="minorEastAsia" w:hAnsiTheme="minorEastAsia" w:eastAsiaTheme="minorEastAsia"/>
              <w:color w:val="auto"/>
              <w:sz w:val="28"/>
              <w:szCs w:val="28"/>
            </w:rPr>
            <w:fldChar w:fldCharType="separate"/>
          </w:r>
          <w:r>
            <w:rPr>
              <w:color w:val="auto"/>
              <w:sz w:val="28"/>
              <w:szCs w:val="28"/>
            </w:rPr>
            <w:fldChar w:fldCharType="begin"/>
          </w:r>
          <w:r>
            <w:rPr>
              <w:color w:val="auto"/>
              <w:sz w:val="28"/>
              <w:szCs w:val="28"/>
            </w:rPr>
            <w:instrText xml:space="preserve"> HYPERLINK \l "_Toc103860793" </w:instrText>
          </w:r>
          <w:r>
            <w:rPr>
              <w:color w:val="auto"/>
              <w:sz w:val="28"/>
              <w:szCs w:val="28"/>
            </w:rPr>
            <w:fldChar w:fldCharType="separate"/>
          </w:r>
          <w:r>
            <w:rPr>
              <w:rStyle w:val="35"/>
              <w:color w:val="auto"/>
              <w:sz w:val="28"/>
              <w:szCs w:val="28"/>
            </w:rPr>
            <w:t>一、建设项目基本情况</w:t>
          </w:r>
          <w:r>
            <w:rPr>
              <w:color w:val="auto"/>
              <w:sz w:val="28"/>
              <w:szCs w:val="28"/>
            </w:rPr>
            <w:tab/>
          </w:r>
          <w:r>
            <w:rPr>
              <w:color w:val="auto"/>
              <w:sz w:val="28"/>
              <w:szCs w:val="28"/>
            </w:rPr>
            <w:fldChar w:fldCharType="begin"/>
          </w:r>
          <w:r>
            <w:rPr>
              <w:color w:val="auto"/>
              <w:sz w:val="28"/>
              <w:szCs w:val="28"/>
            </w:rPr>
            <w:instrText xml:space="preserve"> PAGEREF _Toc103860793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"_Toc103860794" </w:instrText>
          </w:r>
          <w:r>
            <w:rPr>
              <w:color w:val="auto"/>
              <w:sz w:val="28"/>
              <w:szCs w:val="28"/>
            </w:rPr>
            <w:fldChar w:fldCharType="separate"/>
          </w:r>
          <w:r>
            <w:rPr>
              <w:rStyle w:val="35"/>
              <w:color w:val="auto"/>
              <w:sz w:val="28"/>
              <w:szCs w:val="28"/>
            </w:rPr>
            <w:t>二、建设项目工程分析</w:t>
          </w:r>
          <w:r>
            <w:rPr>
              <w:color w:val="auto"/>
              <w:sz w:val="28"/>
              <w:szCs w:val="28"/>
            </w:rPr>
            <w:tab/>
          </w:r>
          <w:r>
            <w:rPr>
              <w:color w:val="auto"/>
              <w:sz w:val="28"/>
              <w:szCs w:val="28"/>
            </w:rPr>
            <w:fldChar w:fldCharType="begin"/>
          </w:r>
          <w:r>
            <w:rPr>
              <w:color w:val="auto"/>
              <w:sz w:val="28"/>
              <w:szCs w:val="28"/>
            </w:rPr>
            <w:instrText xml:space="preserve"> PAGEREF _Toc103860794 \h </w:instrText>
          </w:r>
          <w:r>
            <w:rPr>
              <w:color w:val="auto"/>
              <w:sz w:val="28"/>
              <w:szCs w:val="28"/>
            </w:rPr>
            <w:fldChar w:fldCharType="separate"/>
          </w:r>
          <w:r>
            <w:rPr>
              <w:color w:val="auto"/>
              <w:sz w:val="28"/>
              <w:szCs w:val="28"/>
            </w:rPr>
            <w:t>28</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"_Toc103860795" </w:instrText>
          </w:r>
          <w:r>
            <w:rPr>
              <w:color w:val="auto"/>
              <w:sz w:val="28"/>
              <w:szCs w:val="28"/>
            </w:rPr>
            <w:fldChar w:fldCharType="separate"/>
          </w:r>
          <w:r>
            <w:rPr>
              <w:rStyle w:val="35"/>
              <w:color w:val="auto"/>
              <w:sz w:val="28"/>
              <w:szCs w:val="28"/>
            </w:rPr>
            <w:t>三、区域环境质量现状、环境保护目标及评价标准</w:t>
          </w:r>
          <w:r>
            <w:rPr>
              <w:color w:val="auto"/>
              <w:sz w:val="28"/>
              <w:szCs w:val="28"/>
            </w:rPr>
            <w:tab/>
          </w:r>
          <w:r>
            <w:rPr>
              <w:color w:val="auto"/>
              <w:sz w:val="28"/>
              <w:szCs w:val="28"/>
            </w:rPr>
            <w:fldChar w:fldCharType="begin"/>
          </w:r>
          <w:r>
            <w:rPr>
              <w:color w:val="auto"/>
              <w:sz w:val="28"/>
              <w:szCs w:val="28"/>
            </w:rPr>
            <w:instrText xml:space="preserve"> PAGEREF _Toc103860795 \h </w:instrText>
          </w:r>
          <w:r>
            <w:rPr>
              <w:color w:val="auto"/>
              <w:sz w:val="28"/>
              <w:szCs w:val="28"/>
            </w:rPr>
            <w:fldChar w:fldCharType="separate"/>
          </w:r>
          <w:r>
            <w:rPr>
              <w:color w:val="auto"/>
              <w:sz w:val="28"/>
              <w:szCs w:val="28"/>
            </w:rPr>
            <w:t>48</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"_Toc103860796" </w:instrText>
          </w:r>
          <w:r>
            <w:rPr>
              <w:color w:val="auto"/>
              <w:sz w:val="28"/>
              <w:szCs w:val="28"/>
            </w:rPr>
            <w:fldChar w:fldCharType="separate"/>
          </w:r>
          <w:r>
            <w:rPr>
              <w:rStyle w:val="35"/>
              <w:color w:val="auto"/>
              <w:sz w:val="28"/>
              <w:szCs w:val="28"/>
            </w:rPr>
            <w:t>四、主要环境影响和保护措施</w:t>
          </w:r>
          <w:r>
            <w:rPr>
              <w:color w:val="auto"/>
              <w:sz w:val="28"/>
              <w:szCs w:val="28"/>
            </w:rPr>
            <w:tab/>
          </w:r>
          <w:r>
            <w:rPr>
              <w:color w:val="auto"/>
              <w:sz w:val="28"/>
              <w:szCs w:val="28"/>
            </w:rPr>
            <w:fldChar w:fldCharType="begin"/>
          </w:r>
          <w:r>
            <w:rPr>
              <w:color w:val="auto"/>
              <w:sz w:val="28"/>
              <w:szCs w:val="28"/>
            </w:rPr>
            <w:instrText xml:space="preserve"> PAGEREF _Toc103860796 \h </w:instrText>
          </w:r>
          <w:r>
            <w:rPr>
              <w:color w:val="auto"/>
              <w:sz w:val="28"/>
              <w:szCs w:val="28"/>
            </w:rPr>
            <w:fldChar w:fldCharType="separate"/>
          </w:r>
          <w:r>
            <w:rPr>
              <w:color w:val="auto"/>
              <w:sz w:val="28"/>
              <w:szCs w:val="28"/>
            </w:rPr>
            <w:t>59</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"_Toc103860797" </w:instrText>
          </w:r>
          <w:r>
            <w:rPr>
              <w:color w:val="auto"/>
              <w:sz w:val="28"/>
              <w:szCs w:val="28"/>
            </w:rPr>
            <w:fldChar w:fldCharType="separate"/>
          </w:r>
          <w:r>
            <w:rPr>
              <w:rStyle w:val="35"/>
              <w:color w:val="auto"/>
              <w:sz w:val="28"/>
              <w:szCs w:val="28"/>
            </w:rPr>
            <w:t>五、环境保护措施监督检查清单</w:t>
          </w:r>
          <w:r>
            <w:rPr>
              <w:color w:val="auto"/>
              <w:sz w:val="28"/>
              <w:szCs w:val="28"/>
            </w:rPr>
            <w:tab/>
          </w:r>
          <w:r>
            <w:rPr>
              <w:color w:val="auto"/>
              <w:sz w:val="28"/>
              <w:szCs w:val="28"/>
            </w:rPr>
            <w:fldChar w:fldCharType="begin"/>
          </w:r>
          <w:r>
            <w:rPr>
              <w:color w:val="auto"/>
              <w:sz w:val="28"/>
              <w:szCs w:val="28"/>
            </w:rPr>
            <w:instrText xml:space="preserve"> PAGEREF _Toc103860797 \h </w:instrText>
          </w:r>
          <w:r>
            <w:rPr>
              <w:color w:val="auto"/>
              <w:sz w:val="28"/>
              <w:szCs w:val="28"/>
            </w:rPr>
            <w:fldChar w:fldCharType="separate"/>
          </w:r>
          <w:r>
            <w:rPr>
              <w:color w:val="auto"/>
              <w:sz w:val="28"/>
              <w:szCs w:val="28"/>
            </w:rPr>
            <w:t>101</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"_Toc103860798" </w:instrText>
          </w:r>
          <w:r>
            <w:rPr>
              <w:color w:val="auto"/>
              <w:sz w:val="28"/>
              <w:szCs w:val="28"/>
            </w:rPr>
            <w:fldChar w:fldCharType="separate"/>
          </w:r>
          <w:r>
            <w:rPr>
              <w:rStyle w:val="35"/>
              <w:color w:val="auto"/>
              <w:sz w:val="28"/>
              <w:szCs w:val="28"/>
            </w:rPr>
            <w:t>六、结论</w:t>
          </w:r>
          <w:r>
            <w:rPr>
              <w:color w:val="auto"/>
              <w:sz w:val="28"/>
              <w:szCs w:val="28"/>
            </w:rPr>
            <w:tab/>
          </w:r>
          <w:r>
            <w:rPr>
              <w:color w:val="auto"/>
              <w:sz w:val="28"/>
              <w:szCs w:val="28"/>
            </w:rPr>
            <w:fldChar w:fldCharType="begin"/>
          </w:r>
          <w:r>
            <w:rPr>
              <w:color w:val="auto"/>
              <w:sz w:val="28"/>
              <w:szCs w:val="28"/>
            </w:rPr>
            <w:instrText xml:space="preserve"> PAGEREF _Toc103860798 \h </w:instrText>
          </w:r>
          <w:r>
            <w:rPr>
              <w:color w:val="auto"/>
              <w:sz w:val="28"/>
              <w:szCs w:val="28"/>
            </w:rPr>
            <w:fldChar w:fldCharType="separate"/>
          </w:r>
          <w:r>
            <w:rPr>
              <w:color w:val="auto"/>
              <w:sz w:val="28"/>
              <w:szCs w:val="28"/>
            </w:rPr>
            <w:t>105</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"_Toc103860799" </w:instrText>
          </w:r>
          <w:r>
            <w:rPr>
              <w:color w:val="auto"/>
              <w:sz w:val="28"/>
              <w:szCs w:val="28"/>
            </w:rPr>
            <w:fldChar w:fldCharType="separate"/>
          </w:r>
          <w:r>
            <w:rPr>
              <w:rStyle w:val="35"/>
              <w:color w:val="auto"/>
              <w:sz w:val="28"/>
              <w:szCs w:val="28"/>
            </w:rPr>
            <w:t>附表</w:t>
          </w:r>
          <w:r>
            <w:rPr>
              <w:color w:val="auto"/>
              <w:sz w:val="28"/>
              <w:szCs w:val="28"/>
            </w:rPr>
            <w:tab/>
          </w:r>
          <w:r>
            <w:rPr>
              <w:color w:val="auto"/>
              <w:sz w:val="28"/>
              <w:szCs w:val="28"/>
            </w:rPr>
            <w:fldChar w:fldCharType="begin"/>
          </w:r>
          <w:r>
            <w:rPr>
              <w:color w:val="auto"/>
              <w:sz w:val="28"/>
              <w:szCs w:val="28"/>
            </w:rPr>
            <w:instrText xml:space="preserve"> PAGEREF _Toc103860799 \h </w:instrText>
          </w:r>
          <w:r>
            <w:rPr>
              <w:color w:val="auto"/>
              <w:sz w:val="28"/>
              <w:szCs w:val="28"/>
            </w:rPr>
            <w:fldChar w:fldCharType="separate"/>
          </w:r>
          <w:r>
            <w:rPr>
              <w:color w:val="auto"/>
              <w:sz w:val="28"/>
              <w:szCs w:val="28"/>
            </w:rPr>
            <w:t>106</w:t>
          </w:r>
          <w:r>
            <w:rPr>
              <w:color w:val="auto"/>
              <w:sz w:val="28"/>
              <w:szCs w:val="28"/>
            </w:rPr>
            <w:fldChar w:fldCharType="end"/>
          </w:r>
          <w:r>
            <w:rPr>
              <w:color w:val="auto"/>
              <w:sz w:val="28"/>
              <w:szCs w:val="28"/>
            </w:rPr>
            <w:fldChar w:fldCharType="end"/>
          </w:r>
        </w:p>
        <w:p>
          <w:pPr>
            <w:pStyle w:val="19"/>
            <w:tabs>
              <w:tab w:val="right" w:leader="dot" w:pos="8834"/>
            </w:tabs>
            <w:ind w:firstLine="0" w:firstLineChars="0"/>
            <w:rPr>
              <w:rFonts w:asciiTheme="minorHAnsi" w:hAnsiTheme="minorHAnsi" w:eastAsiaTheme="minorEastAsia" w:cstheme="minorBidi"/>
              <w:color w:val="auto"/>
              <w:sz w:val="28"/>
              <w:szCs w:val="28"/>
            </w:rPr>
          </w:pPr>
          <w:r>
            <w:rPr>
              <w:color w:val="auto"/>
              <w:sz w:val="28"/>
              <w:szCs w:val="28"/>
            </w:rPr>
            <w:fldChar w:fldCharType="begin"/>
          </w:r>
          <w:r>
            <w:rPr>
              <w:color w:val="auto"/>
              <w:sz w:val="28"/>
              <w:szCs w:val="28"/>
            </w:rPr>
            <w:instrText xml:space="preserve"> HYPERLINK \l "_Toc103860800" </w:instrText>
          </w:r>
          <w:r>
            <w:rPr>
              <w:color w:val="auto"/>
              <w:sz w:val="28"/>
              <w:szCs w:val="28"/>
            </w:rPr>
            <w:fldChar w:fldCharType="separate"/>
          </w:r>
          <w:r>
            <w:rPr>
              <w:rStyle w:val="35"/>
              <w:color w:val="auto"/>
              <w:sz w:val="28"/>
              <w:szCs w:val="28"/>
            </w:rPr>
            <w:t>建设项目污染物排放量汇总表</w:t>
          </w:r>
          <w:r>
            <w:rPr>
              <w:color w:val="auto"/>
              <w:sz w:val="28"/>
              <w:szCs w:val="28"/>
            </w:rPr>
            <w:tab/>
          </w:r>
          <w:r>
            <w:rPr>
              <w:color w:val="auto"/>
              <w:sz w:val="28"/>
              <w:szCs w:val="28"/>
            </w:rPr>
            <w:fldChar w:fldCharType="begin"/>
          </w:r>
          <w:r>
            <w:rPr>
              <w:color w:val="auto"/>
              <w:sz w:val="28"/>
              <w:szCs w:val="28"/>
            </w:rPr>
            <w:instrText xml:space="preserve"> PAGEREF _Toc103860800 \h </w:instrText>
          </w:r>
          <w:r>
            <w:rPr>
              <w:color w:val="auto"/>
              <w:sz w:val="28"/>
              <w:szCs w:val="28"/>
            </w:rPr>
            <w:fldChar w:fldCharType="separate"/>
          </w:r>
          <w:r>
            <w:rPr>
              <w:color w:val="auto"/>
              <w:sz w:val="28"/>
              <w:szCs w:val="28"/>
            </w:rPr>
            <w:t>106</w:t>
          </w:r>
          <w:r>
            <w:rPr>
              <w:color w:val="auto"/>
              <w:sz w:val="28"/>
              <w:szCs w:val="28"/>
            </w:rPr>
            <w:fldChar w:fldCharType="end"/>
          </w:r>
          <w:r>
            <w:rPr>
              <w:color w:val="auto"/>
              <w:sz w:val="28"/>
              <w:szCs w:val="28"/>
            </w:rPr>
            <w:fldChar w:fldCharType="end"/>
          </w:r>
        </w:p>
        <w:p>
          <w:pPr>
            <w:wordWrap/>
            <w:ind w:firstLine="0" w:firstLineChars="0"/>
            <w:rPr>
              <w:rFonts w:hint="eastAsia" w:asciiTheme="minorEastAsia" w:hAnsiTheme="minorEastAsia" w:eastAsiaTheme="minorEastAsia"/>
              <w:b/>
              <w:bCs/>
              <w:color w:val="auto"/>
              <w:sz w:val="28"/>
              <w:szCs w:val="28"/>
              <w:lang w:val="en-US" w:eastAsia="zh-CN"/>
            </w:rPr>
          </w:pPr>
          <w:r>
            <w:rPr>
              <w:rFonts w:asciiTheme="minorEastAsia" w:hAnsiTheme="minorEastAsia" w:eastAsiaTheme="minorEastAsia"/>
              <w:b/>
              <w:bCs/>
              <w:color w:val="auto"/>
              <w:sz w:val="28"/>
              <w:szCs w:val="28"/>
              <w:lang w:val="zh-CN"/>
            </w:rPr>
            <w:fldChar w:fldCharType="end"/>
          </w:r>
          <w:r>
            <w:rPr>
              <w:rFonts w:hint="eastAsia" w:asciiTheme="minorEastAsia" w:hAnsiTheme="minorEastAsia" w:eastAsiaTheme="minorEastAsia"/>
              <w:b/>
              <w:bCs/>
              <w:color w:val="auto"/>
              <w:sz w:val="28"/>
              <w:szCs w:val="28"/>
              <w:lang w:val="en-US" w:eastAsia="zh-CN"/>
            </w:rPr>
            <w:t>项目专项</w:t>
          </w:r>
        </w:p>
        <w:p>
          <w:pPr>
            <w:ind w:firstLine="48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环境风险专项评价</w:t>
          </w:r>
        </w:p>
        <w:p>
          <w:pPr>
            <w:wordWrap/>
            <w:ind w:firstLine="0" w:firstLineChars="0"/>
            <w:rPr>
              <w:rFonts w:asciiTheme="minorEastAsia" w:hAnsiTheme="minorEastAsia" w:eastAsiaTheme="minorEastAsia"/>
              <w:b/>
              <w:bCs/>
              <w:color w:val="auto"/>
              <w:sz w:val="28"/>
              <w:szCs w:val="28"/>
              <w:lang w:val="zh-CN"/>
            </w:rPr>
          </w:pPr>
          <w:r>
            <w:rPr>
              <w:rFonts w:asciiTheme="minorEastAsia" w:hAnsiTheme="minorEastAsia" w:eastAsiaTheme="minorEastAsia"/>
              <w:b/>
              <w:bCs/>
              <w:color w:val="auto"/>
              <w:sz w:val="28"/>
              <w:szCs w:val="28"/>
              <w:lang w:val="zh-CN"/>
            </w:rPr>
            <w:t>附件</w:t>
          </w:r>
          <w:r>
            <w:rPr>
              <w:rFonts w:hint="eastAsia" w:asciiTheme="minorEastAsia" w:hAnsiTheme="minorEastAsia" w:eastAsiaTheme="minorEastAsia"/>
              <w:b/>
              <w:bCs/>
              <w:color w:val="auto"/>
              <w:sz w:val="28"/>
              <w:szCs w:val="28"/>
              <w:lang w:val="zh-CN"/>
            </w:rPr>
            <w:t>：</w:t>
          </w:r>
        </w:p>
        <w:p>
          <w:pPr>
            <w:ind w:firstLine="480"/>
            <w:rPr>
              <w:color w:val="auto"/>
              <w:sz w:val="24"/>
              <w:szCs w:val="24"/>
              <w:lang w:val="zh-CN"/>
            </w:rPr>
          </w:pPr>
          <w:r>
            <w:rPr>
              <w:rFonts w:hint="eastAsia"/>
              <w:color w:val="auto"/>
              <w:sz w:val="24"/>
              <w:szCs w:val="24"/>
              <w:lang w:val="zh-CN"/>
            </w:rPr>
            <w:t xml:space="preserve">附件1 </w:t>
          </w:r>
          <w:r>
            <w:rPr>
              <w:color w:val="auto"/>
              <w:sz w:val="24"/>
              <w:szCs w:val="24"/>
              <w:lang w:val="zh-CN"/>
            </w:rPr>
            <w:t xml:space="preserve"> </w:t>
          </w:r>
          <w:r>
            <w:rPr>
              <w:rFonts w:hint="eastAsia"/>
              <w:color w:val="auto"/>
              <w:sz w:val="24"/>
              <w:szCs w:val="24"/>
              <w:lang w:val="zh-CN"/>
            </w:rPr>
            <w:t>委托书</w:t>
          </w:r>
        </w:p>
        <w:p>
          <w:pPr>
            <w:ind w:firstLine="480"/>
            <w:rPr>
              <w:color w:val="auto"/>
              <w:sz w:val="24"/>
              <w:szCs w:val="24"/>
              <w:lang w:val="zh-CN"/>
            </w:rPr>
          </w:pPr>
          <w:r>
            <w:rPr>
              <w:rFonts w:hint="eastAsia"/>
              <w:color w:val="auto"/>
              <w:sz w:val="24"/>
              <w:szCs w:val="24"/>
              <w:lang w:val="zh-CN"/>
            </w:rPr>
            <w:t xml:space="preserve">附件2 </w:t>
          </w:r>
          <w:r>
            <w:rPr>
              <w:color w:val="auto"/>
              <w:sz w:val="24"/>
              <w:szCs w:val="24"/>
              <w:lang w:val="zh-CN"/>
            </w:rPr>
            <w:t xml:space="preserve"> </w:t>
          </w:r>
          <w:r>
            <w:rPr>
              <w:rFonts w:hint="eastAsia"/>
              <w:color w:val="auto"/>
              <w:sz w:val="24"/>
              <w:szCs w:val="24"/>
              <w:lang w:val="zh-CN"/>
            </w:rPr>
            <w:t>营业执照</w:t>
          </w:r>
        </w:p>
        <w:p>
          <w:pPr>
            <w:ind w:firstLine="480"/>
            <w:rPr>
              <w:color w:val="auto"/>
              <w:sz w:val="24"/>
              <w:szCs w:val="24"/>
              <w:lang w:val="zh-CN"/>
            </w:rPr>
          </w:pPr>
          <w:r>
            <w:rPr>
              <w:rFonts w:hint="eastAsia"/>
              <w:color w:val="auto"/>
              <w:sz w:val="24"/>
              <w:szCs w:val="24"/>
              <w:lang w:val="zh-CN"/>
            </w:rPr>
            <w:t xml:space="preserve">附件3 </w:t>
          </w:r>
          <w:r>
            <w:rPr>
              <w:color w:val="auto"/>
              <w:sz w:val="24"/>
              <w:szCs w:val="24"/>
              <w:lang w:val="zh-CN"/>
            </w:rPr>
            <w:t xml:space="preserve"> </w:t>
          </w:r>
          <w:r>
            <w:rPr>
              <w:rFonts w:hint="eastAsia"/>
              <w:color w:val="auto"/>
              <w:sz w:val="24"/>
              <w:szCs w:val="24"/>
              <w:lang w:val="zh-CN"/>
            </w:rPr>
            <w:t>投资项目备案证</w:t>
          </w:r>
        </w:p>
        <w:p>
          <w:pPr>
            <w:ind w:firstLine="480"/>
            <w:rPr>
              <w:color w:val="auto"/>
              <w:sz w:val="24"/>
              <w:szCs w:val="24"/>
              <w:lang w:val="zh-CN"/>
            </w:rPr>
          </w:pPr>
          <w:r>
            <w:rPr>
              <w:rFonts w:hint="eastAsia"/>
              <w:color w:val="auto"/>
              <w:sz w:val="24"/>
              <w:szCs w:val="24"/>
              <w:lang w:val="zh-CN"/>
            </w:rPr>
            <w:t>附件4  项目联合会商意见表</w:t>
          </w:r>
        </w:p>
        <w:p>
          <w:pPr>
            <w:ind w:firstLine="480"/>
            <w:rPr>
              <w:color w:val="auto"/>
              <w:sz w:val="24"/>
              <w:szCs w:val="24"/>
              <w:lang w:val="zh-CN"/>
            </w:rPr>
          </w:pPr>
          <w:r>
            <w:rPr>
              <w:rFonts w:hint="eastAsia"/>
              <w:color w:val="auto"/>
              <w:sz w:val="24"/>
              <w:szCs w:val="24"/>
              <w:lang w:val="zh-CN"/>
            </w:rPr>
            <w:t>附件5  招商引资协议</w:t>
          </w:r>
        </w:p>
        <w:p>
          <w:pPr>
            <w:ind w:firstLine="480"/>
            <w:rPr>
              <w:color w:val="auto"/>
              <w:sz w:val="24"/>
              <w:szCs w:val="24"/>
              <w:lang w:val="zh-CN"/>
            </w:rPr>
          </w:pPr>
          <w:r>
            <w:rPr>
              <w:rFonts w:hint="eastAsia"/>
              <w:color w:val="auto"/>
              <w:sz w:val="24"/>
              <w:szCs w:val="24"/>
              <w:lang w:val="zh-CN"/>
            </w:rPr>
            <w:t>附件6  三区三线查询结果告知函</w:t>
          </w:r>
        </w:p>
        <w:p>
          <w:pPr>
            <w:ind w:firstLine="480"/>
            <w:rPr>
              <w:color w:val="auto"/>
              <w:sz w:val="24"/>
              <w:szCs w:val="24"/>
              <w:lang w:val="zh-CN"/>
            </w:rPr>
          </w:pPr>
          <w:r>
            <w:rPr>
              <w:rFonts w:hint="eastAsia"/>
              <w:color w:val="auto"/>
              <w:sz w:val="24"/>
              <w:szCs w:val="24"/>
              <w:lang w:val="zh-CN"/>
            </w:rPr>
            <w:t>附件7  生产废水接纳说明</w:t>
          </w:r>
        </w:p>
        <w:p>
          <w:pPr>
            <w:ind w:firstLine="480"/>
            <w:rPr>
              <w:color w:val="auto"/>
              <w:sz w:val="24"/>
              <w:szCs w:val="24"/>
              <w:lang w:val="zh-CN"/>
            </w:rPr>
          </w:pPr>
          <w:r>
            <w:rPr>
              <w:rFonts w:hint="eastAsia"/>
              <w:color w:val="auto"/>
              <w:sz w:val="24"/>
              <w:szCs w:val="24"/>
              <w:lang w:val="zh-CN"/>
            </w:rPr>
            <w:t>附件8  用地情况说明</w:t>
          </w:r>
        </w:p>
        <w:p>
          <w:pPr>
            <w:ind w:firstLine="480"/>
            <w:rPr>
              <w:color w:val="auto"/>
              <w:sz w:val="24"/>
              <w:szCs w:val="24"/>
              <w:lang w:val="zh-CN"/>
            </w:rPr>
          </w:pPr>
          <w:r>
            <w:rPr>
              <w:rFonts w:hint="eastAsia"/>
              <w:color w:val="auto"/>
              <w:sz w:val="24"/>
              <w:szCs w:val="24"/>
              <w:lang w:val="zh-CN"/>
            </w:rPr>
            <w:t>附件9  动植物油</w:t>
          </w:r>
          <w:r>
            <w:rPr>
              <w:rFonts w:hint="eastAsia"/>
              <w:color w:val="auto"/>
              <w:sz w:val="24"/>
              <w:szCs w:val="24"/>
              <w:shd w:val="clear" w:fill="FFFFFF"/>
              <w:lang w:val="zh-CN"/>
            </w:rPr>
            <w:t>外售</w:t>
          </w:r>
          <w:r>
            <w:rPr>
              <w:rFonts w:hint="eastAsia"/>
              <w:color w:val="auto"/>
              <w:sz w:val="24"/>
              <w:szCs w:val="24"/>
              <w:lang w:val="zh-CN"/>
            </w:rPr>
            <w:t>协议</w:t>
          </w:r>
        </w:p>
        <w:p>
          <w:pPr>
            <w:ind w:firstLine="480"/>
            <w:rPr>
              <w:color w:val="auto"/>
              <w:sz w:val="24"/>
              <w:szCs w:val="24"/>
              <w:lang w:val="zh-CN"/>
            </w:rPr>
          </w:pPr>
          <w:r>
            <w:rPr>
              <w:rFonts w:hint="eastAsia"/>
              <w:color w:val="auto"/>
              <w:sz w:val="24"/>
              <w:szCs w:val="24"/>
              <w:lang w:val="zh-CN"/>
            </w:rPr>
            <w:t>附件1</w:t>
          </w:r>
          <w:r>
            <w:rPr>
              <w:color w:val="auto"/>
              <w:sz w:val="24"/>
              <w:szCs w:val="24"/>
              <w:lang w:val="zh-CN"/>
            </w:rPr>
            <w:t>0</w:t>
          </w:r>
          <w:r>
            <w:rPr>
              <w:rFonts w:hint="eastAsia"/>
              <w:color w:val="auto"/>
              <w:sz w:val="24"/>
              <w:szCs w:val="24"/>
              <w:lang w:val="zh-CN"/>
            </w:rPr>
            <w:t xml:space="preserve">  环境现状监测报告-YNZKBG20231226011</w:t>
          </w:r>
        </w:p>
        <w:p>
          <w:pPr>
            <w:ind w:firstLine="480"/>
            <w:rPr>
              <w:color w:val="auto"/>
              <w:sz w:val="24"/>
              <w:szCs w:val="24"/>
              <w:lang w:val="zh-CN"/>
            </w:rPr>
          </w:pPr>
          <w:r>
            <w:rPr>
              <w:rFonts w:hint="eastAsia"/>
              <w:color w:val="auto"/>
              <w:sz w:val="24"/>
              <w:szCs w:val="24"/>
              <w:lang w:val="zh-CN"/>
            </w:rPr>
            <w:t>附件11  地下水现状监测报告-YNZKBG20240131016</w:t>
          </w:r>
        </w:p>
        <w:p>
          <w:pPr>
            <w:ind w:firstLine="480"/>
            <w:rPr>
              <w:color w:val="auto"/>
              <w:sz w:val="24"/>
              <w:szCs w:val="24"/>
              <w:lang w:val="zh-CN"/>
            </w:rPr>
          </w:pPr>
          <w:r>
            <w:rPr>
              <w:rFonts w:hint="eastAsia"/>
              <w:color w:val="auto"/>
              <w:sz w:val="24"/>
              <w:szCs w:val="24"/>
              <w:lang w:val="zh-CN"/>
            </w:rPr>
            <w:t xml:space="preserve">附件12 </w:t>
          </w:r>
          <w:r>
            <w:rPr>
              <w:color w:val="auto"/>
              <w:sz w:val="24"/>
              <w:szCs w:val="24"/>
              <w:lang w:val="zh-CN"/>
            </w:rPr>
            <w:t xml:space="preserve"> </w:t>
          </w:r>
          <w:r>
            <w:rPr>
              <w:rFonts w:hint="eastAsia"/>
              <w:color w:val="auto"/>
              <w:sz w:val="24"/>
              <w:szCs w:val="24"/>
              <w:lang w:val="zh-CN"/>
            </w:rPr>
            <w:t>三线一单查询结果</w:t>
          </w:r>
        </w:p>
        <w:p>
          <w:pPr>
            <w:ind w:firstLine="480"/>
            <w:rPr>
              <w:color w:val="auto"/>
              <w:sz w:val="24"/>
              <w:szCs w:val="24"/>
              <w:lang w:val="zh-CN"/>
            </w:rPr>
          </w:pPr>
          <w:r>
            <w:rPr>
              <w:rFonts w:hint="eastAsia"/>
              <w:color w:val="auto"/>
              <w:sz w:val="24"/>
              <w:szCs w:val="24"/>
              <w:lang w:val="zh-CN"/>
            </w:rPr>
            <w:t>附件13  东侧散户公众意见表</w:t>
          </w:r>
        </w:p>
        <w:p>
          <w:pPr>
            <w:ind w:firstLine="480"/>
            <w:rPr>
              <w:rFonts w:hint="eastAsia"/>
              <w:color w:val="auto"/>
              <w:sz w:val="24"/>
              <w:szCs w:val="24"/>
              <w:lang w:val="zh-CN"/>
            </w:rPr>
          </w:pPr>
          <w:r>
            <w:rPr>
              <w:rFonts w:hint="eastAsia"/>
              <w:color w:val="auto"/>
              <w:sz w:val="24"/>
              <w:szCs w:val="24"/>
              <w:lang w:val="zh-CN"/>
            </w:rPr>
            <w:t>附件1</w:t>
          </w:r>
          <w:r>
            <w:rPr>
              <w:color w:val="auto"/>
              <w:sz w:val="24"/>
              <w:szCs w:val="24"/>
              <w:lang w:val="zh-CN"/>
            </w:rPr>
            <w:t>4</w:t>
          </w:r>
          <w:r>
            <w:rPr>
              <w:rFonts w:hint="eastAsia"/>
              <w:color w:val="auto"/>
              <w:sz w:val="24"/>
              <w:szCs w:val="24"/>
              <w:lang w:val="zh-CN"/>
            </w:rPr>
            <w:t xml:space="preserve">  生物质燃料检测报告</w:t>
          </w:r>
        </w:p>
        <w:p>
          <w:pPr>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 xml:space="preserve">  原项目环评批复</w:t>
          </w:r>
        </w:p>
        <w:p>
          <w:pPr>
            <w:ind w:firstLine="480"/>
            <w:rPr>
              <w:color w:val="auto"/>
              <w:sz w:val="24"/>
              <w:szCs w:val="24"/>
              <w:lang w:val="zh-CN"/>
            </w:rPr>
          </w:pPr>
          <w:r>
            <w:rPr>
              <w:rFonts w:hint="eastAsia"/>
              <w:color w:val="auto"/>
              <w:sz w:val="24"/>
              <w:szCs w:val="24"/>
              <w:lang w:val="zh-CN"/>
            </w:rPr>
            <w:t>附件</w:t>
          </w:r>
          <w:r>
            <w:rPr>
              <w:color w:val="auto"/>
              <w:sz w:val="24"/>
              <w:szCs w:val="24"/>
              <w:lang w:val="zh-CN"/>
            </w:rPr>
            <w:t>1</w:t>
          </w:r>
          <w:r>
            <w:rPr>
              <w:rFonts w:hint="eastAsia"/>
              <w:color w:val="auto"/>
              <w:sz w:val="24"/>
              <w:szCs w:val="24"/>
              <w:lang w:val="en-US" w:eastAsia="zh-CN"/>
            </w:rPr>
            <w:t>6</w:t>
          </w:r>
          <w:r>
            <w:rPr>
              <w:color w:val="auto"/>
              <w:sz w:val="24"/>
              <w:szCs w:val="24"/>
              <w:lang w:val="zh-CN"/>
            </w:rPr>
            <w:t xml:space="preserve">  </w:t>
          </w:r>
          <w:r>
            <w:rPr>
              <w:rFonts w:hint="eastAsia"/>
              <w:color w:val="auto"/>
              <w:sz w:val="24"/>
              <w:szCs w:val="24"/>
              <w:lang w:val="zh-CN"/>
            </w:rPr>
            <w:t>内部审核表</w:t>
          </w:r>
        </w:p>
        <w:p>
          <w:pPr>
            <w:ind w:firstLine="480"/>
            <w:rPr>
              <w:color w:val="auto"/>
              <w:sz w:val="24"/>
              <w:szCs w:val="24"/>
              <w:lang w:val="zh-CN"/>
            </w:rPr>
          </w:pPr>
          <w:r>
            <w:rPr>
              <w:rFonts w:hint="eastAsia"/>
              <w:color w:val="auto"/>
              <w:sz w:val="24"/>
              <w:szCs w:val="24"/>
              <w:lang w:val="zh-CN"/>
            </w:rPr>
            <w:t>附件</w:t>
          </w:r>
          <w:r>
            <w:rPr>
              <w:color w:val="auto"/>
              <w:sz w:val="24"/>
              <w:szCs w:val="24"/>
              <w:lang w:val="zh-CN"/>
            </w:rPr>
            <w:t>1</w:t>
          </w:r>
          <w:r>
            <w:rPr>
              <w:rFonts w:hint="eastAsia"/>
              <w:color w:val="auto"/>
              <w:sz w:val="24"/>
              <w:szCs w:val="24"/>
              <w:lang w:val="en-US" w:eastAsia="zh-CN"/>
            </w:rPr>
            <w:t>7</w:t>
          </w:r>
          <w:r>
            <w:rPr>
              <w:color w:val="auto"/>
              <w:sz w:val="24"/>
              <w:szCs w:val="24"/>
              <w:lang w:val="zh-CN"/>
            </w:rPr>
            <w:t xml:space="preserve">  </w:t>
          </w:r>
          <w:r>
            <w:rPr>
              <w:rFonts w:hint="eastAsia"/>
              <w:color w:val="auto"/>
              <w:sz w:val="24"/>
              <w:szCs w:val="24"/>
              <w:lang w:val="zh-CN"/>
            </w:rPr>
            <w:t>进度管理表</w:t>
          </w:r>
        </w:p>
        <w:p>
          <w:pPr>
            <w:ind w:firstLine="480"/>
            <w:rPr>
              <w:color w:val="auto"/>
              <w:sz w:val="24"/>
              <w:szCs w:val="24"/>
              <w:lang w:val="zh-CN"/>
            </w:rPr>
          </w:pPr>
          <w:r>
            <w:rPr>
              <w:rFonts w:hint="eastAsia"/>
              <w:color w:val="auto"/>
              <w:sz w:val="24"/>
              <w:szCs w:val="24"/>
              <w:lang w:val="zh-CN"/>
            </w:rPr>
            <w:t>附件</w:t>
          </w:r>
          <w:r>
            <w:rPr>
              <w:color w:val="auto"/>
              <w:sz w:val="24"/>
              <w:szCs w:val="24"/>
              <w:lang w:val="zh-CN"/>
            </w:rPr>
            <w:t>1</w:t>
          </w:r>
          <w:r>
            <w:rPr>
              <w:rFonts w:hint="eastAsia"/>
              <w:color w:val="auto"/>
              <w:sz w:val="24"/>
              <w:szCs w:val="24"/>
              <w:lang w:val="en-US" w:eastAsia="zh-CN"/>
            </w:rPr>
            <w:t>8</w:t>
          </w:r>
          <w:r>
            <w:rPr>
              <w:color w:val="auto"/>
              <w:sz w:val="24"/>
              <w:szCs w:val="24"/>
              <w:lang w:val="zh-CN"/>
            </w:rPr>
            <w:t xml:space="preserve">  </w:t>
          </w:r>
          <w:r>
            <w:rPr>
              <w:rFonts w:hint="eastAsia"/>
              <w:color w:val="auto"/>
              <w:sz w:val="24"/>
              <w:szCs w:val="24"/>
              <w:lang w:val="zh-CN"/>
            </w:rPr>
            <w:t>确认书</w:t>
          </w:r>
        </w:p>
        <w:p>
          <w:pPr>
            <w:wordWrap/>
            <w:ind w:firstLine="0" w:firstLineChars="0"/>
            <w:rPr>
              <w:rFonts w:asciiTheme="minorEastAsia" w:hAnsiTheme="minorEastAsia" w:eastAsiaTheme="minorEastAsia"/>
              <w:b/>
              <w:bCs/>
              <w:color w:val="auto"/>
              <w:sz w:val="28"/>
              <w:szCs w:val="28"/>
              <w:lang w:val="zh-CN"/>
            </w:rPr>
          </w:pPr>
          <w:r>
            <w:rPr>
              <w:rFonts w:hint="eastAsia" w:asciiTheme="minorEastAsia" w:hAnsiTheme="minorEastAsia" w:eastAsiaTheme="minorEastAsia"/>
              <w:b/>
              <w:bCs/>
              <w:color w:val="auto"/>
              <w:sz w:val="28"/>
              <w:szCs w:val="28"/>
              <w:lang w:val="zh-CN"/>
            </w:rPr>
            <w:t>附图：</w:t>
          </w:r>
        </w:p>
        <w:p>
          <w:pPr>
            <w:wordWrap/>
            <w:ind w:firstLine="480"/>
            <w:rPr>
              <w:color w:val="auto"/>
              <w:sz w:val="24"/>
              <w:szCs w:val="24"/>
            </w:rPr>
          </w:pPr>
          <w:r>
            <w:rPr>
              <w:rFonts w:hint="eastAsia"/>
              <w:color w:val="auto"/>
              <w:sz w:val="24"/>
              <w:szCs w:val="24"/>
            </w:rPr>
            <w:t xml:space="preserve">附图1 </w:t>
          </w:r>
          <w:r>
            <w:rPr>
              <w:color w:val="auto"/>
              <w:sz w:val="24"/>
              <w:szCs w:val="24"/>
            </w:rPr>
            <w:t xml:space="preserve"> </w:t>
          </w:r>
          <w:r>
            <w:rPr>
              <w:rFonts w:hint="eastAsia"/>
              <w:color w:val="auto"/>
              <w:sz w:val="24"/>
              <w:szCs w:val="24"/>
            </w:rPr>
            <w:t>项目区地理位置图</w:t>
          </w:r>
        </w:p>
        <w:p>
          <w:pPr>
            <w:wordWrap/>
            <w:ind w:firstLine="480"/>
            <w:rPr>
              <w:color w:val="auto"/>
              <w:sz w:val="24"/>
              <w:szCs w:val="24"/>
            </w:rPr>
          </w:pPr>
          <w:r>
            <w:rPr>
              <w:rFonts w:hint="eastAsia"/>
              <w:color w:val="auto"/>
              <w:sz w:val="24"/>
              <w:szCs w:val="24"/>
            </w:rPr>
            <w:t xml:space="preserve">附图2 </w:t>
          </w:r>
          <w:r>
            <w:rPr>
              <w:color w:val="auto"/>
              <w:sz w:val="24"/>
              <w:szCs w:val="24"/>
            </w:rPr>
            <w:t xml:space="preserve"> </w:t>
          </w:r>
          <w:r>
            <w:rPr>
              <w:rFonts w:hint="eastAsia"/>
              <w:color w:val="auto"/>
              <w:sz w:val="24"/>
              <w:szCs w:val="24"/>
            </w:rPr>
            <w:t>项目区水系图</w:t>
          </w:r>
        </w:p>
        <w:p>
          <w:pPr>
            <w:wordWrap/>
            <w:ind w:firstLine="480"/>
            <w:rPr>
              <w:color w:val="auto"/>
              <w:sz w:val="24"/>
              <w:szCs w:val="24"/>
            </w:rPr>
          </w:pPr>
          <w:r>
            <w:rPr>
              <w:rFonts w:hint="eastAsia"/>
              <w:color w:val="auto"/>
              <w:sz w:val="24"/>
              <w:szCs w:val="24"/>
            </w:rPr>
            <w:t>附图3  项目评价范围及环境保护目标图</w:t>
          </w:r>
        </w:p>
        <w:p>
          <w:pPr>
            <w:wordWrap/>
            <w:ind w:firstLine="480"/>
            <w:rPr>
              <w:color w:val="auto"/>
              <w:sz w:val="24"/>
              <w:szCs w:val="24"/>
            </w:rPr>
          </w:pPr>
          <w:r>
            <w:rPr>
              <w:rFonts w:hint="eastAsia"/>
              <w:color w:val="auto"/>
              <w:sz w:val="24"/>
              <w:szCs w:val="24"/>
            </w:rPr>
            <w:t xml:space="preserve">附图4 </w:t>
          </w:r>
          <w:r>
            <w:rPr>
              <w:color w:val="auto"/>
              <w:sz w:val="24"/>
              <w:szCs w:val="24"/>
            </w:rPr>
            <w:t xml:space="preserve"> </w:t>
          </w:r>
          <w:r>
            <w:rPr>
              <w:rFonts w:hint="eastAsia"/>
              <w:color w:val="auto"/>
              <w:sz w:val="24"/>
              <w:szCs w:val="24"/>
            </w:rPr>
            <w:t>总平面布置图</w:t>
          </w:r>
        </w:p>
        <w:p>
          <w:pPr>
            <w:wordWrap/>
            <w:ind w:firstLine="480"/>
            <w:rPr>
              <w:color w:val="auto"/>
              <w:sz w:val="24"/>
              <w:szCs w:val="24"/>
            </w:rPr>
          </w:pPr>
          <w:r>
            <w:rPr>
              <w:rFonts w:hint="eastAsia"/>
              <w:color w:val="auto"/>
              <w:sz w:val="24"/>
              <w:szCs w:val="24"/>
            </w:rPr>
            <w:t>附图5</w:t>
          </w:r>
          <w:r>
            <w:rPr>
              <w:color w:val="auto"/>
              <w:sz w:val="24"/>
              <w:szCs w:val="24"/>
            </w:rPr>
            <w:t xml:space="preserve"> </w:t>
          </w:r>
          <w:r>
            <w:rPr>
              <w:rFonts w:hint="eastAsia"/>
              <w:color w:val="auto"/>
              <w:sz w:val="24"/>
              <w:szCs w:val="24"/>
            </w:rPr>
            <w:t xml:space="preserve"> 防渗分区图</w:t>
          </w:r>
        </w:p>
        <w:p>
          <w:pPr>
            <w:wordWrap/>
            <w:ind w:firstLine="480"/>
            <w:rPr>
              <w:rFonts w:hint="eastAsia"/>
              <w:color w:val="auto"/>
              <w:sz w:val="24"/>
              <w:szCs w:val="24"/>
            </w:rPr>
          </w:pPr>
          <w:r>
            <w:rPr>
              <w:rFonts w:hint="eastAsia"/>
              <w:color w:val="auto"/>
              <w:sz w:val="24"/>
              <w:szCs w:val="24"/>
            </w:rPr>
            <w:t xml:space="preserve">附图6 </w:t>
          </w:r>
          <w:r>
            <w:rPr>
              <w:color w:val="auto"/>
              <w:sz w:val="24"/>
              <w:szCs w:val="24"/>
            </w:rPr>
            <w:t xml:space="preserve"> </w:t>
          </w:r>
          <w:r>
            <w:rPr>
              <w:rFonts w:hint="eastAsia"/>
              <w:color w:val="auto"/>
              <w:sz w:val="24"/>
              <w:szCs w:val="24"/>
            </w:rPr>
            <w:t>环境现状监测点位图</w:t>
          </w:r>
        </w:p>
        <w:p>
          <w:pPr>
            <w:wordWrap/>
            <w:ind w:firstLine="0" w:firstLineChars="0"/>
            <w:rPr>
              <w:rFonts w:hint="eastAsia" w:asciiTheme="minorEastAsia" w:hAnsiTheme="minorEastAsia" w:eastAsiaTheme="minorEastAsia"/>
              <w:b/>
              <w:bCs/>
              <w:color w:val="auto"/>
              <w:sz w:val="28"/>
              <w:szCs w:val="28"/>
              <w:lang w:val="en-US" w:eastAsia="zh-CN"/>
            </w:rPr>
          </w:pPr>
          <w:r>
            <w:rPr>
              <w:rFonts w:hint="eastAsia" w:asciiTheme="minorEastAsia" w:hAnsiTheme="minorEastAsia" w:eastAsiaTheme="minorEastAsia"/>
              <w:b/>
              <w:bCs/>
              <w:color w:val="auto"/>
              <w:sz w:val="28"/>
              <w:szCs w:val="28"/>
              <w:lang w:val="en-US" w:eastAsia="zh-CN"/>
            </w:rPr>
            <w:t>其他：</w:t>
          </w:r>
        </w:p>
        <w:p>
          <w:pPr>
            <w:wordWrap/>
            <w:ind w:firstLine="480"/>
            <w:rPr>
              <w:rFonts w:hint="eastAsia"/>
              <w:color w:val="auto"/>
              <w:sz w:val="24"/>
              <w:szCs w:val="24"/>
              <w:lang w:val="en-US" w:eastAsia="zh-CN"/>
            </w:rPr>
          </w:pPr>
          <w:r>
            <w:rPr>
              <w:rFonts w:hint="eastAsia"/>
              <w:color w:val="auto"/>
              <w:sz w:val="24"/>
              <w:szCs w:val="24"/>
              <w:lang w:val="en-US" w:eastAsia="zh-CN"/>
            </w:rPr>
            <w:t>师宗县餐厨废弃油脂回收综合利用项目一期工程（重新报批）环境影响报告表技术评估意见</w:t>
          </w:r>
        </w:p>
        <w:p>
          <w:pPr>
            <w:wordWrap/>
            <w:ind w:firstLine="480"/>
            <w:rPr>
              <w:rFonts w:hint="default"/>
              <w:color w:val="auto"/>
              <w:sz w:val="24"/>
              <w:szCs w:val="24"/>
              <w:lang w:val="en-US" w:eastAsia="zh-CN"/>
            </w:rPr>
          </w:pPr>
          <w:r>
            <w:rPr>
              <w:rFonts w:hint="eastAsia"/>
              <w:color w:val="auto"/>
              <w:sz w:val="24"/>
              <w:szCs w:val="24"/>
              <w:lang w:val="en-US" w:eastAsia="zh-CN"/>
            </w:rPr>
            <w:t>项目技术评估意见修改对照表</w:t>
          </w:r>
        </w:p>
        <w:p>
          <w:pPr>
            <w:wordWrap/>
            <w:ind w:left="0" w:leftChars="0" w:firstLine="0" w:firstLineChars="0"/>
            <w:rPr>
              <w:rFonts w:hint="eastAsia"/>
              <w:color w:val="auto"/>
              <w:sz w:val="24"/>
              <w:szCs w:val="24"/>
              <w:lang w:val="en-US" w:eastAsia="zh-CN"/>
            </w:rPr>
          </w:pPr>
        </w:p>
        <w:p>
          <w:pPr>
            <w:wordWrap/>
            <w:ind w:firstLine="480"/>
            <w:rPr>
              <w:color w:val="auto"/>
            </w:rPr>
          </w:pPr>
        </w:p>
      </w:sdtContent>
    </w:sdt>
    <w:p>
      <w:pPr>
        <w:adjustRightInd w:val="0"/>
        <w:snapToGrid w:val="0"/>
        <w:spacing w:line="288" w:lineRule="auto"/>
        <w:ind w:firstLine="0" w:firstLineChars="0"/>
        <w:rPr>
          <w:rFonts w:ascii="仿宋_GB2312" w:eastAsia="仿宋_GB2312"/>
          <w:color w:val="auto"/>
          <w:sz w:val="36"/>
          <w:szCs w:val="36"/>
        </w:rPr>
      </w:pPr>
    </w:p>
    <w:p>
      <w:pPr>
        <w:adjustRightInd w:val="0"/>
        <w:snapToGrid w:val="0"/>
        <w:spacing w:line="288" w:lineRule="auto"/>
        <w:ind w:firstLine="0" w:firstLineChars="0"/>
        <w:rPr>
          <w:rFonts w:ascii="仿宋_GB2312"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567" w:footer="1077" w:gutter="0"/>
          <w:pgNumType w:fmt="lowerRoman" w:start="1"/>
          <w:cols w:space="720" w:num="1"/>
          <w:docGrid w:linePitch="312"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s="Times New Roman"/>
          <w:color w:val="auto"/>
        </w:rPr>
      </w:pPr>
      <w:bookmarkStart w:id="0" w:name="_Toc103860793"/>
      <w:r>
        <w:rPr>
          <w:rFonts w:hint="eastAsia" w:cs="Times New Roman"/>
          <w:color w:val="auto"/>
        </w:rPr>
        <w:t>一、建设项目基本情况</w:t>
      </w:r>
      <w:bookmarkEnd w:id="0"/>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35"/>
        <w:gridCol w:w="1282"/>
        <w:gridCol w:w="2174"/>
        <w:gridCol w:w="1960"/>
        <w:gridCol w:w="29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建设项目名称</w:t>
            </w:r>
          </w:p>
        </w:tc>
        <w:tc>
          <w:tcPr>
            <w:tcW w:w="3954" w:type="pct"/>
            <w:gridSpan w:val="3"/>
            <w:vAlign w:val="center"/>
          </w:tcPr>
          <w:p>
            <w:pPr>
              <w:pStyle w:val="59"/>
              <w:rPr>
                <w:rFonts w:hint="eastAsia" w:eastAsia="宋体"/>
                <w:color w:val="auto"/>
                <w:szCs w:val="24"/>
                <w:lang w:eastAsia="zh-CN"/>
              </w:rPr>
            </w:pPr>
            <w:r>
              <w:rPr>
                <w:rFonts w:hint="eastAsia"/>
                <w:color w:val="auto"/>
                <w:szCs w:val="24"/>
                <w:lang w:eastAsia="zh-CN"/>
              </w:rPr>
              <w:t>师宗县餐厨废弃油脂回收综合利用项目一期工程（</w:t>
            </w:r>
            <w:r>
              <w:rPr>
                <w:rFonts w:hint="eastAsia"/>
                <w:color w:val="auto"/>
                <w:szCs w:val="24"/>
                <w:lang w:val="en-US" w:eastAsia="zh-CN"/>
              </w:rPr>
              <w:t>重新报批</w:t>
            </w:r>
            <w:r>
              <w:rPr>
                <w:rFonts w:hint="eastAsia"/>
                <w:color w:val="auto"/>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项目代码</w:t>
            </w:r>
          </w:p>
        </w:tc>
        <w:tc>
          <w:tcPr>
            <w:tcW w:w="3954" w:type="pct"/>
            <w:gridSpan w:val="3"/>
            <w:vAlign w:val="center"/>
          </w:tcPr>
          <w:p>
            <w:pPr>
              <w:pStyle w:val="59"/>
              <w:rPr>
                <w:color w:val="auto"/>
                <w:szCs w:val="24"/>
              </w:rPr>
            </w:pPr>
            <w:r>
              <w:rPr>
                <w:color w:val="auto"/>
                <w:szCs w:val="24"/>
              </w:rPr>
              <w:t>210</w:t>
            </w:r>
            <w:r>
              <w:rPr>
                <w:rFonts w:hint="eastAsia"/>
                <w:color w:val="auto"/>
                <w:szCs w:val="24"/>
              </w:rPr>
              <w:t>9</w:t>
            </w:r>
            <w:r>
              <w:rPr>
                <w:color w:val="auto"/>
                <w:szCs w:val="24"/>
              </w:rPr>
              <w:t>-53032</w:t>
            </w:r>
            <w:r>
              <w:rPr>
                <w:rFonts w:hint="eastAsia"/>
                <w:color w:val="auto"/>
                <w:szCs w:val="24"/>
              </w:rPr>
              <w:t>3</w:t>
            </w:r>
            <w:r>
              <w:rPr>
                <w:color w:val="auto"/>
                <w:szCs w:val="24"/>
              </w:rPr>
              <w:t>-</w:t>
            </w:r>
            <w:r>
              <w:rPr>
                <w:rFonts w:hint="eastAsia"/>
                <w:color w:val="auto"/>
                <w:szCs w:val="24"/>
              </w:rPr>
              <w:t>04</w:t>
            </w:r>
            <w:r>
              <w:rPr>
                <w:color w:val="auto"/>
                <w:szCs w:val="24"/>
              </w:rPr>
              <w:t>-01-</w:t>
            </w:r>
            <w:r>
              <w:rPr>
                <w:rFonts w:hint="eastAsia"/>
                <w:color w:val="auto"/>
                <w:szCs w:val="24"/>
              </w:rPr>
              <w:t>222394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建设单位联系人</w:t>
            </w:r>
          </w:p>
        </w:tc>
        <w:tc>
          <w:tcPr>
            <w:tcW w:w="1219" w:type="pct"/>
            <w:vAlign w:val="center"/>
          </w:tcPr>
          <w:p>
            <w:pPr>
              <w:pStyle w:val="59"/>
              <w:rPr>
                <w:rFonts w:hint="default" w:eastAsia="宋体"/>
                <w:color w:val="auto"/>
                <w:szCs w:val="24"/>
                <w:lang w:val="en-US" w:eastAsia="zh-CN"/>
              </w:rPr>
            </w:pPr>
            <w:r>
              <w:rPr>
                <w:rFonts w:hint="eastAsia"/>
                <w:color w:val="auto"/>
                <w:szCs w:val="24"/>
              </w:rPr>
              <w:t>赵</w:t>
            </w:r>
            <w:r>
              <w:rPr>
                <w:rFonts w:hint="eastAsia"/>
                <w:color w:val="auto"/>
                <w:szCs w:val="24"/>
                <w:lang w:val="en-US" w:eastAsia="zh-CN"/>
              </w:rPr>
              <w:t>XX</w:t>
            </w:r>
          </w:p>
        </w:tc>
        <w:tc>
          <w:tcPr>
            <w:tcW w:w="1099" w:type="pct"/>
            <w:vAlign w:val="center"/>
          </w:tcPr>
          <w:p>
            <w:pPr>
              <w:pStyle w:val="59"/>
              <w:rPr>
                <w:color w:val="auto"/>
                <w:szCs w:val="24"/>
              </w:rPr>
            </w:pPr>
            <w:r>
              <w:rPr>
                <w:rFonts w:hint="eastAsia"/>
                <w:color w:val="auto"/>
                <w:szCs w:val="24"/>
              </w:rPr>
              <w:t>联系方式</w:t>
            </w:r>
          </w:p>
        </w:tc>
        <w:tc>
          <w:tcPr>
            <w:tcW w:w="1636" w:type="pct"/>
            <w:vAlign w:val="center"/>
          </w:tcPr>
          <w:p>
            <w:pPr>
              <w:pStyle w:val="59"/>
              <w:rPr>
                <w:rFonts w:hint="default" w:eastAsia="宋体"/>
                <w:color w:val="auto"/>
                <w:szCs w:val="24"/>
                <w:lang w:val="en-US" w:eastAsia="zh-CN"/>
              </w:rPr>
            </w:pPr>
            <w:r>
              <w:rPr>
                <w:rFonts w:hint="eastAsia"/>
                <w:color w:val="auto"/>
                <w:szCs w:val="24"/>
              </w:rPr>
              <w:t>1597463</w:t>
            </w:r>
            <w:r>
              <w:rPr>
                <w:rFonts w:hint="eastAsia"/>
                <w:color w:val="auto"/>
                <w:szCs w:val="24"/>
                <w:lang w:val="en-US" w:eastAsia="zh-CN"/>
              </w:rPr>
              <w:t>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建设地点</w:t>
            </w:r>
          </w:p>
        </w:tc>
        <w:tc>
          <w:tcPr>
            <w:tcW w:w="3954" w:type="pct"/>
            <w:gridSpan w:val="3"/>
            <w:vAlign w:val="center"/>
          </w:tcPr>
          <w:p>
            <w:pPr>
              <w:pStyle w:val="59"/>
              <w:rPr>
                <w:rFonts w:hint="eastAsia" w:eastAsia="宋体"/>
                <w:color w:val="auto"/>
                <w:szCs w:val="24"/>
                <w:lang w:eastAsia="zh-CN"/>
              </w:rPr>
            </w:pPr>
            <w:r>
              <w:rPr>
                <w:rFonts w:hint="eastAsia"/>
                <w:color w:val="auto"/>
                <w:szCs w:val="24"/>
                <w:lang w:eastAsia="zh-CN"/>
              </w:rPr>
              <w:t>师宗县彩云镇彩云中学砖厂</w:t>
            </w:r>
            <w:r>
              <w:rPr>
                <w:rFonts w:hint="eastAsia"/>
                <w:color w:val="auto"/>
                <w:szCs w:val="24"/>
                <w:shd w:val="clear" w:fill="FFFFFF"/>
                <w:lang w:eastAsia="zh-CN"/>
              </w:rPr>
              <w:t>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地理坐标</w:t>
            </w:r>
          </w:p>
        </w:tc>
        <w:tc>
          <w:tcPr>
            <w:tcW w:w="3954" w:type="pct"/>
            <w:gridSpan w:val="3"/>
            <w:vAlign w:val="center"/>
          </w:tcPr>
          <w:p>
            <w:pPr>
              <w:pStyle w:val="59"/>
              <w:rPr>
                <w:color w:val="auto"/>
                <w:szCs w:val="24"/>
              </w:rPr>
            </w:pPr>
            <w:r>
              <w:rPr>
                <w:rFonts w:hint="eastAsia"/>
                <w:color w:val="auto"/>
                <w:szCs w:val="24"/>
                <w:u w:val="single"/>
              </w:rPr>
              <w:t>10</w:t>
            </w:r>
            <w:r>
              <w:rPr>
                <w:color w:val="auto"/>
                <w:szCs w:val="24"/>
                <w:u w:val="single"/>
              </w:rPr>
              <w:t>3</w:t>
            </w:r>
            <w:r>
              <w:rPr>
                <w:rFonts w:hint="eastAsia"/>
                <w:color w:val="auto"/>
                <w:szCs w:val="24"/>
              </w:rPr>
              <w:t>度</w:t>
            </w:r>
            <w:r>
              <w:rPr>
                <w:color w:val="auto"/>
                <w:szCs w:val="24"/>
                <w:u w:val="single"/>
              </w:rPr>
              <w:t>54</w:t>
            </w:r>
            <w:r>
              <w:rPr>
                <w:rFonts w:hint="eastAsia"/>
                <w:color w:val="auto"/>
                <w:szCs w:val="24"/>
              </w:rPr>
              <w:t>分</w:t>
            </w:r>
            <w:r>
              <w:rPr>
                <w:color w:val="auto"/>
                <w:szCs w:val="24"/>
                <w:u w:val="single"/>
              </w:rPr>
              <w:t>49.865</w:t>
            </w:r>
            <w:r>
              <w:rPr>
                <w:rFonts w:hint="eastAsia"/>
                <w:color w:val="auto"/>
                <w:szCs w:val="24"/>
              </w:rPr>
              <w:t>秒，</w:t>
            </w:r>
            <w:r>
              <w:rPr>
                <w:rFonts w:hint="eastAsia"/>
                <w:color w:val="auto"/>
                <w:szCs w:val="24"/>
                <w:u w:val="single"/>
              </w:rPr>
              <w:t>2</w:t>
            </w:r>
            <w:r>
              <w:rPr>
                <w:color w:val="auto"/>
                <w:szCs w:val="24"/>
                <w:u w:val="single"/>
              </w:rPr>
              <w:t>4</w:t>
            </w:r>
            <w:r>
              <w:rPr>
                <w:rFonts w:hint="eastAsia"/>
                <w:color w:val="auto"/>
                <w:szCs w:val="24"/>
              </w:rPr>
              <w:t>度</w:t>
            </w:r>
            <w:r>
              <w:rPr>
                <w:color w:val="auto"/>
                <w:szCs w:val="24"/>
                <w:u w:val="single"/>
              </w:rPr>
              <w:t>42</w:t>
            </w:r>
            <w:r>
              <w:rPr>
                <w:rFonts w:hint="eastAsia"/>
                <w:color w:val="auto"/>
                <w:szCs w:val="24"/>
              </w:rPr>
              <w:t>分</w:t>
            </w:r>
            <w:r>
              <w:rPr>
                <w:color w:val="auto"/>
                <w:szCs w:val="24"/>
                <w:u w:val="single"/>
              </w:rPr>
              <w:t>46.576</w:t>
            </w:r>
            <w:r>
              <w:rPr>
                <w:rFonts w:hint="eastAsia"/>
                <w:color w:val="auto"/>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国民经济</w:t>
            </w:r>
          </w:p>
          <w:p>
            <w:pPr>
              <w:pStyle w:val="59"/>
              <w:rPr>
                <w:color w:val="auto"/>
                <w:szCs w:val="24"/>
              </w:rPr>
            </w:pPr>
            <w:r>
              <w:rPr>
                <w:rFonts w:hint="eastAsia"/>
                <w:color w:val="auto"/>
                <w:szCs w:val="24"/>
              </w:rPr>
              <w:t>行业类别</w:t>
            </w:r>
          </w:p>
        </w:tc>
        <w:tc>
          <w:tcPr>
            <w:tcW w:w="1219" w:type="pct"/>
            <w:vAlign w:val="center"/>
          </w:tcPr>
          <w:p>
            <w:pPr>
              <w:pStyle w:val="59"/>
              <w:rPr>
                <w:color w:val="auto"/>
                <w:szCs w:val="24"/>
              </w:rPr>
            </w:pPr>
            <w:r>
              <w:rPr>
                <w:rFonts w:hint="eastAsia"/>
                <w:color w:val="auto"/>
                <w:szCs w:val="24"/>
              </w:rPr>
              <w:t>N7820环境卫生管理</w:t>
            </w:r>
          </w:p>
        </w:tc>
        <w:tc>
          <w:tcPr>
            <w:tcW w:w="1099" w:type="pct"/>
            <w:vAlign w:val="center"/>
          </w:tcPr>
          <w:p>
            <w:pPr>
              <w:pStyle w:val="59"/>
              <w:rPr>
                <w:color w:val="auto"/>
                <w:szCs w:val="24"/>
              </w:rPr>
            </w:pPr>
            <w:bookmarkStart w:id="1" w:name="_Hlk49843745"/>
            <w:r>
              <w:rPr>
                <w:rFonts w:hint="eastAsia"/>
                <w:color w:val="auto"/>
                <w:szCs w:val="24"/>
              </w:rPr>
              <w:t>建设项目行业类别</w:t>
            </w:r>
            <w:bookmarkEnd w:id="1"/>
          </w:p>
        </w:tc>
        <w:tc>
          <w:tcPr>
            <w:tcW w:w="1636" w:type="pct"/>
            <w:vAlign w:val="center"/>
          </w:tcPr>
          <w:p>
            <w:pPr>
              <w:pStyle w:val="59"/>
              <w:rPr>
                <w:color w:val="auto"/>
                <w:szCs w:val="24"/>
              </w:rPr>
            </w:pPr>
            <w:r>
              <w:rPr>
                <w:rFonts w:hint="eastAsia"/>
                <w:color w:val="auto"/>
                <w:szCs w:val="24"/>
              </w:rPr>
              <w:t>四十八、公共设施管理业</w:t>
            </w:r>
            <w:r>
              <w:rPr>
                <w:color w:val="auto"/>
                <w:szCs w:val="24"/>
              </w:rPr>
              <w:t>、</w:t>
            </w:r>
            <w:r>
              <w:rPr>
                <w:rFonts w:hint="eastAsia"/>
                <w:color w:val="auto"/>
                <w:szCs w:val="24"/>
              </w:rPr>
              <w:t>106生活垃圾（含餐厨废弃物）集中处置（生活垃圾发电除外）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建设性质</w:t>
            </w:r>
          </w:p>
        </w:tc>
        <w:tc>
          <w:tcPr>
            <w:tcW w:w="1219" w:type="pct"/>
            <w:vAlign w:val="center"/>
          </w:tcPr>
          <w:p>
            <w:pPr>
              <w:pStyle w:val="59"/>
              <w:jc w:val="left"/>
              <w:rPr>
                <w:color w:val="auto"/>
                <w:szCs w:val="24"/>
              </w:rPr>
            </w:pPr>
            <w:r>
              <w:rPr>
                <w:rFonts w:hint="eastAsia"/>
                <w:color w:val="auto"/>
                <w:szCs w:val="24"/>
              </w:rPr>
              <w:sym w:font="Wingdings 2" w:char="F052"/>
            </w:r>
            <w:r>
              <w:rPr>
                <w:rFonts w:hint="eastAsia"/>
                <w:color w:val="auto"/>
                <w:szCs w:val="24"/>
              </w:rPr>
              <w:t>新建（迁建）</w:t>
            </w:r>
          </w:p>
          <w:p>
            <w:pPr>
              <w:pStyle w:val="59"/>
              <w:jc w:val="left"/>
              <w:rPr>
                <w:color w:val="auto"/>
                <w:szCs w:val="24"/>
              </w:rPr>
            </w:pPr>
            <w:r>
              <w:rPr>
                <w:rFonts w:hint="eastAsia"/>
                <w:color w:val="auto"/>
                <w:szCs w:val="24"/>
              </w:rPr>
              <w:t>□改建</w:t>
            </w:r>
          </w:p>
          <w:p>
            <w:pPr>
              <w:pStyle w:val="59"/>
              <w:jc w:val="left"/>
              <w:rPr>
                <w:color w:val="auto"/>
                <w:szCs w:val="24"/>
              </w:rPr>
            </w:pPr>
            <w:r>
              <w:rPr>
                <w:rFonts w:hint="eastAsia"/>
                <w:color w:val="auto"/>
                <w:szCs w:val="24"/>
              </w:rPr>
              <w:t>□扩建</w:t>
            </w:r>
          </w:p>
          <w:p>
            <w:pPr>
              <w:pStyle w:val="59"/>
              <w:jc w:val="left"/>
              <w:rPr>
                <w:color w:val="auto"/>
                <w:szCs w:val="24"/>
              </w:rPr>
            </w:pPr>
            <w:r>
              <w:rPr>
                <w:rFonts w:hint="eastAsia"/>
                <w:color w:val="auto"/>
                <w:szCs w:val="24"/>
              </w:rPr>
              <w:t>□技术改造</w:t>
            </w:r>
          </w:p>
        </w:tc>
        <w:tc>
          <w:tcPr>
            <w:tcW w:w="1099" w:type="pct"/>
            <w:vAlign w:val="center"/>
          </w:tcPr>
          <w:p>
            <w:pPr>
              <w:pStyle w:val="59"/>
              <w:rPr>
                <w:color w:val="auto"/>
                <w:szCs w:val="24"/>
              </w:rPr>
            </w:pPr>
            <w:r>
              <w:rPr>
                <w:rFonts w:hint="eastAsia"/>
                <w:color w:val="auto"/>
                <w:szCs w:val="24"/>
              </w:rPr>
              <w:t>建设项目申报情形</w:t>
            </w:r>
          </w:p>
        </w:tc>
        <w:tc>
          <w:tcPr>
            <w:tcW w:w="1636" w:type="pct"/>
            <w:vAlign w:val="center"/>
          </w:tcPr>
          <w:p>
            <w:pPr>
              <w:pStyle w:val="59"/>
              <w:jc w:val="left"/>
              <w:rPr>
                <w:color w:val="auto"/>
                <w:szCs w:val="24"/>
              </w:rPr>
            </w:pPr>
            <w:r>
              <w:rPr>
                <w:rFonts w:hint="eastAsia"/>
                <w:color w:val="auto"/>
                <w:szCs w:val="24"/>
              </w:rPr>
              <w:sym w:font="Wingdings 2" w:char="00A3"/>
            </w:r>
            <w:r>
              <w:rPr>
                <w:rFonts w:hint="eastAsia"/>
                <w:color w:val="auto"/>
                <w:szCs w:val="24"/>
              </w:rPr>
              <w:t>首次申报项目</w:t>
            </w:r>
          </w:p>
          <w:p>
            <w:pPr>
              <w:pStyle w:val="59"/>
              <w:jc w:val="left"/>
              <w:rPr>
                <w:color w:val="auto"/>
                <w:szCs w:val="24"/>
              </w:rPr>
            </w:pPr>
            <w:r>
              <w:rPr>
                <w:rFonts w:hint="eastAsia"/>
                <w:color w:val="auto"/>
                <w:szCs w:val="24"/>
              </w:rPr>
              <w:t>□不予批准后再次申报项目</w:t>
            </w:r>
          </w:p>
          <w:p>
            <w:pPr>
              <w:pStyle w:val="59"/>
              <w:jc w:val="left"/>
              <w:rPr>
                <w:color w:val="auto"/>
                <w:szCs w:val="24"/>
              </w:rPr>
            </w:pPr>
            <w:r>
              <w:rPr>
                <w:rFonts w:hint="eastAsia"/>
                <w:color w:val="auto"/>
                <w:szCs w:val="24"/>
              </w:rPr>
              <w:sym w:font="Wingdings 2" w:char="00A3"/>
            </w:r>
            <w:r>
              <w:rPr>
                <w:rFonts w:hint="eastAsia"/>
                <w:color w:val="auto"/>
                <w:szCs w:val="24"/>
                <w:shd w:val="clear" w:fill="FFFFFF"/>
              </w:rPr>
              <w:t>超</w:t>
            </w:r>
            <w:r>
              <w:rPr>
                <w:rFonts w:hint="eastAsia"/>
                <w:color w:val="auto"/>
                <w:szCs w:val="24"/>
              </w:rPr>
              <w:t>五年重新审核项目</w:t>
            </w:r>
          </w:p>
          <w:p>
            <w:pPr>
              <w:pStyle w:val="59"/>
              <w:jc w:val="left"/>
              <w:rPr>
                <w:color w:val="auto"/>
                <w:szCs w:val="24"/>
              </w:rPr>
            </w:pPr>
            <w:r>
              <w:rPr>
                <w:rFonts w:hint="eastAsia"/>
                <w:color w:val="auto"/>
                <w:szCs w:val="24"/>
                <w:lang w:eastAsia="zh-CN"/>
              </w:rPr>
              <w:t>☑</w:t>
            </w:r>
            <w:r>
              <w:rPr>
                <w:rFonts w:hint="eastAsia"/>
                <w:color w:val="auto"/>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项目审批（核准</w:t>
            </w:r>
            <w:r>
              <w:rPr>
                <w:color w:val="auto"/>
                <w:szCs w:val="24"/>
              </w:rPr>
              <w:t>/</w:t>
            </w:r>
            <w:r>
              <w:rPr>
                <w:rFonts w:hint="eastAsia"/>
                <w:color w:val="auto"/>
                <w:szCs w:val="24"/>
              </w:rPr>
              <w:t>备案）部门（</w:t>
            </w:r>
            <w:r>
              <w:rPr>
                <w:rFonts w:hint="eastAsia"/>
                <w:color w:val="auto"/>
                <w:szCs w:val="24"/>
                <w:shd w:val="clear" w:fill="FFFFFF"/>
              </w:rPr>
              <w:t>选填</w:t>
            </w:r>
            <w:r>
              <w:rPr>
                <w:rFonts w:hint="eastAsia"/>
                <w:color w:val="auto"/>
                <w:szCs w:val="24"/>
              </w:rPr>
              <w:t>）</w:t>
            </w:r>
          </w:p>
        </w:tc>
        <w:tc>
          <w:tcPr>
            <w:tcW w:w="1219" w:type="pct"/>
            <w:vAlign w:val="center"/>
          </w:tcPr>
          <w:p>
            <w:pPr>
              <w:pStyle w:val="59"/>
              <w:rPr>
                <w:color w:val="auto"/>
                <w:szCs w:val="24"/>
              </w:rPr>
            </w:pPr>
            <w:r>
              <w:rPr>
                <w:rFonts w:hint="eastAsia"/>
                <w:color w:val="auto"/>
                <w:szCs w:val="24"/>
              </w:rPr>
              <w:t>师宗县</w:t>
            </w:r>
            <w:r>
              <w:rPr>
                <w:color w:val="auto"/>
                <w:szCs w:val="24"/>
              </w:rPr>
              <w:t>发展和改革局</w:t>
            </w:r>
          </w:p>
        </w:tc>
        <w:tc>
          <w:tcPr>
            <w:tcW w:w="1099" w:type="pct"/>
            <w:vAlign w:val="center"/>
          </w:tcPr>
          <w:p>
            <w:pPr>
              <w:pStyle w:val="59"/>
              <w:rPr>
                <w:color w:val="auto"/>
                <w:szCs w:val="24"/>
              </w:rPr>
            </w:pPr>
            <w:r>
              <w:rPr>
                <w:rFonts w:hint="eastAsia"/>
                <w:color w:val="auto"/>
                <w:szCs w:val="24"/>
              </w:rPr>
              <w:t>项目审批（核准</w:t>
            </w:r>
            <w:r>
              <w:rPr>
                <w:color w:val="auto"/>
                <w:szCs w:val="24"/>
              </w:rPr>
              <w:t>/</w:t>
            </w:r>
            <w:r>
              <w:rPr>
                <w:rFonts w:hint="eastAsia"/>
                <w:color w:val="auto"/>
                <w:szCs w:val="24"/>
              </w:rPr>
              <w:t>备案）文号（</w:t>
            </w:r>
            <w:r>
              <w:rPr>
                <w:rFonts w:hint="eastAsia"/>
                <w:color w:val="auto"/>
                <w:szCs w:val="24"/>
                <w:shd w:val="clear" w:fill="FFFFFF"/>
              </w:rPr>
              <w:t>选填</w:t>
            </w:r>
            <w:r>
              <w:rPr>
                <w:rFonts w:hint="eastAsia"/>
                <w:color w:val="auto"/>
                <w:szCs w:val="24"/>
              </w:rPr>
              <w:t>）</w:t>
            </w:r>
          </w:p>
        </w:tc>
        <w:tc>
          <w:tcPr>
            <w:tcW w:w="1636" w:type="pct"/>
            <w:vAlign w:val="center"/>
          </w:tcPr>
          <w:p>
            <w:pPr>
              <w:pStyle w:val="59"/>
              <w:rPr>
                <w:color w:val="auto"/>
                <w:szCs w:val="24"/>
              </w:rPr>
            </w:pPr>
            <w:r>
              <w:rPr>
                <w:color w:val="auto"/>
                <w:szCs w:val="24"/>
              </w:rPr>
              <w:t>210</w:t>
            </w:r>
            <w:r>
              <w:rPr>
                <w:rFonts w:hint="eastAsia"/>
                <w:color w:val="auto"/>
                <w:szCs w:val="24"/>
              </w:rPr>
              <w:t>9</w:t>
            </w:r>
            <w:r>
              <w:rPr>
                <w:color w:val="auto"/>
                <w:szCs w:val="24"/>
              </w:rPr>
              <w:t>-53032</w:t>
            </w:r>
            <w:r>
              <w:rPr>
                <w:rFonts w:hint="eastAsia"/>
                <w:color w:val="auto"/>
                <w:szCs w:val="24"/>
              </w:rPr>
              <w:t>3</w:t>
            </w:r>
            <w:r>
              <w:rPr>
                <w:color w:val="auto"/>
                <w:szCs w:val="24"/>
              </w:rPr>
              <w:t>-</w:t>
            </w:r>
            <w:r>
              <w:rPr>
                <w:rFonts w:hint="eastAsia"/>
                <w:color w:val="auto"/>
                <w:szCs w:val="24"/>
              </w:rPr>
              <w:t>04</w:t>
            </w:r>
            <w:r>
              <w:rPr>
                <w:color w:val="auto"/>
                <w:szCs w:val="24"/>
              </w:rPr>
              <w:t>-01-</w:t>
            </w:r>
            <w:r>
              <w:rPr>
                <w:rFonts w:hint="eastAsia"/>
                <w:color w:val="auto"/>
                <w:szCs w:val="24"/>
              </w:rPr>
              <w:t>222394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rPr>
            </w:pPr>
            <w:r>
              <w:rPr>
                <w:rFonts w:hint="eastAsia"/>
                <w:color w:val="auto"/>
                <w:szCs w:val="24"/>
              </w:rPr>
              <w:t>总投资（万元）</w:t>
            </w:r>
          </w:p>
        </w:tc>
        <w:tc>
          <w:tcPr>
            <w:tcW w:w="1219" w:type="pct"/>
            <w:vAlign w:val="center"/>
          </w:tcPr>
          <w:p>
            <w:pPr>
              <w:pStyle w:val="59"/>
              <w:rPr>
                <w:color w:val="auto"/>
                <w:szCs w:val="24"/>
              </w:rPr>
            </w:pPr>
            <w:r>
              <w:rPr>
                <w:color w:val="auto"/>
                <w:szCs w:val="24"/>
              </w:rPr>
              <w:t>2269.79</w:t>
            </w:r>
          </w:p>
        </w:tc>
        <w:tc>
          <w:tcPr>
            <w:tcW w:w="1099" w:type="pct"/>
            <w:tcMar>
              <w:top w:w="16" w:type="dxa"/>
              <w:left w:w="16" w:type="dxa"/>
              <w:right w:w="16" w:type="dxa"/>
            </w:tcMar>
            <w:vAlign w:val="center"/>
          </w:tcPr>
          <w:p>
            <w:pPr>
              <w:pStyle w:val="59"/>
              <w:rPr>
                <w:color w:val="auto"/>
                <w:szCs w:val="24"/>
              </w:rPr>
            </w:pPr>
            <w:r>
              <w:rPr>
                <w:rFonts w:hint="eastAsia"/>
                <w:color w:val="auto"/>
                <w:szCs w:val="24"/>
              </w:rPr>
              <w:t>环保投资（万元）</w:t>
            </w:r>
          </w:p>
        </w:tc>
        <w:tc>
          <w:tcPr>
            <w:tcW w:w="1636" w:type="pct"/>
            <w:vAlign w:val="center"/>
          </w:tcPr>
          <w:p>
            <w:pPr>
              <w:pStyle w:val="59"/>
              <w:rPr>
                <w:rFonts w:hint="default" w:eastAsia="宋体"/>
                <w:color w:val="auto"/>
                <w:szCs w:val="24"/>
                <w:lang w:val="en-US" w:eastAsia="zh-CN"/>
              </w:rPr>
            </w:pPr>
            <w:r>
              <w:rPr>
                <w:rFonts w:hint="eastAsia"/>
                <w:color w:val="auto"/>
                <w:szCs w:val="24"/>
                <w:lang w:val="en-US" w:eastAsia="zh-CN"/>
              </w:rPr>
              <w:t>88.5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pct"/>
            <w:gridSpan w:val="2"/>
            <w:tcMar>
              <w:top w:w="16" w:type="dxa"/>
              <w:left w:w="16" w:type="dxa"/>
              <w:right w:w="16" w:type="dxa"/>
            </w:tcMar>
            <w:vAlign w:val="center"/>
          </w:tcPr>
          <w:p>
            <w:pPr>
              <w:pStyle w:val="59"/>
              <w:rPr>
                <w:color w:val="auto"/>
                <w:szCs w:val="24"/>
                <w:highlight w:val="none"/>
              </w:rPr>
            </w:pPr>
            <w:r>
              <w:rPr>
                <w:rFonts w:hint="eastAsia"/>
                <w:color w:val="auto"/>
                <w:szCs w:val="24"/>
                <w:highlight w:val="none"/>
              </w:rPr>
              <w:t>环保投资占比（</w:t>
            </w:r>
            <w:r>
              <w:rPr>
                <w:color w:val="auto"/>
                <w:szCs w:val="24"/>
                <w:highlight w:val="none"/>
              </w:rPr>
              <w:t>%</w:t>
            </w:r>
            <w:r>
              <w:rPr>
                <w:rFonts w:hint="eastAsia"/>
                <w:color w:val="auto"/>
                <w:szCs w:val="24"/>
                <w:highlight w:val="none"/>
              </w:rPr>
              <w:t>）</w:t>
            </w:r>
          </w:p>
        </w:tc>
        <w:tc>
          <w:tcPr>
            <w:tcW w:w="1219" w:type="pct"/>
            <w:vAlign w:val="center"/>
          </w:tcPr>
          <w:p>
            <w:pPr>
              <w:pStyle w:val="59"/>
              <w:rPr>
                <w:rFonts w:hint="default" w:eastAsia="宋体"/>
                <w:color w:val="auto"/>
                <w:szCs w:val="24"/>
                <w:highlight w:val="none"/>
                <w:lang w:val="en-US" w:eastAsia="zh-CN"/>
              </w:rPr>
            </w:pPr>
            <w:r>
              <w:rPr>
                <w:rFonts w:hint="eastAsia"/>
                <w:color w:val="auto"/>
                <w:szCs w:val="24"/>
                <w:highlight w:val="none"/>
                <w:lang w:val="en-US" w:eastAsia="zh-CN"/>
              </w:rPr>
              <w:t>3.90</w:t>
            </w:r>
          </w:p>
        </w:tc>
        <w:tc>
          <w:tcPr>
            <w:tcW w:w="1099" w:type="pct"/>
            <w:tcMar>
              <w:top w:w="16" w:type="dxa"/>
              <w:left w:w="16" w:type="dxa"/>
              <w:right w:w="16" w:type="dxa"/>
            </w:tcMar>
            <w:vAlign w:val="center"/>
          </w:tcPr>
          <w:p>
            <w:pPr>
              <w:pStyle w:val="59"/>
              <w:rPr>
                <w:color w:val="auto"/>
                <w:szCs w:val="24"/>
                <w:highlight w:val="none"/>
              </w:rPr>
            </w:pPr>
            <w:r>
              <w:rPr>
                <w:rFonts w:hint="eastAsia"/>
                <w:color w:val="auto"/>
                <w:szCs w:val="24"/>
                <w:highlight w:val="none"/>
              </w:rPr>
              <w:t>施工工期</w:t>
            </w:r>
          </w:p>
        </w:tc>
        <w:tc>
          <w:tcPr>
            <w:tcW w:w="1636" w:type="pct"/>
            <w:vAlign w:val="center"/>
          </w:tcPr>
          <w:p>
            <w:pPr>
              <w:pStyle w:val="59"/>
              <w:rPr>
                <w:color w:val="auto"/>
                <w:szCs w:val="24"/>
                <w:highlight w:val="none"/>
              </w:rPr>
            </w:pPr>
            <w:r>
              <w:rPr>
                <w:color w:val="auto"/>
                <w:szCs w:val="24"/>
                <w:highlight w:val="none"/>
              </w:rPr>
              <w:t>3</w:t>
            </w:r>
            <w:r>
              <w:rPr>
                <w:rFonts w:hint="eastAsia"/>
                <w:color w:val="auto"/>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pct"/>
            <w:gridSpan w:val="2"/>
            <w:tcMar>
              <w:top w:w="16" w:type="dxa"/>
              <w:left w:w="16" w:type="dxa"/>
              <w:right w:w="16" w:type="dxa"/>
            </w:tcMar>
            <w:vAlign w:val="center"/>
          </w:tcPr>
          <w:p>
            <w:pPr>
              <w:pStyle w:val="59"/>
              <w:rPr>
                <w:color w:val="auto"/>
                <w:szCs w:val="24"/>
                <w:highlight w:val="none"/>
              </w:rPr>
            </w:pPr>
            <w:r>
              <w:rPr>
                <w:rFonts w:hint="eastAsia"/>
                <w:color w:val="auto"/>
                <w:szCs w:val="24"/>
                <w:highlight w:val="none"/>
              </w:rPr>
              <w:t>是否开工建设</w:t>
            </w:r>
          </w:p>
        </w:tc>
        <w:tc>
          <w:tcPr>
            <w:tcW w:w="1219" w:type="pct"/>
            <w:vAlign w:val="center"/>
          </w:tcPr>
          <w:p>
            <w:pPr>
              <w:pStyle w:val="59"/>
              <w:jc w:val="left"/>
              <w:rPr>
                <w:color w:val="auto"/>
                <w:szCs w:val="24"/>
                <w:highlight w:val="none"/>
              </w:rPr>
            </w:pPr>
            <w:r>
              <w:rPr>
                <w:rFonts w:hint="eastAsia"/>
                <w:color w:val="auto"/>
                <w:szCs w:val="24"/>
                <w:highlight w:val="none"/>
              </w:rPr>
              <w:sym w:font="Wingdings 2" w:char="00A3"/>
            </w:r>
            <w:r>
              <w:rPr>
                <w:rFonts w:hint="eastAsia"/>
                <w:color w:val="auto"/>
                <w:szCs w:val="24"/>
                <w:highlight w:val="none"/>
              </w:rPr>
              <w:t>否</w:t>
            </w:r>
          </w:p>
          <w:p>
            <w:pPr>
              <w:pStyle w:val="59"/>
              <w:jc w:val="both"/>
              <w:rPr>
                <w:color w:val="auto"/>
                <w:szCs w:val="24"/>
                <w:highlight w:val="none"/>
              </w:rPr>
            </w:pPr>
            <w:r>
              <w:rPr>
                <w:rFonts w:hint="eastAsia"/>
                <w:color w:val="auto"/>
                <w:szCs w:val="24"/>
                <w:highlight w:val="none"/>
                <w:lang w:eastAsia="zh-CN"/>
              </w:rPr>
              <w:t>☑</w:t>
            </w:r>
            <w:r>
              <w:rPr>
                <w:rFonts w:hint="eastAsia"/>
                <w:color w:val="auto"/>
                <w:szCs w:val="24"/>
                <w:highlight w:val="none"/>
              </w:rPr>
              <w:t>是：</w:t>
            </w:r>
            <w:r>
              <w:rPr>
                <w:rFonts w:hint="eastAsia" w:ascii="Times New Roman" w:hAnsi="Times New Roman" w:eastAsia="宋体" w:cs="宋体"/>
                <w:color w:val="auto"/>
                <w:szCs w:val="24"/>
                <w:highlight w:val="none"/>
                <w:u w:val="single"/>
                <w:lang w:val="en-US" w:eastAsia="zh-CN"/>
              </w:rPr>
              <w:t>根据现场踏勘和资料收集：2023年1月建设单位委托云南联</w:t>
            </w:r>
            <w:r>
              <w:rPr>
                <w:rFonts w:hint="eastAsia" w:ascii="Times New Roman" w:hAnsi="Times New Roman" w:eastAsia="宋体" w:cs="宋体"/>
                <w:color w:val="auto"/>
                <w:szCs w:val="24"/>
                <w:highlight w:val="none"/>
                <w:u w:val="single"/>
                <w:shd w:val="clear" w:fill="FFFFFF"/>
                <w:lang w:val="en-US" w:eastAsia="zh-CN"/>
              </w:rPr>
              <w:t>创</w:t>
            </w:r>
            <w:r>
              <w:rPr>
                <w:rFonts w:hint="eastAsia" w:ascii="Times New Roman" w:hAnsi="Times New Roman" w:eastAsia="宋体" w:cs="宋体"/>
                <w:color w:val="auto"/>
                <w:szCs w:val="24"/>
                <w:highlight w:val="none"/>
                <w:u w:val="single"/>
                <w:lang w:val="en-US" w:eastAsia="zh-CN"/>
              </w:rPr>
              <w:t>环境工程有限公司编制完成《</w:t>
            </w:r>
            <w:r>
              <w:rPr>
                <w:rFonts w:hint="eastAsia" w:cs="宋体"/>
                <w:color w:val="auto"/>
                <w:szCs w:val="24"/>
                <w:highlight w:val="none"/>
                <w:u w:val="single"/>
                <w:lang w:val="en-US" w:eastAsia="zh-CN"/>
              </w:rPr>
              <w:t>师宗县餐厨废弃油脂回收综合利用项目一期工程</w:t>
            </w:r>
            <w:r>
              <w:rPr>
                <w:rFonts w:hint="eastAsia" w:ascii="Times New Roman" w:hAnsi="Times New Roman" w:eastAsia="宋体" w:cs="宋体"/>
                <w:color w:val="auto"/>
                <w:szCs w:val="24"/>
                <w:highlight w:val="none"/>
                <w:u w:val="single"/>
                <w:lang w:val="en-US" w:eastAsia="zh-CN"/>
              </w:rPr>
              <w:t>环境影响报告表》；2024年5月23日取得曲靖市生态环境局师宗分局关于</w:t>
            </w:r>
            <w:r>
              <w:rPr>
                <w:rFonts w:hint="eastAsia" w:cs="宋体"/>
                <w:color w:val="auto"/>
                <w:szCs w:val="24"/>
                <w:highlight w:val="none"/>
                <w:u w:val="single"/>
                <w:lang w:val="en-US" w:eastAsia="zh-CN"/>
              </w:rPr>
              <w:t>师宗县餐厨废弃油脂回收综合利用项目一期工程</w:t>
            </w:r>
            <w:r>
              <w:rPr>
                <w:rFonts w:hint="eastAsia" w:ascii="Times New Roman" w:hAnsi="Times New Roman" w:eastAsia="宋体" w:cs="宋体"/>
                <w:color w:val="auto"/>
                <w:szCs w:val="24"/>
                <w:highlight w:val="none"/>
                <w:u w:val="single"/>
                <w:lang w:val="en-US" w:eastAsia="zh-CN"/>
              </w:rPr>
              <w:t>环境影响报告表的批复（</w:t>
            </w:r>
            <w:r>
              <w:rPr>
                <w:rFonts w:hint="eastAsia" w:ascii="Times New Roman" w:hAnsi="Times New Roman" w:eastAsia="宋体" w:cs="宋体"/>
                <w:color w:val="auto"/>
                <w:szCs w:val="24"/>
                <w:highlight w:val="none"/>
                <w:u w:val="single"/>
                <w:shd w:val="clear" w:fill="FFFFFF"/>
                <w:lang w:val="en-US" w:eastAsia="zh-CN"/>
              </w:rPr>
              <w:t>曲师环审</w:t>
            </w:r>
            <w:r>
              <w:rPr>
                <w:rFonts w:hint="eastAsia" w:ascii="Times New Roman" w:hAnsi="Times New Roman" w:eastAsia="宋体" w:cs="宋体"/>
                <w:color w:val="auto"/>
                <w:szCs w:val="24"/>
                <w:highlight w:val="none"/>
                <w:u w:val="single"/>
                <w:lang w:val="en-US" w:eastAsia="zh-CN"/>
              </w:rPr>
              <w:t>〔2024〕8号）；2024年6月建设单位动工建设</w:t>
            </w:r>
            <w:r>
              <w:rPr>
                <w:rFonts w:hint="eastAsia" w:ascii="Times New Roman" w:hAnsi="Times New Roman" w:eastAsia="宋体" w:cs="宋体"/>
                <w:color w:val="auto"/>
                <w:szCs w:val="24"/>
                <w:highlight w:val="none"/>
                <w:u w:val="single"/>
                <w:lang w:eastAsia="zh-CN"/>
              </w:rPr>
              <w:t>，</w:t>
            </w:r>
            <w:r>
              <w:rPr>
                <w:rFonts w:hint="eastAsia" w:ascii="Times New Roman" w:hAnsi="Times New Roman" w:eastAsia="宋体" w:cs="宋体"/>
                <w:color w:val="auto"/>
                <w:szCs w:val="24"/>
                <w:highlight w:val="none"/>
                <w:u w:val="single"/>
                <w:lang w:val="en-US" w:eastAsia="zh-CN"/>
              </w:rPr>
              <w:t>现阶段已建设餐厨垃圾处置车间、</w:t>
            </w:r>
            <w:r>
              <w:rPr>
                <w:rFonts w:hint="eastAsia" w:ascii="Times New Roman" w:hAnsi="Times New Roman" w:eastAsia="宋体" w:cs="宋体"/>
                <w:color w:val="auto"/>
                <w:szCs w:val="24"/>
                <w:highlight w:val="none"/>
                <w:u w:val="single"/>
                <w:lang w:eastAsia="zh-CN"/>
              </w:rPr>
              <w:t>办公休息区、门卫室、成品油罐、</w:t>
            </w:r>
            <w:r>
              <w:rPr>
                <w:rFonts w:hint="eastAsia" w:ascii="Times New Roman" w:hAnsi="Times New Roman" w:eastAsia="宋体" w:cs="宋体"/>
                <w:color w:val="auto"/>
                <w:szCs w:val="24"/>
                <w:highlight w:val="none"/>
                <w:u w:val="single"/>
                <w:lang w:val="en-US" w:eastAsia="zh-CN"/>
              </w:rPr>
              <w:t>初期雨水池、化粪池等建设，</w:t>
            </w:r>
            <w:r>
              <w:rPr>
                <w:rFonts w:hint="eastAsia" w:ascii="Times New Roman" w:hAnsi="Times New Roman" w:eastAsia="宋体" w:cs="宋体"/>
                <w:color w:val="auto"/>
                <w:szCs w:val="24"/>
                <w:highlight w:val="none"/>
                <w:u w:val="single"/>
              </w:rPr>
              <w:t>其余工程均未建设，项目至今未投入生产</w:t>
            </w:r>
            <w:r>
              <w:rPr>
                <w:rFonts w:hint="eastAsia" w:ascii="Times New Roman" w:hAnsi="Times New Roman" w:eastAsia="宋体" w:cs="宋体"/>
                <w:color w:val="auto"/>
                <w:szCs w:val="24"/>
                <w:highlight w:val="none"/>
                <w:u w:val="single"/>
                <w:lang w:eastAsia="zh-CN"/>
              </w:rPr>
              <w:t>。</w:t>
            </w:r>
          </w:p>
        </w:tc>
        <w:tc>
          <w:tcPr>
            <w:tcW w:w="1099" w:type="pct"/>
            <w:tcMar>
              <w:top w:w="16" w:type="dxa"/>
              <w:left w:w="16" w:type="dxa"/>
              <w:right w:w="16" w:type="dxa"/>
            </w:tcMar>
            <w:vAlign w:val="center"/>
          </w:tcPr>
          <w:p>
            <w:pPr>
              <w:pStyle w:val="59"/>
              <w:rPr>
                <w:color w:val="auto"/>
                <w:spacing w:val="-6"/>
                <w:szCs w:val="24"/>
                <w:highlight w:val="none"/>
              </w:rPr>
            </w:pPr>
            <w:r>
              <w:rPr>
                <w:rFonts w:hint="eastAsia"/>
                <w:color w:val="auto"/>
                <w:spacing w:val="-6"/>
                <w:szCs w:val="24"/>
                <w:highlight w:val="none"/>
              </w:rPr>
              <w:t>用地（用</w:t>
            </w:r>
            <w:r>
              <w:rPr>
                <w:rFonts w:hint="eastAsia"/>
                <w:color w:val="auto"/>
                <w:spacing w:val="-6"/>
                <w:szCs w:val="24"/>
                <w:highlight w:val="none"/>
                <w:shd w:val="clear" w:fill="FFFFFF"/>
              </w:rPr>
              <w:t>海</w:t>
            </w:r>
            <w:r>
              <w:rPr>
                <w:rFonts w:hint="eastAsia"/>
                <w:color w:val="auto"/>
                <w:spacing w:val="-6"/>
                <w:szCs w:val="24"/>
                <w:highlight w:val="none"/>
              </w:rPr>
              <w:t>）</w:t>
            </w:r>
          </w:p>
          <w:p>
            <w:pPr>
              <w:pStyle w:val="59"/>
              <w:rPr>
                <w:color w:val="auto"/>
                <w:szCs w:val="24"/>
                <w:highlight w:val="none"/>
              </w:rPr>
            </w:pPr>
            <w:r>
              <w:rPr>
                <w:rFonts w:hint="eastAsia"/>
                <w:color w:val="auto"/>
                <w:spacing w:val="-6"/>
                <w:szCs w:val="24"/>
                <w:highlight w:val="none"/>
              </w:rPr>
              <w:t>面积（</w:t>
            </w:r>
            <w:r>
              <w:rPr>
                <w:color w:val="auto"/>
                <w:spacing w:val="-6"/>
                <w:szCs w:val="24"/>
                <w:highlight w:val="none"/>
              </w:rPr>
              <w:t>m</w:t>
            </w:r>
            <w:r>
              <w:rPr>
                <w:color w:val="auto"/>
                <w:spacing w:val="-6"/>
                <w:szCs w:val="24"/>
                <w:highlight w:val="none"/>
                <w:vertAlign w:val="superscript"/>
              </w:rPr>
              <w:t>2</w:t>
            </w:r>
            <w:r>
              <w:rPr>
                <w:rFonts w:hint="eastAsia"/>
                <w:color w:val="auto"/>
                <w:spacing w:val="-6"/>
                <w:szCs w:val="24"/>
                <w:highlight w:val="none"/>
              </w:rPr>
              <w:t>）</w:t>
            </w:r>
          </w:p>
        </w:tc>
        <w:tc>
          <w:tcPr>
            <w:tcW w:w="1636" w:type="pct"/>
            <w:vAlign w:val="center"/>
          </w:tcPr>
          <w:p>
            <w:pPr>
              <w:pStyle w:val="59"/>
              <w:rPr>
                <w:color w:val="auto"/>
                <w:szCs w:val="24"/>
                <w:highlight w:val="none"/>
              </w:rPr>
            </w:pPr>
            <w:r>
              <w:rPr>
                <w:color w:val="auto"/>
                <w:szCs w:val="24"/>
                <w:highlight w:val="none"/>
              </w:rPr>
              <w:t>1231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046" w:type="pct"/>
            <w:gridSpan w:val="2"/>
            <w:vAlign w:val="center"/>
          </w:tcPr>
          <w:p>
            <w:pPr>
              <w:pStyle w:val="59"/>
              <w:rPr>
                <w:color w:val="auto"/>
                <w:szCs w:val="24"/>
              </w:rPr>
            </w:pPr>
            <w:r>
              <w:rPr>
                <w:rFonts w:hint="eastAsia"/>
                <w:color w:val="auto"/>
                <w:szCs w:val="24"/>
              </w:rPr>
              <w:t>专项评价设置情况</w:t>
            </w:r>
          </w:p>
        </w:tc>
        <w:tc>
          <w:tcPr>
            <w:tcW w:w="3954" w:type="pct"/>
            <w:gridSpan w:val="3"/>
            <w:vAlign w:val="center"/>
          </w:tcPr>
          <w:p>
            <w:pPr>
              <w:ind w:firstLine="480"/>
              <w:rPr>
                <w:color w:val="auto"/>
              </w:rPr>
            </w:pPr>
            <w:r>
              <w:rPr>
                <w:rFonts w:hint="eastAsia"/>
                <w:color w:val="auto"/>
              </w:rPr>
              <w:t>本项目专项评价设置情况见下表。</w:t>
            </w:r>
          </w:p>
          <w:p>
            <w:pPr>
              <w:pStyle w:val="71"/>
              <w:rPr>
                <w:color w:val="auto"/>
              </w:rPr>
            </w:pPr>
            <w:r>
              <w:rPr>
                <w:rFonts w:hint="eastAsia"/>
                <w:color w:val="auto"/>
              </w:rPr>
              <w:t>表1</w:t>
            </w:r>
            <w:r>
              <w:rPr>
                <w:rFonts w:hint="eastAsia"/>
                <w:color w:val="auto"/>
                <w:lang w:val="en-US" w:eastAsia="zh-CN"/>
              </w:rPr>
              <w:t xml:space="preserve">  </w:t>
            </w:r>
            <w:r>
              <w:rPr>
                <w:rFonts w:hint="eastAsia"/>
                <w:color w:val="auto"/>
              </w:rPr>
              <w:t>专项情况设置一览表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941"/>
              <w:gridCol w:w="1808"/>
              <w:gridCol w:w="2905"/>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vAlign w:val="center"/>
                </w:tcPr>
                <w:p>
                  <w:pPr>
                    <w:pStyle w:val="68"/>
                    <w:rPr>
                      <w:b/>
                      <w:bCs/>
                      <w:color w:val="auto"/>
                    </w:rPr>
                  </w:pPr>
                  <w:r>
                    <w:rPr>
                      <w:b/>
                      <w:bCs/>
                      <w:color w:val="auto"/>
                    </w:rPr>
                    <w:t>序号</w:t>
                  </w:r>
                </w:p>
              </w:tc>
              <w:tc>
                <w:tcPr>
                  <w:tcW w:w="689" w:type="pct"/>
                  <w:vAlign w:val="center"/>
                </w:tcPr>
                <w:p>
                  <w:pPr>
                    <w:pStyle w:val="68"/>
                    <w:rPr>
                      <w:b/>
                      <w:bCs/>
                      <w:color w:val="auto"/>
                    </w:rPr>
                  </w:pPr>
                  <w:r>
                    <w:rPr>
                      <w:b/>
                      <w:bCs/>
                      <w:color w:val="auto"/>
                    </w:rPr>
                    <w:t>专项评价的类别</w:t>
                  </w:r>
                </w:p>
              </w:tc>
              <w:tc>
                <w:tcPr>
                  <w:tcW w:w="1324" w:type="pct"/>
                  <w:vAlign w:val="center"/>
                </w:tcPr>
                <w:p>
                  <w:pPr>
                    <w:pStyle w:val="68"/>
                    <w:rPr>
                      <w:b/>
                      <w:bCs/>
                      <w:color w:val="auto"/>
                    </w:rPr>
                  </w:pPr>
                  <w:r>
                    <w:rPr>
                      <w:b/>
                      <w:bCs/>
                      <w:color w:val="auto"/>
                    </w:rPr>
                    <w:t>设置原则</w:t>
                  </w:r>
                </w:p>
              </w:tc>
              <w:tc>
                <w:tcPr>
                  <w:tcW w:w="2128" w:type="pct"/>
                  <w:vAlign w:val="center"/>
                </w:tcPr>
                <w:p>
                  <w:pPr>
                    <w:pStyle w:val="68"/>
                    <w:rPr>
                      <w:b/>
                      <w:bCs/>
                      <w:color w:val="auto"/>
                    </w:rPr>
                  </w:pPr>
                  <w:r>
                    <w:rPr>
                      <w:b/>
                      <w:bCs/>
                      <w:color w:val="auto"/>
                    </w:rPr>
                    <w:t>本项目建设情况</w:t>
                  </w:r>
                </w:p>
                <w:p>
                  <w:pPr>
                    <w:pStyle w:val="68"/>
                    <w:rPr>
                      <w:b/>
                      <w:bCs/>
                      <w:color w:val="auto"/>
                    </w:rPr>
                  </w:pPr>
                  <w:r>
                    <w:rPr>
                      <w:b/>
                      <w:bCs/>
                      <w:color w:val="auto"/>
                    </w:rPr>
                    <w:t>（设置专项理由）</w:t>
                  </w:r>
                </w:p>
              </w:tc>
              <w:tc>
                <w:tcPr>
                  <w:tcW w:w="543" w:type="pct"/>
                  <w:vAlign w:val="center"/>
                </w:tcPr>
                <w:p>
                  <w:pPr>
                    <w:pStyle w:val="68"/>
                    <w:rPr>
                      <w:b/>
                      <w:bCs/>
                      <w:color w:val="auto"/>
                    </w:rPr>
                  </w:pPr>
                  <w:r>
                    <w:rPr>
                      <w:b/>
                      <w:bCs/>
                      <w:color w:val="auto"/>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14" w:type="pct"/>
                  <w:vAlign w:val="center"/>
                </w:tcPr>
                <w:p>
                  <w:pPr>
                    <w:pStyle w:val="68"/>
                    <w:rPr>
                      <w:color w:val="auto"/>
                    </w:rPr>
                  </w:pPr>
                  <w:r>
                    <w:rPr>
                      <w:color w:val="auto"/>
                    </w:rPr>
                    <w:t>1</w:t>
                  </w:r>
                </w:p>
              </w:tc>
              <w:tc>
                <w:tcPr>
                  <w:tcW w:w="689" w:type="pct"/>
                  <w:vAlign w:val="center"/>
                </w:tcPr>
                <w:p>
                  <w:pPr>
                    <w:pStyle w:val="68"/>
                    <w:rPr>
                      <w:color w:val="auto"/>
                    </w:rPr>
                  </w:pPr>
                  <w:r>
                    <w:rPr>
                      <w:color w:val="auto"/>
                    </w:rPr>
                    <w:t>大气</w:t>
                  </w:r>
                </w:p>
              </w:tc>
              <w:tc>
                <w:tcPr>
                  <w:tcW w:w="1324" w:type="pct"/>
                  <w:vAlign w:val="center"/>
                </w:tcPr>
                <w:p>
                  <w:pPr>
                    <w:pStyle w:val="68"/>
                    <w:rPr>
                      <w:color w:val="auto"/>
                    </w:rPr>
                  </w:pPr>
                  <w:r>
                    <w:rPr>
                      <w:color w:val="auto"/>
                    </w:rPr>
                    <w:t>排放废气含有毒有害污染物、二噁英、苯并〔a〕</w:t>
                  </w:r>
                  <w:r>
                    <w:rPr>
                      <w:color w:val="auto"/>
                      <w:shd w:val="clear" w:fill="FFFFFF"/>
                    </w:rPr>
                    <w:t>芘</w:t>
                  </w:r>
                  <w:r>
                    <w:rPr>
                      <w:color w:val="auto"/>
                    </w:rPr>
                    <w:t>、氰化物、氯气</w:t>
                  </w:r>
                  <w:r>
                    <w:rPr>
                      <w:color w:val="auto"/>
                      <w:shd w:val="clear" w:fill="FFFFFF"/>
                    </w:rPr>
                    <w:t>且厂</w:t>
                  </w:r>
                  <w:r>
                    <w:rPr>
                      <w:color w:val="auto"/>
                    </w:rPr>
                    <w:t>界外500m范围内有环境空气保护目标的建设项目</w:t>
                  </w:r>
                </w:p>
              </w:tc>
              <w:tc>
                <w:tcPr>
                  <w:tcW w:w="2128" w:type="pct"/>
                  <w:vAlign w:val="center"/>
                </w:tcPr>
                <w:p>
                  <w:pPr>
                    <w:pStyle w:val="68"/>
                    <w:rPr>
                      <w:color w:val="auto"/>
                    </w:rPr>
                  </w:pPr>
                  <w:r>
                    <w:rPr>
                      <w:rFonts w:hint="eastAsia"/>
                      <w:color w:val="auto"/>
                    </w:rPr>
                    <w:t>项目排放的废气主要为</w:t>
                  </w:r>
                  <w:r>
                    <w:rPr>
                      <w:rFonts w:hint="eastAsia"/>
                      <w:color w:val="auto"/>
                      <w:lang w:eastAsia="zh-CN"/>
                    </w:rPr>
                    <w:t>颗粒物、二氧化硫、氮氧化物、硫化氢、氨、臭气浓度，</w:t>
                  </w:r>
                  <w:r>
                    <w:rPr>
                      <w:rFonts w:hint="eastAsia"/>
                      <w:color w:val="auto"/>
                    </w:rPr>
                    <w:t>不属于编制指南中列举的二噁英、苯并[a]</w:t>
                  </w:r>
                  <w:r>
                    <w:rPr>
                      <w:rFonts w:hint="eastAsia"/>
                      <w:color w:val="auto"/>
                      <w:shd w:val="clear" w:fill="FFFFFF"/>
                    </w:rPr>
                    <w:t>芘</w:t>
                  </w:r>
                  <w:r>
                    <w:rPr>
                      <w:rFonts w:hint="eastAsia"/>
                      <w:color w:val="auto"/>
                    </w:rPr>
                    <w:t>、氰化物、氯气；也不属于《有毒有害大气污染物名录》中列出的</w:t>
                  </w:r>
                  <w:r>
                    <w:rPr>
                      <w:rFonts w:hint="eastAsia"/>
                      <w:color w:val="auto"/>
                      <w:lang w:eastAsia="zh-CN"/>
                    </w:rPr>
                    <w:t>有毒有害污染物</w:t>
                  </w:r>
                </w:p>
              </w:tc>
              <w:tc>
                <w:tcPr>
                  <w:tcW w:w="543" w:type="pct"/>
                  <w:vAlign w:val="center"/>
                </w:tcPr>
                <w:p>
                  <w:pPr>
                    <w:pStyle w:val="68"/>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 w:type="pct"/>
                  <w:vAlign w:val="center"/>
                </w:tcPr>
                <w:p>
                  <w:pPr>
                    <w:pStyle w:val="68"/>
                    <w:rPr>
                      <w:color w:val="auto"/>
                    </w:rPr>
                  </w:pPr>
                  <w:r>
                    <w:rPr>
                      <w:color w:val="auto"/>
                    </w:rPr>
                    <w:t>2</w:t>
                  </w:r>
                </w:p>
              </w:tc>
              <w:tc>
                <w:tcPr>
                  <w:tcW w:w="689" w:type="pct"/>
                  <w:vAlign w:val="center"/>
                </w:tcPr>
                <w:p>
                  <w:pPr>
                    <w:pStyle w:val="68"/>
                    <w:rPr>
                      <w:color w:val="auto"/>
                    </w:rPr>
                  </w:pPr>
                  <w:r>
                    <w:rPr>
                      <w:color w:val="auto"/>
                    </w:rPr>
                    <w:t>地表水</w:t>
                  </w:r>
                </w:p>
              </w:tc>
              <w:tc>
                <w:tcPr>
                  <w:tcW w:w="1324" w:type="pct"/>
                  <w:vAlign w:val="center"/>
                </w:tcPr>
                <w:p>
                  <w:pPr>
                    <w:pStyle w:val="68"/>
                    <w:rPr>
                      <w:color w:val="auto"/>
                    </w:rPr>
                  </w:pPr>
                  <w:r>
                    <w:rPr>
                      <w:color w:val="auto"/>
                    </w:rPr>
                    <w:t>新增工业废水直排建设项目（槽罐车外送污水处理厂的除外）；新增废水直排的污水集中处理厂</w:t>
                  </w:r>
                </w:p>
              </w:tc>
              <w:tc>
                <w:tcPr>
                  <w:tcW w:w="2128" w:type="pct"/>
                  <w:vAlign w:val="center"/>
                </w:tcPr>
                <w:p>
                  <w:pPr>
                    <w:pStyle w:val="68"/>
                    <w:rPr>
                      <w:color w:val="auto"/>
                      <w:highlight w:val="green"/>
                    </w:rPr>
                  </w:pPr>
                  <w:r>
                    <w:rPr>
                      <w:rFonts w:hint="eastAsia"/>
                      <w:color w:val="auto"/>
                    </w:rPr>
                    <w:t>本项目</w:t>
                  </w:r>
                  <w:r>
                    <w:rPr>
                      <w:rFonts w:hint="eastAsia"/>
                      <w:color w:val="auto"/>
                      <w:lang w:eastAsia="zh-CN"/>
                    </w:rPr>
                    <w:t>生产废水经一体化污水处理站处理达标后暂存于污水池，通过罐车运送至师宗县彩云镇生活污水处理站进行处理，不排入周边地表水体；</w:t>
                  </w:r>
                  <w:r>
                    <w:rPr>
                      <w:color w:val="auto"/>
                      <w:lang w:val="en-US" w:eastAsia="zh-CN"/>
                    </w:rPr>
                    <w:t>生活污水进入化粪池处理后</w:t>
                  </w:r>
                  <w:r>
                    <w:rPr>
                      <w:rFonts w:hint="eastAsia"/>
                      <w:color w:val="auto"/>
                      <w:lang w:val="en-US" w:eastAsia="zh-CN"/>
                    </w:rPr>
                    <w:t>委托周边村民清</w:t>
                  </w:r>
                  <w:r>
                    <w:rPr>
                      <w:rFonts w:hint="eastAsia"/>
                      <w:color w:val="auto"/>
                      <w:shd w:val="clear" w:fill="FFFFFF"/>
                      <w:lang w:val="en-US" w:eastAsia="zh-CN"/>
                    </w:rPr>
                    <w:t>掏</w:t>
                  </w:r>
                  <w:r>
                    <w:rPr>
                      <w:rFonts w:hint="eastAsia"/>
                      <w:color w:val="auto"/>
                      <w:lang w:val="en-US" w:eastAsia="zh-CN"/>
                    </w:rPr>
                    <w:t>施肥</w:t>
                  </w:r>
                  <w:r>
                    <w:rPr>
                      <w:rFonts w:hint="eastAsia"/>
                      <w:color w:val="auto"/>
                      <w:lang w:eastAsia="zh-CN"/>
                    </w:rPr>
                    <w:t>；因此项目</w:t>
                  </w:r>
                  <w:r>
                    <w:rPr>
                      <w:rFonts w:hint="eastAsia"/>
                      <w:color w:val="auto"/>
                    </w:rPr>
                    <w:t>不属于新增工业废水直排建设项目</w:t>
                  </w:r>
                </w:p>
              </w:tc>
              <w:tc>
                <w:tcPr>
                  <w:tcW w:w="543" w:type="pct"/>
                  <w:vAlign w:val="center"/>
                </w:tcPr>
                <w:p>
                  <w:pPr>
                    <w:pStyle w:val="68"/>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314" w:type="pct"/>
                  <w:vAlign w:val="center"/>
                </w:tcPr>
                <w:p>
                  <w:pPr>
                    <w:pStyle w:val="68"/>
                    <w:rPr>
                      <w:color w:val="auto"/>
                    </w:rPr>
                  </w:pPr>
                  <w:r>
                    <w:rPr>
                      <w:color w:val="auto"/>
                    </w:rPr>
                    <w:t>3</w:t>
                  </w:r>
                </w:p>
              </w:tc>
              <w:tc>
                <w:tcPr>
                  <w:tcW w:w="689" w:type="pct"/>
                  <w:vAlign w:val="center"/>
                </w:tcPr>
                <w:p>
                  <w:pPr>
                    <w:pStyle w:val="68"/>
                    <w:rPr>
                      <w:color w:val="auto"/>
                    </w:rPr>
                  </w:pPr>
                  <w:r>
                    <w:rPr>
                      <w:color w:val="auto"/>
                    </w:rPr>
                    <w:t>环境风险</w:t>
                  </w:r>
                </w:p>
              </w:tc>
              <w:tc>
                <w:tcPr>
                  <w:tcW w:w="1324" w:type="pct"/>
                  <w:vAlign w:val="center"/>
                </w:tcPr>
                <w:p>
                  <w:pPr>
                    <w:pStyle w:val="68"/>
                    <w:rPr>
                      <w:color w:val="auto"/>
                    </w:rPr>
                  </w:pPr>
                  <w:r>
                    <w:rPr>
                      <w:color w:val="auto"/>
                    </w:rPr>
                    <w:t>有毒有害和易燃易爆危险物质存储量超过临界量的建设项目</w:t>
                  </w:r>
                </w:p>
              </w:tc>
              <w:tc>
                <w:tcPr>
                  <w:tcW w:w="2128" w:type="pct"/>
                  <w:vAlign w:val="center"/>
                </w:tcPr>
                <w:p>
                  <w:pPr>
                    <w:pStyle w:val="68"/>
                    <w:rPr>
                      <w:color w:val="auto"/>
                    </w:rPr>
                  </w:pPr>
                  <w:r>
                    <w:rPr>
                      <w:rFonts w:hint="eastAsia"/>
                      <w:color w:val="auto"/>
                    </w:rPr>
                    <w:t>本项目的</w:t>
                  </w:r>
                  <w:r>
                    <w:rPr>
                      <w:rFonts w:hint="default" w:ascii="Times New Roman" w:hAnsi="Times New Roman" w:cs="Times New Roman"/>
                      <w:color w:val="auto"/>
                      <w:szCs w:val="21"/>
                      <w:u w:val="none"/>
                    </w:rPr>
                    <w:t>有机废液</w:t>
                  </w:r>
                  <w:r>
                    <w:rPr>
                      <w:rFonts w:hint="eastAsia"/>
                      <w:color w:val="auto"/>
                    </w:rPr>
                    <w:t>环境风险物质临界量</w:t>
                  </w:r>
                  <w:r>
                    <w:rPr>
                      <w:rFonts w:hint="eastAsia"/>
                      <w:color w:val="auto"/>
                      <w:lang w:val="en-US" w:eastAsia="zh-CN"/>
                    </w:rPr>
                    <w:t>均</w:t>
                  </w:r>
                  <w:r>
                    <w:rPr>
                      <w:rFonts w:hint="eastAsia"/>
                      <w:color w:val="auto"/>
                    </w:rPr>
                    <w:t>超过《建设项目环境风险评价技术导则》（HJ 169）要求</w:t>
                  </w:r>
                </w:p>
              </w:tc>
              <w:tc>
                <w:tcPr>
                  <w:tcW w:w="543" w:type="pct"/>
                  <w:vAlign w:val="center"/>
                </w:tcPr>
                <w:p>
                  <w:pPr>
                    <w:pStyle w:val="68"/>
                    <w:rPr>
                      <w:rFonts w:hint="eastAsia" w:eastAsia="宋体"/>
                      <w:color w:val="auto"/>
                      <w:lang w:eastAsia="zh-CN"/>
                    </w:rPr>
                  </w:pPr>
                  <w:r>
                    <w:rPr>
                      <w:rFonts w:hint="eastAsia"/>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 w:type="pct"/>
                  <w:vAlign w:val="center"/>
                </w:tcPr>
                <w:p>
                  <w:pPr>
                    <w:pStyle w:val="68"/>
                    <w:rPr>
                      <w:color w:val="auto"/>
                    </w:rPr>
                  </w:pPr>
                  <w:r>
                    <w:rPr>
                      <w:color w:val="auto"/>
                    </w:rPr>
                    <w:t>4</w:t>
                  </w:r>
                </w:p>
              </w:tc>
              <w:tc>
                <w:tcPr>
                  <w:tcW w:w="689" w:type="pct"/>
                  <w:vAlign w:val="center"/>
                </w:tcPr>
                <w:p>
                  <w:pPr>
                    <w:pStyle w:val="68"/>
                    <w:rPr>
                      <w:color w:val="auto"/>
                    </w:rPr>
                  </w:pPr>
                  <w:r>
                    <w:rPr>
                      <w:color w:val="auto"/>
                    </w:rPr>
                    <w:t>生态</w:t>
                  </w:r>
                </w:p>
              </w:tc>
              <w:tc>
                <w:tcPr>
                  <w:tcW w:w="1324" w:type="pct"/>
                  <w:vAlign w:val="center"/>
                </w:tcPr>
                <w:p>
                  <w:pPr>
                    <w:pStyle w:val="68"/>
                    <w:rPr>
                      <w:color w:val="auto"/>
                    </w:rPr>
                  </w:pPr>
                  <w:r>
                    <w:rPr>
                      <w:color w:val="auto"/>
                    </w:rPr>
                    <w:t>取水口下游500m范围内有重要水生生物的自然产卵场、索饵场、越冬场和</w:t>
                  </w:r>
                  <w:r>
                    <w:rPr>
                      <w:rFonts w:hint="eastAsia"/>
                      <w:color w:val="auto"/>
                      <w:lang w:eastAsia="zh-CN"/>
                    </w:rPr>
                    <w:t>洄游</w:t>
                  </w:r>
                  <w:r>
                    <w:rPr>
                      <w:color w:val="auto"/>
                    </w:rPr>
                    <w:t>通道的新增河道取水的污染类建设项目</w:t>
                  </w:r>
                </w:p>
              </w:tc>
              <w:tc>
                <w:tcPr>
                  <w:tcW w:w="2128" w:type="pct"/>
                  <w:vAlign w:val="center"/>
                </w:tcPr>
                <w:p>
                  <w:pPr>
                    <w:pStyle w:val="68"/>
                    <w:rPr>
                      <w:color w:val="auto"/>
                      <w:lang w:eastAsia="zh-CN"/>
                    </w:rPr>
                  </w:pPr>
                  <w:r>
                    <w:rPr>
                      <w:color w:val="auto"/>
                    </w:rPr>
                    <w:t>本项目</w:t>
                  </w:r>
                  <w:r>
                    <w:rPr>
                      <w:rFonts w:hint="eastAsia"/>
                      <w:color w:val="auto"/>
                      <w:lang w:eastAsia="zh-CN"/>
                    </w:rPr>
                    <w:t>生产、生活用水由彩云镇供水管网</w:t>
                  </w:r>
                  <w:r>
                    <w:rPr>
                      <w:rFonts w:hint="eastAsia"/>
                      <w:color w:val="auto"/>
                      <w:lang w:val="en-US" w:eastAsia="zh-CN"/>
                    </w:rPr>
                    <w:t>提供，</w:t>
                  </w:r>
                  <w:r>
                    <w:rPr>
                      <w:color w:val="auto"/>
                    </w:rPr>
                    <w:t>不涉及取水口</w:t>
                  </w:r>
                  <w:r>
                    <w:rPr>
                      <w:rFonts w:hint="eastAsia"/>
                      <w:color w:val="auto"/>
                      <w:lang w:eastAsia="zh-CN"/>
                    </w:rPr>
                    <w:t>；根据现场踏勘调查，本项目最近地表水体红土</w:t>
                  </w:r>
                  <w:r>
                    <w:rPr>
                      <w:rFonts w:hint="eastAsia"/>
                      <w:color w:val="auto"/>
                      <w:shd w:val="clear" w:fill="FFFFFF"/>
                      <w:lang w:eastAsia="zh-CN"/>
                    </w:rPr>
                    <w:t>河无</w:t>
                  </w:r>
                  <w:r>
                    <w:rPr>
                      <w:color w:val="auto"/>
                      <w:lang w:val="en-US" w:eastAsia="zh-CN"/>
                    </w:rPr>
                    <w:t>重要水生生物的自然产卵场、索饵场、越冬场和</w:t>
                  </w:r>
                  <w:r>
                    <w:rPr>
                      <w:rFonts w:hint="eastAsia"/>
                      <w:color w:val="auto"/>
                      <w:lang w:val="en-US" w:eastAsia="zh-CN"/>
                    </w:rPr>
                    <w:t>洄游</w:t>
                  </w:r>
                  <w:r>
                    <w:rPr>
                      <w:color w:val="auto"/>
                      <w:lang w:val="en-US" w:eastAsia="zh-CN"/>
                    </w:rPr>
                    <w:t>通道</w:t>
                  </w:r>
                </w:p>
              </w:tc>
              <w:tc>
                <w:tcPr>
                  <w:tcW w:w="543" w:type="pct"/>
                  <w:vAlign w:val="center"/>
                </w:tcPr>
                <w:p>
                  <w:pPr>
                    <w:pStyle w:val="68"/>
                    <w:rPr>
                      <w:color w:val="auto"/>
                    </w:rPr>
                  </w:pPr>
                  <w:r>
                    <w:rPr>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vAlign w:val="center"/>
                </w:tcPr>
                <w:p>
                  <w:pPr>
                    <w:pStyle w:val="68"/>
                    <w:rPr>
                      <w:color w:val="auto"/>
                      <w:lang w:eastAsia="zh-CN"/>
                    </w:rPr>
                  </w:pPr>
                  <w:r>
                    <w:rPr>
                      <w:rFonts w:hint="eastAsia"/>
                      <w:color w:val="auto"/>
                      <w:lang w:eastAsia="zh-CN"/>
                    </w:rPr>
                    <w:t>5</w:t>
                  </w:r>
                </w:p>
              </w:tc>
              <w:tc>
                <w:tcPr>
                  <w:tcW w:w="689" w:type="pct"/>
                  <w:vAlign w:val="center"/>
                </w:tcPr>
                <w:p>
                  <w:pPr>
                    <w:pStyle w:val="68"/>
                    <w:rPr>
                      <w:color w:val="auto"/>
                    </w:rPr>
                  </w:pPr>
                  <w:r>
                    <w:rPr>
                      <w:rFonts w:hint="eastAsia"/>
                      <w:color w:val="auto"/>
                      <w:lang w:eastAsia="zh-CN"/>
                    </w:rPr>
                    <w:t>海洋</w:t>
                  </w:r>
                </w:p>
              </w:tc>
              <w:tc>
                <w:tcPr>
                  <w:tcW w:w="1324" w:type="pct"/>
                  <w:vAlign w:val="center"/>
                </w:tcPr>
                <w:p>
                  <w:pPr>
                    <w:pStyle w:val="68"/>
                    <w:rPr>
                      <w:color w:val="auto"/>
                    </w:rPr>
                  </w:pPr>
                  <w:r>
                    <w:rPr>
                      <w:rFonts w:hint="eastAsia"/>
                      <w:color w:val="auto"/>
                    </w:rPr>
                    <w:t>直接向海排放污染物的海洋工程建设项目</w:t>
                  </w:r>
                </w:p>
              </w:tc>
              <w:tc>
                <w:tcPr>
                  <w:tcW w:w="2128" w:type="pct"/>
                  <w:vAlign w:val="center"/>
                </w:tcPr>
                <w:p>
                  <w:pPr>
                    <w:pStyle w:val="68"/>
                    <w:rPr>
                      <w:color w:val="auto"/>
                    </w:rPr>
                  </w:pPr>
                  <w:r>
                    <w:rPr>
                      <w:rFonts w:hint="eastAsia"/>
                      <w:color w:val="auto"/>
                    </w:rPr>
                    <w:t>本项目不涉及海洋</w:t>
                  </w:r>
                </w:p>
              </w:tc>
              <w:tc>
                <w:tcPr>
                  <w:tcW w:w="543" w:type="pct"/>
                  <w:vAlign w:val="center"/>
                </w:tcPr>
                <w:p>
                  <w:pPr>
                    <w:pStyle w:val="68"/>
                    <w:rPr>
                      <w:color w:val="auto"/>
                    </w:rPr>
                  </w:pPr>
                  <w:r>
                    <w:rPr>
                      <w:color w:val="auto"/>
                    </w:rPr>
                    <w:t>否</w:t>
                  </w:r>
                </w:p>
              </w:tc>
            </w:tr>
          </w:tbl>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6" w:type="pct"/>
            <w:gridSpan w:val="2"/>
            <w:vAlign w:val="center"/>
          </w:tcPr>
          <w:p>
            <w:pPr>
              <w:pStyle w:val="59"/>
              <w:rPr>
                <w:color w:val="auto"/>
                <w:kern w:val="0"/>
                <w:szCs w:val="24"/>
              </w:rPr>
            </w:pPr>
            <w:r>
              <w:rPr>
                <w:rFonts w:hint="eastAsia"/>
                <w:color w:val="auto"/>
                <w:szCs w:val="24"/>
              </w:rPr>
              <w:t>规划情况</w:t>
            </w:r>
          </w:p>
        </w:tc>
        <w:tc>
          <w:tcPr>
            <w:tcW w:w="3954" w:type="pct"/>
            <w:gridSpan w:val="3"/>
            <w:vAlign w:val="center"/>
          </w:tcPr>
          <w:p>
            <w:pPr>
              <w:pStyle w:val="68"/>
              <w:rPr>
                <w:color w:val="auto"/>
                <w:sz w:val="24"/>
                <w:szCs w:val="24"/>
              </w:rPr>
            </w:pPr>
            <w:r>
              <w:rPr>
                <w:rFonts w:hint="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46" w:type="pct"/>
            <w:gridSpan w:val="2"/>
            <w:vAlign w:val="center"/>
          </w:tcPr>
          <w:p>
            <w:pPr>
              <w:spacing w:line="240" w:lineRule="auto"/>
              <w:ind w:firstLine="0" w:firstLineChars="0"/>
              <w:jc w:val="center"/>
              <w:rPr>
                <w:rFonts w:ascii="宋体" w:hAnsi="宋体" w:cs="宋体"/>
                <w:color w:val="auto"/>
                <w:kern w:val="0"/>
                <w:szCs w:val="21"/>
              </w:rPr>
            </w:pPr>
            <w:r>
              <w:rPr>
                <w:rFonts w:hint="eastAsia"/>
                <w:color w:val="auto"/>
              </w:rPr>
              <w:t>规</w:t>
            </w:r>
            <w:r>
              <w:rPr>
                <w:rFonts w:hint="eastAsia" w:cs="宋体"/>
                <w:color w:val="auto"/>
              </w:rPr>
              <w:t>划环境影响评价情况</w:t>
            </w:r>
          </w:p>
        </w:tc>
        <w:tc>
          <w:tcPr>
            <w:tcW w:w="3954" w:type="pct"/>
            <w:gridSpan w:val="3"/>
            <w:vAlign w:val="center"/>
          </w:tcPr>
          <w:p>
            <w:pPr>
              <w:pStyle w:val="68"/>
              <w:rPr>
                <w:rFonts w:ascii="宋体" w:hAnsi="宋体"/>
                <w:color w:val="auto"/>
                <w:sz w:val="24"/>
                <w:szCs w:val="24"/>
              </w:rPr>
            </w:pPr>
            <w:r>
              <w:rPr>
                <w:rFonts w:ascii="宋体" w:hAnsi="宋体"/>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46" w:type="pct"/>
            <w:gridSpan w:val="2"/>
            <w:vAlign w:val="center"/>
          </w:tcPr>
          <w:p>
            <w:pPr>
              <w:autoSpaceDE w:val="0"/>
              <w:adjustRightInd w:val="0"/>
              <w:snapToGrid w:val="0"/>
              <w:spacing w:line="240" w:lineRule="auto"/>
              <w:ind w:firstLine="0" w:firstLineChars="0"/>
              <w:jc w:val="center"/>
              <w:rPr>
                <w:rFonts w:ascii="宋体" w:hAnsi="宋体" w:cs="宋体"/>
                <w:color w:val="auto"/>
                <w:kern w:val="0"/>
                <w:szCs w:val="21"/>
              </w:rPr>
            </w:pPr>
            <w:r>
              <w:rPr>
                <w:rFonts w:hint="eastAsia" w:ascii="宋体" w:hAnsi="宋体" w:cs="宋体"/>
                <w:color w:val="auto"/>
                <w:kern w:val="0"/>
                <w:szCs w:val="21"/>
              </w:rPr>
              <w:t>规划及规划环境影响评价符合性分析</w:t>
            </w:r>
          </w:p>
        </w:tc>
        <w:tc>
          <w:tcPr>
            <w:tcW w:w="3954" w:type="pct"/>
            <w:gridSpan w:val="3"/>
            <w:vAlign w:val="center"/>
          </w:tcPr>
          <w:p>
            <w:pPr>
              <w:pStyle w:val="68"/>
              <w:rPr>
                <w:color w:val="auto"/>
                <w:sz w:val="24"/>
                <w:szCs w:val="24"/>
                <w:lang w:val="en-US"/>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27" w:type="pct"/>
            <w:vAlign w:val="center"/>
          </w:tcPr>
          <w:p>
            <w:pPr>
              <w:autoSpaceDE w:val="0"/>
              <w:adjustRightInd w:val="0"/>
              <w:snapToGrid w:val="0"/>
              <w:ind w:firstLine="0" w:firstLineChars="0"/>
              <w:jc w:val="center"/>
              <w:rPr>
                <w:rFonts w:ascii="宋体" w:hAnsi="宋体" w:cs="宋体"/>
                <w:color w:val="auto"/>
                <w:kern w:val="0"/>
                <w:szCs w:val="21"/>
              </w:rPr>
            </w:pPr>
            <w:r>
              <w:rPr>
                <w:rFonts w:hint="eastAsia" w:ascii="宋体" w:hAnsi="宋体" w:cs="宋体"/>
                <w:color w:val="auto"/>
                <w:kern w:val="0"/>
                <w:szCs w:val="21"/>
              </w:rPr>
              <w:t>其他符合性分析</w:t>
            </w:r>
          </w:p>
        </w:tc>
        <w:tc>
          <w:tcPr>
            <w:tcW w:w="4673" w:type="pct"/>
            <w:gridSpan w:val="4"/>
            <w:vAlign w:val="center"/>
          </w:tcPr>
          <w:p>
            <w:pPr>
              <w:pStyle w:val="56"/>
              <w:spacing w:before="120" w:after="120"/>
              <w:rPr>
                <w:color w:val="auto"/>
              </w:rPr>
            </w:pPr>
            <w:r>
              <w:rPr>
                <w:rFonts w:hint="eastAsia"/>
                <w:color w:val="auto"/>
              </w:rPr>
              <w:t>1.1产业政策符合性分析</w:t>
            </w:r>
          </w:p>
          <w:p>
            <w:pPr>
              <w:ind w:firstLine="480"/>
              <w:rPr>
                <w:rFonts w:hint="default" w:ascii="Times New Roman" w:hAnsi="Times New Roman" w:eastAsia="宋体" w:cs="Times New Roman"/>
                <w:color w:val="auto"/>
                <w:lang w:val="en-US" w:eastAsia="zh-CN"/>
              </w:rPr>
            </w:pPr>
            <w:r>
              <w:rPr>
                <w:rFonts w:hint="eastAsia"/>
                <w:color w:val="auto"/>
              </w:rPr>
              <w:t>本项目建设内容属于国家发展和改革委员会发布的《产业结构调整指导目录（</w:t>
            </w:r>
            <w:r>
              <w:rPr>
                <w:color w:val="auto"/>
              </w:rPr>
              <w:t>2024</w:t>
            </w:r>
            <w:r>
              <w:rPr>
                <w:rFonts w:hint="eastAsia"/>
                <w:color w:val="auto"/>
              </w:rPr>
              <w:t>年</w:t>
            </w:r>
            <w:r>
              <w:rPr>
                <w:rFonts w:hint="eastAsia"/>
                <w:color w:val="auto"/>
                <w:shd w:val="clear" w:fill="FFFFFF"/>
              </w:rPr>
              <w:t>本</w:t>
            </w:r>
            <w:r>
              <w:rPr>
                <w:rFonts w:hint="eastAsia"/>
                <w:color w:val="auto"/>
              </w:rPr>
              <w:t>）》中的“鼓励类</w:t>
            </w:r>
            <w:r>
              <w:rPr>
                <w:rFonts w:hint="eastAsia"/>
                <w:color w:val="auto"/>
                <w:lang w:eastAsia="zh-CN"/>
              </w:rPr>
              <w:t>－</w:t>
            </w:r>
            <w:r>
              <w:rPr>
                <w:rFonts w:hint="eastAsia"/>
                <w:color w:val="auto"/>
              </w:rPr>
              <w:t>四十二、环境保护与资源节约综合利用-3.城镇污水垃圾处理：高效、低能耗污水处理与再生技术开发，城镇垃圾、农村生活垃圾、城镇生活污水、农村生活污水、污泥及其他固体废弃物减量化、资源化、无害化处理和综合利用工程，</w:t>
            </w:r>
            <w:r>
              <w:rPr>
                <w:rFonts w:hint="eastAsia"/>
                <w:b/>
                <w:color w:val="auto"/>
              </w:rPr>
              <w:t>餐厨废弃物资源化利用技术开发及设施建设</w:t>
            </w:r>
            <w:r>
              <w:rPr>
                <w:rFonts w:hint="eastAsia"/>
                <w:color w:val="auto"/>
              </w:rPr>
              <w:t>，垃圾分类技术、设备、设施，城镇、农村分布式小型化有机垃圾处理技术开发，污水处理厂污泥协同处置工程”</w:t>
            </w:r>
            <w:r>
              <w:rPr>
                <w:rFonts w:hint="eastAsia"/>
                <w:color w:val="auto"/>
                <w:lang w:eastAsia="zh-CN"/>
              </w:rPr>
              <w:t>；</w:t>
            </w:r>
            <w:r>
              <w:rPr>
                <w:rFonts w:hint="eastAsia" w:ascii="Times New Roman" w:hAnsi="Times New Roman" w:eastAsia="宋体" w:cs="Times New Roman"/>
                <w:color w:val="auto"/>
                <w:lang w:val="en-US" w:eastAsia="zh-CN"/>
              </w:rPr>
              <w:t>项目设置2.2t/h生物质锅炉不属于“第三类 淘汰类中（七）机械：66．每小时2蒸吨及以下生物质锅炉”。</w:t>
            </w:r>
          </w:p>
          <w:p>
            <w:pPr>
              <w:ind w:firstLine="480"/>
              <w:rPr>
                <w:color w:val="auto"/>
              </w:rPr>
            </w:pPr>
            <w:r>
              <w:rPr>
                <w:rFonts w:hint="eastAsia"/>
                <w:color w:val="auto"/>
              </w:rPr>
              <w:t>本项目用地性质为建设用地（详见附件8），根据三区三线查询结果告知函（详见附件6），项目用地不涉及生态红线、基本农田，不在城镇开发边界内，符合当地规划。</w:t>
            </w:r>
          </w:p>
          <w:p>
            <w:pPr>
              <w:ind w:firstLine="480"/>
              <w:rPr>
                <w:color w:val="auto"/>
              </w:rPr>
            </w:pPr>
            <w:r>
              <w:rPr>
                <w:rFonts w:hint="eastAsia"/>
                <w:color w:val="auto"/>
              </w:rPr>
              <w:t>综上，项目符合《</w:t>
            </w:r>
            <w:r>
              <w:rPr>
                <w:color w:val="auto"/>
              </w:rPr>
              <w:t>产业结构调整指导目录》（2024年</w:t>
            </w:r>
            <w:r>
              <w:rPr>
                <w:color w:val="auto"/>
                <w:shd w:val="clear" w:fill="FFFFFF"/>
              </w:rPr>
              <w:t>本</w:t>
            </w:r>
            <w:r>
              <w:rPr>
                <w:color w:val="auto"/>
              </w:rPr>
              <w:t>）</w:t>
            </w:r>
            <w:r>
              <w:rPr>
                <w:rFonts w:hint="eastAsia"/>
                <w:color w:val="auto"/>
              </w:rPr>
              <w:t>要求。</w:t>
            </w:r>
          </w:p>
          <w:p>
            <w:pPr>
              <w:pStyle w:val="56"/>
              <w:spacing w:before="120" w:after="120"/>
              <w:rPr>
                <w:rFonts w:hint="eastAsia" w:ascii="Times New Roman" w:hAnsi="Times New Roman" w:eastAsia="宋体" w:cs="宋体"/>
                <w:color w:val="auto"/>
                <w:lang w:val="en-US" w:eastAsia="zh-CN"/>
              </w:rPr>
            </w:pPr>
            <w:r>
              <w:rPr>
                <w:rFonts w:hint="eastAsia" w:ascii="Times New Roman" w:hAnsi="Times New Roman" w:eastAsia="宋体" w:cs="宋体"/>
                <w:color w:val="auto"/>
              </w:rPr>
              <w:t>1.2</w:t>
            </w:r>
            <w:r>
              <w:rPr>
                <w:rFonts w:hint="eastAsia" w:ascii="Times New Roman" w:hAnsi="Times New Roman" w:eastAsia="宋体" w:cs="宋体"/>
                <w:color w:val="auto"/>
                <w:lang w:val="en-US" w:eastAsia="zh-CN"/>
              </w:rPr>
              <w:t>项目与《曲靖市生态环境分区管控动态更新方案（</w:t>
            </w:r>
            <w:r>
              <w:rPr>
                <w:rFonts w:hint="default" w:ascii="Times New Roman" w:hAnsi="Times New Roman" w:eastAsia="宋体" w:cs="宋体"/>
                <w:color w:val="auto"/>
                <w:lang w:val="en-US" w:eastAsia="zh-CN"/>
              </w:rPr>
              <w:t>2023年）》</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shd w:val="clear" w:fill="FFFFFF"/>
                <w:lang w:val="en-US" w:eastAsia="zh-CN"/>
              </w:rPr>
              <w:t>曲环通</w:t>
            </w:r>
            <w:r>
              <w:rPr>
                <w:rFonts w:hint="default" w:ascii="Times New Roman" w:hAnsi="Times New Roman" w:eastAsia="宋体" w:cs="宋体"/>
                <w:color w:val="auto"/>
                <w:lang w:val="en-US" w:eastAsia="zh-CN"/>
              </w:rPr>
              <w:t>〔2024〕36号</w:t>
            </w:r>
            <w:r>
              <w:rPr>
                <w:rFonts w:hint="eastAsia" w:ascii="Times New Roman" w:hAnsi="Times New Roman" w:eastAsia="宋体" w:cs="宋体"/>
                <w:color w:val="auto"/>
                <w:lang w:val="en-US" w:eastAsia="zh-CN"/>
              </w:rPr>
              <w:t>）符合性分析</w:t>
            </w:r>
          </w:p>
          <w:p>
            <w:pPr>
              <w:bidi w:val="0"/>
              <w:rPr>
                <w:rFonts w:hint="eastAsia"/>
                <w:color w:val="auto"/>
                <w:lang w:val="en-US" w:eastAsia="zh-CN"/>
              </w:rPr>
            </w:pPr>
            <w:r>
              <w:rPr>
                <w:rFonts w:hint="eastAsia"/>
                <w:color w:val="auto"/>
                <w:lang w:val="en-US" w:eastAsia="zh-CN"/>
              </w:rPr>
              <w:t>根据2024年7月15日曲靖市生态环境局公开发布的《曲靖市生态环境分区管控动态更新方案（</w:t>
            </w:r>
            <w:r>
              <w:rPr>
                <w:rFonts w:hint="default"/>
                <w:color w:val="auto"/>
                <w:lang w:val="en-US" w:eastAsia="zh-CN"/>
              </w:rPr>
              <w:t>2023年）》</w:t>
            </w:r>
            <w:r>
              <w:rPr>
                <w:rFonts w:hint="eastAsia"/>
                <w:color w:val="auto"/>
                <w:lang w:val="en-US" w:eastAsia="zh-CN"/>
              </w:rPr>
              <w:t>（</w:t>
            </w:r>
            <w:r>
              <w:rPr>
                <w:rFonts w:hint="default"/>
                <w:color w:val="auto"/>
                <w:shd w:val="clear" w:fill="FFFFFF"/>
                <w:lang w:val="en-US" w:eastAsia="zh-CN"/>
              </w:rPr>
              <w:t>曲环通</w:t>
            </w:r>
            <w:r>
              <w:rPr>
                <w:rFonts w:hint="default"/>
                <w:color w:val="auto"/>
                <w:lang w:val="en-US" w:eastAsia="zh-CN"/>
              </w:rPr>
              <w:t>〔2024〕36号</w:t>
            </w:r>
            <w:r>
              <w:rPr>
                <w:rFonts w:hint="eastAsia"/>
                <w:color w:val="auto"/>
                <w:lang w:val="en-US" w:eastAsia="zh-CN"/>
              </w:rPr>
              <w:t>），项目</w:t>
            </w:r>
            <w:r>
              <w:rPr>
                <w:rFonts w:hint="eastAsia"/>
                <w:color w:val="auto"/>
                <w:shd w:val="clear" w:fill="FFFFFF"/>
                <w:lang w:val="en-US" w:eastAsia="zh-CN"/>
              </w:rPr>
              <w:t>与其</w:t>
            </w:r>
            <w:r>
              <w:rPr>
                <w:rFonts w:hint="eastAsia"/>
                <w:color w:val="auto"/>
                <w:lang w:val="en-US" w:eastAsia="zh-CN"/>
              </w:rPr>
              <w:t>符合性分析如下表1.2-1所示。</w:t>
            </w:r>
          </w:p>
          <w:p>
            <w:pPr>
              <w:pStyle w:val="56"/>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0" w:beforeLines="0" w:after="0" w:afterLines="0" w:line="240" w:lineRule="auto"/>
              <w:jc w:val="center"/>
              <w:textAlignment w:val="auto"/>
              <w:rPr>
                <w:rFonts w:hint="eastAsia" w:cs="宋体"/>
                <w:color w:val="auto"/>
                <w:sz w:val="21"/>
                <w:szCs w:val="21"/>
                <w:lang w:val="en-US" w:eastAsia="zh-CN" w:bidi="en-US"/>
              </w:rPr>
            </w:pPr>
            <w:r>
              <w:rPr>
                <w:rFonts w:hint="eastAsia" w:cs="宋体"/>
                <w:color w:val="auto"/>
                <w:sz w:val="21"/>
                <w:szCs w:val="21"/>
                <w:lang w:val="en-US" w:eastAsia="zh-CN" w:bidi="en-US"/>
              </w:rPr>
              <w:t>表1.2-1 项目与</w:t>
            </w:r>
            <w:r>
              <w:rPr>
                <w:rFonts w:hint="eastAsia" w:ascii="Times New Roman" w:hAnsi="Times New Roman" w:eastAsia="宋体" w:cs="宋体"/>
                <w:color w:val="auto"/>
                <w:sz w:val="21"/>
                <w:szCs w:val="21"/>
                <w:lang w:val="en-US" w:eastAsia="zh-CN" w:bidi="en-US"/>
              </w:rPr>
              <w:t>《曲靖市生态环境分区管控动态更新方案（</w:t>
            </w:r>
            <w:r>
              <w:rPr>
                <w:rFonts w:hint="default" w:ascii="Times New Roman" w:hAnsi="Times New Roman" w:eastAsia="宋体" w:cs="宋体"/>
                <w:color w:val="auto"/>
                <w:sz w:val="21"/>
                <w:szCs w:val="21"/>
                <w:lang w:val="en-US" w:eastAsia="zh-CN" w:bidi="en-US"/>
              </w:rPr>
              <w:t>2023年）》</w:t>
            </w:r>
            <w:r>
              <w:rPr>
                <w:rFonts w:hint="eastAsia" w:cs="宋体"/>
                <w:color w:val="auto"/>
                <w:sz w:val="21"/>
                <w:szCs w:val="21"/>
                <w:lang w:val="en-US" w:eastAsia="zh-CN" w:bidi="en-US"/>
              </w:rPr>
              <w:t>（</w:t>
            </w:r>
            <w:r>
              <w:rPr>
                <w:rFonts w:hint="default" w:ascii="Times New Roman" w:hAnsi="Times New Roman" w:eastAsia="宋体" w:cs="宋体"/>
                <w:color w:val="auto"/>
                <w:sz w:val="21"/>
                <w:szCs w:val="21"/>
                <w:shd w:val="clear" w:fill="FFFFFF"/>
                <w:lang w:val="en-US" w:eastAsia="zh-CN" w:bidi="en-US"/>
              </w:rPr>
              <w:t>曲环通</w:t>
            </w:r>
            <w:r>
              <w:rPr>
                <w:rFonts w:hint="default" w:ascii="Times New Roman" w:hAnsi="Times New Roman" w:eastAsia="宋体" w:cs="宋体"/>
                <w:color w:val="auto"/>
                <w:sz w:val="21"/>
                <w:szCs w:val="21"/>
                <w:lang w:val="en-US" w:eastAsia="zh-CN" w:bidi="en-US"/>
              </w:rPr>
              <w:t>〔2024〕36号</w:t>
            </w:r>
            <w:r>
              <w:rPr>
                <w:rFonts w:hint="eastAsia" w:cs="宋体"/>
                <w:color w:val="auto"/>
                <w:sz w:val="21"/>
                <w:szCs w:val="21"/>
                <w:lang w:val="en-US" w:eastAsia="zh-CN" w:bidi="en-US"/>
              </w:rPr>
              <w:t>）符合性分析</w:t>
            </w:r>
          </w:p>
          <w:tbl>
            <w:tblPr>
              <w:tblStyle w:val="30"/>
              <w:tblW w:w="8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90"/>
              <w:gridCol w:w="2615"/>
              <w:gridCol w:w="3159"/>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2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文件内容</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相符性分析</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生态环境管控总体要求</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u w:val="none"/>
                    </w:rPr>
                    <w:t>空间布局约束</w:t>
                  </w:r>
                </w:p>
              </w:tc>
              <w:tc>
                <w:tcPr>
                  <w:tcW w:w="2615" w:type="dxa"/>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严格执行《长江经济带发展负面清单指南（试行，2022 年版）》《云南省长江经济带发展负面清单指南实施细则（试行）》等产业准入有关要求。</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严格实施化解过剩产能和淘汰落后产能，制定产能过剩行业淘汰计划，确保国家、省下达的淘汰落后产能目标任务全面完成。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将资源承载能力、生态环境容量作为承接产业转移的基础和前提，合理确定承接产业转移重点，禁止引进环境污染大、资源消耗高、技术落后的生产能力。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4.支持现有各类产业园区有供热需求的实施热电联产或者集中供热改造，具备条件的工业园区实现集中供热。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5.严格控制在生态脆弱或环境敏感地区建设《环境保护综合名录》中“高污染、高环境风险”行业项目。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6.禁止在合规园区外新建、扩建钢铁、石化、化工、焦化、建材、有色行业中的高污染项目。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集中式饮用水水源地严格执行《中华人民共和国水污染防治法》《地下水管理条例》《饮用水水源保护区污染防治管理规定》《曲靖市集中式饮用水水源地保护条例》《云南省曲靖独木水库保护条例》，水源地内城镇开发边界范围已开发区域强化环境基础设施建设与运行维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各县（市、区）产业园区重点管控单元、曲靖经济开发区重点管控单元、曲靖高新技术产业开发区重点管控单元、宣威市经济技术开发区重点管控单元空间布局约束、污染物排放管控、环境风险防控、资源利用效率四个维度严格执行现行有效的园区规划、规划环评及其审查意见。</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1、</w:t>
                  </w:r>
                  <w:r>
                    <w:rPr>
                      <w:rFonts w:hint="eastAsia"/>
                      <w:b w:val="0"/>
                      <w:bCs/>
                      <w:color w:val="auto"/>
                      <w:spacing w:val="10"/>
                      <w:sz w:val="21"/>
                      <w:szCs w:val="21"/>
                      <w:highlight w:val="none"/>
                      <w:lang w:val="en-US" w:eastAsia="zh-CN"/>
                    </w:rPr>
                    <w:t>项目主要从事餐厨废弃物资源综合利用</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运营期严格</w:t>
                  </w:r>
                  <w:r>
                    <w:rPr>
                      <w:rFonts w:hint="eastAsia" w:cs="Times New Roman"/>
                      <w:color w:val="auto"/>
                      <w:sz w:val="21"/>
                      <w:szCs w:val="21"/>
                      <w:lang w:val="en-US" w:eastAsia="zh-CN"/>
                    </w:rPr>
                    <w:t>执行</w:t>
                  </w:r>
                  <w:r>
                    <w:rPr>
                      <w:rFonts w:hint="default" w:ascii="Times New Roman" w:hAnsi="Times New Roman" w:eastAsia="宋体" w:cs="Times New Roman"/>
                      <w:b w:val="0"/>
                      <w:bCs w:val="0"/>
                      <w:color w:val="auto"/>
                      <w:sz w:val="21"/>
                      <w:szCs w:val="21"/>
                      <w:vertAlign w:val="baseline"/>
                      <w:lang w:val="en-US" w:eastAsia="zh-CN"/>
                    </w:rPr>
                    <w:t>《长江经济带发展负面清单指南（试行，2022年版）》《云南省长江经济带发展负面清单指南实施细则（试行）》等产业准入有关要求；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rPr>
                    <w:t>本项目属于餐厨废弃物资源综合利用</w:t>
                  </w:r>
                  <w:r>
                    <w:rPr>
                      <w:rFonts w:hint="eastAsia"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b w:val="0"/>
                      <w:bCs w:val="0"/>
                      <w:color w:val="auto"/>
                      <w:sz w:val="21"/>
                      <w:szCs w:val="21"/>
                    </w:rPr>
                    <w:t>，项目的建设内容不属于国家发展和改革委员会令第</w:t>
                  </w:r>
                  <w:r>
                    <w:rPr>
                      <w:rFonts w:hint="default"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rPr>
                    <w:t>号令《产业结构调整指导目录（</w:t>
                  </w:r>
                  <w:r>
                    <w:rPr>
                      <w:rFonts w:hint="default" w:ascii="Times New Roman" w:hAnsi="Times New Roman" w:eastAsia="宋体" w:cs="Times New Roman"/>
                      <w:b w:val="0"/>
                      <w:bCs w:val="0"/>
                      <w:color w:val="auto"/>
                      <w:sz w:val="21"/>
                      <w:szCs w:val="21"/>
                      <w:lang w:val="en-US" w:eastAsia="zh-CN"/>
                    </w:rPr>
                    <w:t>2024</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shd w:val="clear" w:fill="FFFFFF"/>
                    </w:rPr>
                    <w:t>本</w:t>
                  </w:r>
                  <w:r>
                    <w:rPr>
                      <w:rFonts w:hint="default" w:ascii="Times New Roman" w:hAnsi="Times New Roman" w:eastAsia="宋体" w:cs="Times New Roman"/>
                      <w:b w:val="0"/>
                      <w:bCs w:val="0"/>
                      <w:color w:val="auto"/>
                      <w:sz w:val="21"/>
                      <w:szCs w:val="21"/>
                    </w:rPr>
                    <w:t>）》中的“禁止类与限制类”，属于允许类</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不属于</w:t>
                  </w:r>
                  <w:r>
                    <w:rPr>
                      <w:rFonts w:hint="default" w:ascii="Times New Roman" w:hAnsi="Times New Roman" w:eastAsia="宋体" w:cs="Times New Roman"/>
                      <w:b w:val="0"/>
                      <w:bCs w:val="0"/>
                      <w:color w:val="auto"/>
                      <w:sz w:val="21"/>
                      <w:szCs w:val="21"/>
                      <w:vertAlign w:val="baseline"/>
                      <w:lang w:val="en-US" w:eastAsia="zh-CN"/>
                    </w:rPr>
                    <w:t>环境污染大、资源消耗高、技术落后的生产能力</w:t>
                  </w:r>
                  <w:r>
                    <w:rPr>
                      <w:rFonts w:hint="eastAsia" w:ascii="Times New Roman" w:hAnsi="Times New Roman" w:cs="Times New Roman"/>
                      <w:b w:val="0"/>
                      <w:bCs w:val="0"/>
                      <w:color w:val="auto"/>
                      <w:sz w:val="21"/>
                      <w:szCs w:val="21"/>
                      <w:vertAlign w:val="baseline"/>
                      <w:lang w:val="en-US" w:eastAsia="zh-CN"/>
                    </w:rPr>
                    <w:t>的行业</w:t>
                  </w:r>
                  <w:r>
                    <w:rPr>
                      <w:rFonts w:hint="default" w:ascii="Times New Roman" w:hAnsi="Times New Roman" w:eastAsia="宋体" w:cs="Times New Roman"/>
                      <w:b w:val="0"/>
                      <w:bCs w:val="0"/>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不涉及供热。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项目位于</w:t>
                  </w:r>
                  <w:r>
                    <w:rPr>
                      <w:rFonts w:hint="eastAsia"/>
                      <w:color w:val="auto"/>
                      <w:sz w:val="21"/>
                      <w:szCs w:val="21"/>
                      <w:lang w:val="en-US" w:eastAsia="zh-CN" w:bidi="en-US"/>
                    </w:rPr>
                    <w:t>师宗县彩云镇彩云中学砖厂</w:t>
                  </w:r>
                  <w:r>
                    <w:rPr>
                      <w:rFonts w:hint="eastAsia"/>
                      <w:color w:val="auto"/>
                      <w:sz w:val="21"/>
                      <w:szCs w:val="21"/>
                      <w:shd w:val="clear" w:fill="FFFFFF"/>
                      <w:lang w:val="en-US" w:eastAsia="zh-CN" w:bidi="en-US"/>
                    </w:rPr>
                    <w:t>旁</w:t>
                  </w:r>
                  <w:r>
                    <w:rPr>
                      <w:rFonts w:hint="eastAsia"/>
                      <w:color w:val="auto"/>
                      <w:sz w:val="21"/>
                      <w:szCs w:val="21"/>
                      <w:highlight w:val="none"/>
                      <w:lang w:val="en-US" w:eastAsia="zh-CN" w:bidi="en-US"/>
                    </w:rPr>
                    <w:t>，</w:t>
                  </w:r>
                  <w:r>
                    <w:rPr>
                      <w:rFonts w:hint="eastAsia"/>
                      <w:color w:val="auto"/>
                      <w:sz w:val="21"/>
                      <w:szCs w:val="21"/>
                      <w:lang w:val="en-US" w:eastAsia="zh-CN" w:bidi="en-US"/>
                    </w:rPr>
                    <w:t>不涉及</w:t>
                  </w:r>
                  <w:r>
                    <w:rPr>
                      <w:rFonts w:hint="default" w:ascii="Times New Roman" w:hAnsi="Times New Roman" w:eastAsia="宋体" w:cs="Times New Roman"/>
                      <w:b w:val="0"/>
                      <w:bCs w:val="0"/>
                      <w:color w:val="auto"/>
                      <w:sz w:val="21"/>
                      <w:szCs w:val="21"/>
                      <w:vertAlign w:val="baseline"/>
                      <w:lang w:val="en-US" w:eastAsia="zh-CN"/>
                    </w:rPr>
                    <w:t>生态脆弱或环境敏感地区</w:t>
                  </w:r>
                  <w:r>
                    <w:rPr>
                      <w:rFonts w:hint="eastAsia" w:ascii="Times New Roman" w:hAnsi="Times New Roman" w:cs="Times New Roman"/>
                      <w:b w:val="0"/>
                      <w:bCs w:val="0"/>
                      <w:color w:val="auto"/>
                      <w:sz w:val="21"/>
                      <w:szCs w:val="21"/>
                      <w:vertAlign w:val="baseline"/>
                      <w:lang w:val="en-US" w:eastAsia="zh-CN"/>
                    </w:rPr>
                    <w:t>。</w:t>
                  </w:r>
                </w:p>
                <w:p>
                  <w:pPr>
                    <w:pStyle w:val="4"/>
                    <w:pageBreakBefore w:val="0"/>
                    <w:widowControl w:val="0"/>
                    <w:kinsoku/>
                    <w:overflowPunct/>
                    <w:topLinePunct w:val="0"/>
                    <w:bidi w:val="0"/>
                    <w:adjustRightInd/>
                    <w:snapToGrid/>
                    <w:spacing w:before="0" w:after="0" w:line="240" w:lineRule="auto"/>
                    <w:ind w:firstLine="0" w:firstLineChars="0"/>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w:t>
                  </w:r>
                  <w:r>
                    <w:rPr>
                      <w:rFonts w:hint="eastAsia" w:ascii="Times New Roman" w:hAnsi="Times New Roman" w:eastAsia="宋体" w:cs="Times New Roman"/>
                      <w:b w:val="0"/>
                      <w:bCs w:val="0"/>
                      <w:color w:val="auto"/>
                      <w:sz w:val="21"/>
                      <w:szCs w:val="21"/>
                      <w:vertAlign w:val="baseline"/>
                      <w:lang w:val="en-US" w:eastAsia="zh-CN"/>
                    </w:rPr>
                    <w:t>项目</w:t>
                  </w:r>
                  <w:r>
                    <w:rPr>
                      <w:rFonts w:hint="eastAsia" w:ascii="Times New Roman" w:hAnsi="Times New Roman" w:cs="Times New Roman"/>
                      <w:b w:val="0"/>
                      <w:bCs w:val="0"/>
                      <w:color w:val="auto"/>
                      <w:sz w:val="21"/>
                      <w:szCs w:val="21"/>
                      <w:lang w:val="en-US" w:eastAsia="zh-CN"/>
                    </w:rPr>
                    <w:t>属于</w:t>
                  </w:r>
                  <w:r>
                    <w:rPr>
                      <w:rFonts w:hint="default" w:ascii="Times New Roman" w:hAnsi="Times New Roman" w:eastAsia="宋体" w:cs="Times New Roman"/>
                      <w:b w:val="0"/>
                      <w:bCs w:val="0"/>
                      <w:color w:val="auto"/>
                      <w:sz w:val="21"/>
                      <w:szCs w:val="21"/>
                    </w:rPr>
                    <w:t>餐厨废弃物资源综合利用项目</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b w:val="0"/>
                      <w:bCs w:val="0"/>
                      <w:color w:val="auto"/>
                      <w:sz w:val="21"/>
                      <w:szCs w:val="21"/>
                      <w:vertAlign w:val="baseline"/>
                      <w:lang w:val="en-US" w:eastAsia="zh-CN"/>
                    </w:rPr>
                    <w:t>钢铁、石化、化工、焦化、建材、有色行业中的高污染项目</w:t>
                  </w:r>
                  <w:r>
                    <w:rPr>
                      <w:rFonts w:hint="eastAsia" w:ascii="Times New Roman" w:hAnsi="Times New Roman" w:eastAsia="宋体" w:cs="Times New Roman"/>
                      <w:b w:val="0"/>
                      <w:bCs w:val="0"/>
                      <w:color w:val="auto"/>
                      <w:sz w:val="21"/>
                      <w:szCs w:val="21"/>
                      <w:vertAlign w:val="baseline"/>
                      <w:lang w:val="en-US" w:eastAsia="zh-CN"/>
                    </w:rPr>
                    <w:t>；</w:t>
                  </w:r>
                </w:p>
                <w:p>
                  <w:pPr>
                    <w:pStyle w:val="6"/>
                    <w:pageBreakBefore w:val="0"/>
                    <w:widowControl w:val="0"/>
                    <w:kinsoku/>
                    <w:overflowPunct/>
                    <w:topLinePunct w:val="0"/>
                    <w:bidi w:val="0"/>
                    <w:adjustRightInd/>
                    <w:snapToGrid/>
                    <w:spacing w:line="240" w:lineRule="auto"/>
                    <w:ind w:firstLine="0" w:firstLineChars="0"/>
                    <w:textAlignment w:val="auto"/>
                    <w:rPr>
                      <w:rFonts w:hint="eastAsia"/>
                      <w:snapToGrid w:val="0"/>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7、</w:t>
                  </w:r>
                  <w:r>
                    <w:rPr>
                      <w:rFonts w:hint="eastAsia"/>
                      <w:snapToGrid w:val="0"/>
                      <w:color w:val="auto"/>
                      <w:sz w:val="21"/>
                      <w:szCs w:val="21"/>
                      <w:lang w:val="en-US" w:eastAsia="zh-CN"/>
                    </w:rPr>
                    <w:t>本项目不设废水</w:t>
                  </w:r>
                  <w:r>
                    <w:rPr>
                      <w:rFonts w:hint="eastAsia"/>
                      <w:snapToGrid w:val="0"/>
                      <w:color w:val="auto"/>
                      <w:sz w:val="21"/>
                      <w:szCs w:val="21"/>
                      <w:shd w:val="clear" w:fill="FFFFFF"/>
                      <w:lang w:val="en-US" w:eastAsia="zh-CN"/>
                    </w:rPr>
                    <w:t>排</w:t>
                  </w:r>
                  <w:r>
                    <w:rPr>
                      <w:rFonts w:hint="eastAsia"/>
                      <w:snapToGrid w:val="0"/>
                      <w:color w:val="auto"/>
                      <w:sz w:val="21"/>
                      <w:szCs w:val="21"/>
                      <w:lang w:val="en-US" w:eastAsia="zh-CN"/>
                    </w:rPr>
                    <w:t>口，大气污染物主要为颗粒物、二氧化硫、氮氧化物</w:t>
                  </w:r>
                  <w:r>
                    <w:rPr>
                      <w:rFonts w:hint="eastAsia" w:ascii="Times New Roman" w:hAnsi="Times New Roman" w:eastAsia="宋体"/>
                      <w:snapToGrid w:val="0"/>
                      <w:color w:val="auto"/>
                      <w:sz w:val="21"/>
                      <w:szCs w:val="21"/>
                      <w:lang w:val="en-US" w:eastAsia="zh-CN"/>
                    </w:rPr>
                    <w:t>、硫化氢、氨、臭气浓度，本项目处置车间恶臭通过微负压风机收集后采用生物洗涤塔处理，经15m高DA001排气筒排放；生物质锅炉燃烧废气通过</w:t>
                  </w:r>
                  <w:r>
                    <w:rPr>
                      <w:rFonts w:hint="eastAsia"/>
                      <w:snapToGrid w:val="0"/>
                      <w:color w:val="auto"/>
                      <w:sz w:val="21"/>
                      <w:szCs w:val="21"/>
                      <w:lang w:val="en-US" w:eastAsia="zh-CN"/>
                    </w:rPr>
                    <w:t>布袋除尘器</w:t>
                  </w:r>
                  <w:r>
                    <w:rPr>
                      <w:rFonts w:hint="eastAsia" w:ascii="Times New Roman" w:hAnsi="Times New Roman" w:eastAsia="宋体"/>
                      <w:snapToGrid w:val="0"/>
                      <w:color w:val="auto"/>
                      <w:sz w:val="21"/>
                      <w:szCs w:val="21"/>
                      <w:lang w:val="en-US" w:eastAsia="zh-CN"/>
                    </w:rPr>
                    <w:t>处理后经</w:t>
                  </w:r>
                  <w:r>
                    <w:rPr>
                      <w:rFonts w:hint="eastAsia"/>
                      <w:snapToGrid w:val="0"/>
                      <w:color w:val="auto"/>
                      <w:sz w:val="21"/>
                      <w:szCs w:val="21"/>
                      <w:lang w:val="en-US" w:eastAsia="zh-CN"/>
                    </w:rPr>
                    <w:t>30</w:t>
                  </w:r>
                  <w:r>
                    <w:rPr>
                      <w:rFonts w:hint="eastAsia" w:ascii="Times New Roman" w:hAnsi="Times New Roman" w:eastAsia="宋体"/>
                      <w:snapToGrid w:val="0"/>
                      <w:color w:val="auto"/>
                      <w:sz w:val="21"/>
                      <w:szCs w:val="21"/>
                      <w:lang w:val="en-US" w:eastAsia="zh-CN"/>
                    </w:rPr>
                    <w:t>m高DA002排气筒排放；采取本次环评提出的各项措施后，</w:t>
                  </w:r>
                  <w:r>
                    <w:rPr>
                      <w:rFonts w:hint="eastAsia"/>
                      <w:snapToGrid w:val="0"/>
                      <w:color w:val="auto"/>
                      <w:sz w:val="21"/>
                      <w:szCs w:val="21"/>
                      <w:lang w:val="en-US" w:eastAsia="zh-CN"/>
                    </w:rPr>
                    <w:t>经采取治理措施后能够做到达标排放。项目对周边地表水环境及大气环境影响较小；</w:t>
                  </w:r>
                </w:p>
                <w:p>
                  <w:pPr>
                    <w:pStyle w:val="6"/>
                    <w:pageBreakBefore w:val="0"/>
                    <w:widowControl w:val="0"/>
                    <w:kinsoku/>
                    <w:overflowPunct/>
                    <w:topLinePunct w:val="0"/>
                    <w:bidi w:val="0"/>
                    <w:adjustRightInd/>
                    <w:snapToGrid/>
                    <w:spacing w:line="240" w:lineRule="auto"/>
                    <w:ind w:firstLine="0" w:firstLineChars="0"/>
                    <w:textAlignment w:val="auto"/>
                    <w:rPr>
                      <w:rFonts w:hint="eastAsia"/>
                      <w:b/>
                      <w:bCs/>
                      <w:color w:val="auto"/>
                      <w:sz w:val="21"/>
                      <w:szCs w:val="21"/>
                      <w:lang w:val="en-US" w:eastAsia="zh-CN" w:bidi="en-US"/>
                    </w:rPr>
                  </w:pPr>
                  <w:r>
                    <w:rPr>
                      <w:rFonts w:hint="eastAsia"/>
                      <w:snapToGrid w:val="0"/>
                      <w:color w:val="auto"/>
                      <w:sz w:val="21"/>
                      <w:szCs w:val="21"/>
                      <w:lang w:val="en-US" w:eastAsia="zh-CN"/>
                    </w:rPr>
                    <w:t>8、项目位于</w:t>
                  </w:r>
                  <w:r>
                    <w:rPr>
                      <w:rFonts w:hint="eastAsia"/>
                      <w:color w:val="auto"/>
                      <w:sz w:val="21"/>
                      <w:szCs w:val="21"/>
                      <w:lang w:val="en-US" w:eastAsia="zh-CN" w:bidi="en-US"/>
                    </w:rPr>
                    <w:t>师宗县彩云镇彩云中学砖厂</w:t>
                  </w:r>
                  <w:r>
                    <w:rPr>
                      <w:rFonts w:hint="eastAsia"/>
                      <w:color w:val="auto"/>
                      <w:sz w:val="21"/>
                      <w:szCs w:val="21"/>
                      <w:shd w:val="clear" w:fill="FFFFFF"/>
                      <w:lang w:val="en-US" w:eastAsia="zh-CN" w:bidi="en-US"/>
                    </w:rPr>
                    <w:t>旁</w:t>
                  </w:r>
                  <w:r>
                    <w:rPr>
                      <w:rFonts w:hint="eastAsia"/>
                      <w:color w:val="auto"/>
                      <w:sz w:val="21"/>
                      <w:szCs w:val="21"/>
                      <w:lang w:val="en-US" w:eastAsia="zh-CN" w:bidi="en-US"/>
                    </w:rPr>
                    <w:t>；</w:t>
                  </w:r>
                  <w:r>
                    <w:rPr>
                      <w:rFonts w:hint="eastAsia"/>
                      <w:b w:val="0"/>
                      <w:bCs w:val="0"/>
                      <w:color w:val="auto"/>
                      <w:sz w:val="21"/>
                      <w:szCs w:val="21"/>
                      <w:lang w:val="en-US" w:eastAsia="zh-CN" w:bidi="en-US"/>
                    </w:rPr>
                    <w:t>属于</w:t>
                  </w:r>
                  <w:r>
                    <w:rPr>
                      <w:rFonts w:hint="eastAsia"/>
                      <w:b w:val="0"/>
                      <w:bCs w:val="0"/>
                      <w:color w:val="auto"/>
                      <w:sz w:val="21"/>
                      <w:szCs w:val="21"/>
                      <w:lang w:bidi="en-US"/>
                    </w:rPr>
                    <w:t>曲靖市一般管控单元</w:t>
                  </w:r>
                  <w:r>
                    <w:rPr>
                      <w:rFonts w:hint="eastAsia"/>
                      <w:b w:val="0"/>
                      <w:bCs w:val="0"/>
                      <w:color w:val="auto"/>
                      <w:sz w:val="21"/>
                      <w:szCs w:val="21"/>
                      <w:lang w:eastAsia="zh-CN" w:bidi="en-US"/>
                    </w:rPr>
                    <w:t>；</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u w:val="none"/>
                    </w:rPr>
                    <w:t>污染物排放管控</w:t>
                  </w:r>
                </w:p>
              </w:tc>
              <w:tc>
                <w:tcPr>
                  <w:tcW w:w="2615" w:type="dxa"/>
                  <w:vAlign w:val="center"/>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推进以能源、化工、冶金、建材、造纸、农副食品加工、工业涂装和包装印刷等行业为重点的清洁生产审核工作，具体行业包括但不限于煤矿、火力发电，甲醇、焦化、氮肥、磷肥、氯碱、电石、制药、农药、黄磷、铬盐生产，钢铁、铁合金铅锌铝冶炼及再生，水泥、石灰、建筑陶瓷、平板玻璃、沥青防水材料，</w:t>
                  </w:r>
                  <w:r>
                    <w:rPr>
                      <w:rFonts w:hint="eastAsia" w:cs="Times New Roman"/>
                      <w:color w:val="auto"/>
                      <w:kern w:val="0"/>
                      <w:sz w:val="21"/>
                      <w:szCs w:val="21"/>
                      <w:lang w:eastAsia="zh-CN"/>
                    </w:rPr>
                    <w:t>制浆</w:t>
                  </w:r>
                  <w:r>
                    <w:rPr>
                      <w:rFonts w:hint="default" w:ascii="Times New Roman" w:hAnsi="Times New Roman" w:cs="Times New Roman"/>
                      <w:color w:val="auto"/>
                      <w:kern w:val="0"/>
                      <w:sz w:val="21"/>
                      <w:szCs w:val="21"/>
                    </w:rPr>
                    <w:t>造纸，酿造、味精、柠檬酸、酶制剂、酵母，新能源电池</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正负极材料），多晶硅、单晶硅、有机硅，工业涂装和包装印刷等行业。</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2.落实云南省碳达峰碳中和相关要求，处理好发展和减排、整体和局部、长远目标和短期目标、政府和市场的关系，加快推动减污降碳协同创新试点，坚定不移走生态优先、绿色低碳的高质量发展道路。</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3.加大重点流域水污染防治，确保水质如期达标。南盘江</w:t>
                  </w:r>
                  <w:r>
                    <w:rPr>
                      <w:rFonts w:hint="default" w:ascii="Times New Roman" w:hAnsi="Times New Roman" w:cs="Times New Roman"/>
                      <w:color w:val="auto"/>
                      <w:kern w:val="0"/>
                      <w:sz w:val="21"/>
                      <w:szCs w:val="21"/>
                      <w:shd w:val="clear" w:fill="FFFFFF"/>
                    </w:rPr>
                    <w:t>龚</w:t>
                  </w:r>
                  <w:r>
                    <w:rPr>
                      <w:rFonts w:hint="default" w:ascii="Times New Roman" w:hAnsi="Times New Roman" w:cs="Times New Roman"/>
                      <w:color w:val="auto"/>
                      <w:kern w:val="0"/>
                      <w:sz w:val="21"/>
                      <w:szCs w:val="21"/>
                    </w:rPr>
                    <w:t>家坝、北盘江旧营桥等断面汇水区，新建、改建、扩建重点行业建设项目实行主要污染物排放减量置换。到2025年，牛栏江、南盘江、北盘江流域内所有城镇区域内实现生活污水处理设施全覆盖、生活污水全处理。</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牛栏江等流域内，严格按照《云南省牛栏江保护条例》《牛栏江流域（云南部分）水环境保护规划报告》及其中期评估报告有关要求，禁止在牛栏江水源保护区核心区新建、改建、扩建排污口。牛栏江流域上游保护区内已设置排污口的生产企业，排放水污染物应当符合国家或者地方规定的水污染物排放标准和重点水污染物排放总量控制指标。</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5.严格保护集中式饮用水水源地，整治饮用水源保护区内的污染源，确保饮水安全。</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全面开展城市（县城）排水管网排查整治，消除城市建成区管网空白区、污水直排口，解决雨污混流、管网破损漏损、错接混接等问题。加大城市生活污水提标改造及扩容工作力度，麒麟区、沾益区、曲靖经开区新、改、扩建城市生活污水集中处理设施及工业园区污水集中处理设施污染物排放标准严格执行《地表水环境质量标准》</w:t>
                  </w:r>
                  <w:r>
                    <w:rPr>
                      <w:rFonts w:hint="eastAsia" w:cs="Times New Roman"/>
                      <w:color w:val="auto"/>
                      <w:kern w:val="0"/>
                      <w:sz w:val="21"/>
                      <w:szCs w:val="21"/>
                      <w:lang w:eastAsia="zh-CN"/>
                    </w:rPr>
                    <w:t>Ⅳ类</w:t>
                  </w:r>
                  <w:r>
                    <w:rPr>
                      <w:rFonts w:hint="default" w:ascii="Times New Roman" w:hAnsi="Times New Roman" w:cs="Times New Roman"/>
                      <w:color w:val="auto"/>
                      <w:kern w:val="0"/>
                      <w:sz w:val="21"/>
                      <w:szCs w:val="21"/>
                    </w:rPr>
                    <w:t>标准 （其中总氮&lt;10mg/L，</w:t>
                  </w:r>
                  <w:r>
                    <w:rPr>
                      <w:rFonts w:hint="eastAsia" w:cs="Times New Roman"/>
                      <w:color w:val="auto"/>
                      <w:kern w:val="0"/>
                      <w:sz w:val="21"/>
                      <w:szCs w:val="21"/>
                      <w:lang w:eastAsia="zh-CN"/>
                    </w:rPr>
                    <w:t>粪大肠菌群</w:t>
                  </w:r>
                  <w:r>
                    <w:rPr>
                      <w:rFonts w:hint="default" w:ascii="Times New Roman" w:hAnsi="Times New Roman" w:cs="Times New Roman"/>
                      <w:color w:val="auto"/>
                      <w:kern w:val="0"/>
                      <w:sz w:val="21"/>
                      <w:szCs w:val="21"/>
                    </w:rPr>
                    <w:t>&lt;1000 个/L）。陆良县、宣威市根据水生态环境质量变化趋势适时推进执行《地表水环境质量标准》</w:t>
                  </w:r>
                  <w:r>
                    <w:rPr>
                      <w:rFonts w:hint="eastAsia" w:cs="Times New Roman"/>
                      <w:color w:val="auto"/>
                      <w:kern w:val="0"/>
                      <w:sz w:val="21"/>
                      <w:szCs w:val="21"/>
                      <w:lang w:eastAsia="zh-CN"/>
                    </w:rPr>
                    <w:t>Ⅳ类</w:t>
                  </w:r>
                  <w:r>
                    <w:rPr>
                      <w:rFonts w:hint="default" w:ascii="Times New Roman" w:hAnsi="Times New Roman" w:cs="Times New Roman"/>
                      <w:color w:val="auto"/>
                      <w:kern w:val="0"/>
                      <w:sz w:val="21"/>
                      <w:szCs w:val="21"/>
                    </w:rPr>
                    <w:t>标准</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其中总氮&lt;10mg/L，</w:t>
                  </w:r>
                  <w:r>
                    <w:rPr>
                      <w:rFonts w:hint="eastAsia" w:cs="Times New Roman"/>
                      <w:color w:val="auto"/>
                      <w:kern w:val="0"/>
                      <w:sz w:val="21"/>
                      <w:szCs w:val="21"/>
                      <w:lang w:eastAsia="zh-CN"/>
                    </w:rPr>
                    <w:t>粪大肠菌群</w:t>
                  </w:r>
                  <w:r>
                    <w:rPr>
                      <w:rFonts w:hint="default" w:ascii="Times New Roman" w:hAnsi="Times New Roman" w:cs="Times New Roman"/>
                      <w:color w:val="auto"/>
                      <w:kern w:val="0"/>
                      <w:sz w:val="21"/>
                      <w:szCs w:val="21"/>
                    </w:rPr>
                    <w:t>&lt;1000个/L）。其他县（市、区）执行《城镇污水处理厂污染物排放标准》一级标准 A 标准。</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7.加快推进污泥无害化处理处置工程建设，鼓励采用资源化利用方式处理处置污泥，经处理后的污泥达到《农用污泥污染物控制标准》（GB4282—2018）要求的用于还田利用。</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8.加快生活垃圾处理设施建设，推进实施生活垃圾焚烧发电，全面提升城镇生活垃圾分类收转运能力和厨余垃圾处理能力。</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到2025年，中心城区、县城中心城市建成区基本实现污水全收集、全处理，建制镇污水收集处理能力明显提升，中心城市、县城平均污泥无害化处理率达到90%以上，力争实现全市生活垃圾焚烧处理实现全覆盖，餐厨垃圾实现零填埋无害化处理。</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到2025年，全市农村生活污水治理率达到40%以上，城乡生活垃圾焚烧处理比重达90%以上，全市农村卫生户厕覆盖率达到70%以上，农膜回收率达到90%以上，秸秆综合利用率稳定在90%以上，畜禽粪污综合利用率达到95%以上</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基本实现化肥农药施用量减少3%以上。</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11.严把新建、改扩建涉重金属重点行业建设项目审批关，切实降低区域重金属排放总量。会泽县新、改、扩建涉重金属重点行业建设项目重点重金属污染物排放遵循</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减量替代</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原则，替代比例不低于1.2:1</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其他县</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市、区</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遵循</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等量替代</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原则。</w:t>
                  </w:r>
                </w:p>
                <w:p>
                  <w:pPr>
                    <w:keepNext w:val="0"/>
                    <w:keepLines w:val="0"/>
                    <w:pageBreakBefore w:val="0"/>
                    <w:widowControl w:val="0"/>
                    <w:kinsoku/>
                    <w:overflowPunct/>
                    <w:topLinePunct w:val="0"/>
                    <w:autoSpaceDE/>
                    <w:bidi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12.到2025年，曲靖市重点行业重点重金属污染物排放量比2020年下降6%。</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kern w:val="0"/>
                      <w:sz w:val="21"/>
                      <w:szCs w:val="21"/>
                    </w:rPr>
                    <w:t>13.到2025年，全市化学需氧量、氨氮、氮氧化物、挥发性有机物排放总量等重点工程减排量分别达到7984吨、496吨、3611吨、1181吨。</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color w:val="auto"/>
                      <w:kern w:val="0"/>
                      <w:sz w:val="21"/>
                      <w:szCs w:val="21"/>
                      <w:lang w:val="en-US" w:eastAsia="zh-CN" w:bidi="ar-SA"/>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color w:val="auto"/>
                      <w:kern w:val="0"/>
                      <w:sz w:val="21"/>
                      <w:szCs w:val="21"/>
                      <w:lang w:val="en-US" w:eastAsia="zh-CN" w:bidi="ar-SA"/>
                    </w:rPr>
                    <w:t>，不属于</w:t>
                  </w:r>
                  <w:r>
                    <w:rPr>
                      <w:rFonts w:hint="default" w:ascii="Times New Roman" w:hAnsi="Times New Roman" w:cs="Times New Roman"/>
                      <w:color w:val="auto"/>
                      <w:kern w:val="0"/>
                      <w:sz w:val="21"/>
                      <w:szCs w:val="21"/>
                    </w:rPr>
                    <w:t>能源、化工、冶金、建材、造纸、农副食品加工、工业涂装和包装印刷</w:t>
                  </w:r>
                  <w:r>
                    <w:rPr>
                      <w:rFonts w:hint="eastAsia" w:ascii="Times New Roman" w:hAnsi="Times New Roman" w:cs="Times New Roman"/>
                      <w:color w:val="auto"/>
                      <w:kern w:val="0"/>
                      <w:sz w:val="21"/>
                      <w:szCs w:val="21"/>
                      <w:lang w:val="en-US" w:eastAsia="zh-CN"/>
                    </w:rPr>
                    <w:t>等行业</w:t>
                  </w:r>
                  <w:r>
                    <w:rPr>
                      <w:rFonts w:hint="eastAsia" w:ascii="Times New Roman" w:hAnsi="Times New Roman" w:cs="Times New Roman"/>
                      <w:b w:val="0"/>
                      <w:bCs/>
                      <w:color w:val="auto"/>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2、项目运营期严格落实云南省碳达峰碳中和相关要求，处理好发展和减排、整体和局部、长远目标和短期目标、政府和市场的关系，坚定不移走生态优先、绿色低碳的高质量发展道路</w:t>
                  </w:r>
                  <w:r>
                    <w:rPr>
                      <w:rFonts w:hint="eastAsia" w:ascii="Times New Roman" w:hAnsi="Times New Roman" w:eastAsia="宋体" w:cs="Times New Roman"/>
                      <w:b w:val="0"/>
                      <w:bCs w:val="0"/>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green"/>
                      <w:vertAlign w:val="baseline"/>
                      <w:lang w:val="en-US" w:eastAsia="zh-CN"/>
                    </w:rPr>
                  </w:pPr>
                  <w:r>
                    <w:rPr>
                      <w:rFonts w:hint="eastAsia" w:ascii="Times New Roman" w:hAnsi="Times New Roman" w:eastAsia="宋体" w:cs="Times New Roman"/>
                      <w:b w:val="0"/>
                      <w:bCs w:val="0"/>
                      <w:snapToGrid w:val="0"/>
                      <w:color w:val="auto"/>
                      <w:sz w:val="21"/>
                      <w:szCs w:val="21"/>
                      <w:highlight w:val="none"/>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w:t>
                  </w:r>
                  <w:r>
                    <w:rPr>
                      <w:rFonts w:hint="eastAsia" w:ascii="Times New Roman" w:hAnsi="Times New Roman" w:eastAsia="宋体" w:cs="Times New Roman"/>
                      <w:b w:val="0"/>
                      <w:bCs w:val="0"/>
                      <w:snapToGrid w:val="0"/>
                      <w:color w:val="auto"/>
                      <w:sz w:val="21"/>
                      <w:szCs w:val="21"/>
                      <w:highlight w:val="none"/>
                      <w:lang w:val="en-US" w:eastAsia="zh-CN"/>
                    </w:rPr>
                    <w:t>红土河下游最近断面为泸西县境内的小江益谷坝断面，属于“十四五”调整优化监测断面，距离本项目区14km，根据泸西县人民政府门户网站发布的《泸西县2023年环境质量状况报告》小江河益谷坝断面全年满足《地表水环境质量标准》（GB3838-2002）Ⅲ类标准（达到或优于Ⅲ类标准）；本项目不设废水</w:t>
                  </w:r>
                  <w:r>
                    <w:rPr>
                      <w:rFonts w:hint="eastAsia" w:ascii="Times New Roman" w:hAnsi="Times New Roman" w:eastAsia="宋体" w:cs="Times New Roman"/>
                      <w:b w:val="0"/>
                      <w:bCs w:val="0"/>
                      <w:snapToGrid w:val="0"/>
                      <w:color w:val="auto"/>
                      <w:sz w:val="21"/>
                      <w:szCs w:val="21"/>
                      <w:highlight w:val="none"/>
                      <w:shd w:val="clear" w:fill="FFFFFF"/>
                      <w:lang w:val="en-US" w:eastAsia="zh-CN"/>
                    </w:rPr>
                    <w:t>排</w:t>
                  </w:r>
                  <w:r>
                    <w:rPr>
                      <w:rFonts w:hint="eastAsia" w:ascii="Times New Roman" w:hAnsi="Times New Roman" w:eastAsia="宋体" w:cs="Times New Roman"/>
                      <w:b w:val="0"/>
                      <w:bCs w:val="0"/>
                      <w:snapToGrid w:val="0"/>
                      <w:color w:val="auto"/>
                      <w:sz w:val="21"/>
                      <w:szCs w:val="21"/>
                      <w:highlight w:val="none"/>
                      <w:lang w:val="en-US" w:eastAsia="zh-CN"/>
                    </w:rPr>
                    <w:t>口，生产废水经一体化污水处理站处理达标后暂存于污水池，通过罐车运送至师宗县彩云镇生活污水处理站进行处理，不排入周边地表水体；生活污水进入化粪池处理后委托周边村民清</w:t>
                  </w:r>
                  <w:r>
                    <w:rPr>
                      <w:rFonts w:hint="eastAsia" w:ascii="Times New Roman" w:hAnsi="Times New Roman" w:eastAsia="宋体" w:cs="Times New Roman"/>
                      <w:b w:val="0"/>
                      <w:bCs w:val="0"/>
                      <w:snapToGrid w:val="0"/>
                      <w:color w:val="auto"/>
                      <w:sz w:val="21"/>
                      <w:szCs w:val="21"/>
                      <w:highlight w:val="none"/>
                      <w:shd w:val="clear" w:fill="FFFFFF"/>
                      <w:lang w:val="en-US" w:eastAsia="zh-CN"/>
                    </w:rPr>
                    <w:t>掏</w:t>
                  </w:r>
                  <w:r>
                    <w:rPr>
                      <w:rFonts w:hint="eastAsia" w:ascii="Times New Roman" w:hAnsi="Times New Roman" w:eastAsia="宋体" w:cs="Times New Roman"/>
                      <w:b w:val="0"/>
                      <w:bCs w:val="0"/>
                      <w:snapToGrid w:val="0"/>
                      <w:color w:val="auto"/>
                      <w:sz w:val="21"/>
                      <w:szCs w:val="21"/>
                      <w:highlight w:val="none"/>
                      <w:lang w:val="en-US" w:eastAsia="zh-CN"/>
                    </w:rPr>
                    <w:t>施肥，不涉及灌溉</w:t>
                  </w:r>
                  <w:r>
                    <w:rPr>
                      <w:rFonts w:hint="default" w:ascii="Times New Roman" w:hAnsi="Times New Roman" w:eastAsia="宋体" w:cs="Times New Roman"/>
                      <w:b w:val="0"/>
                      <w:bCs w:val="0"/>
                      <w:color w:val="auto"/>
                      <w:sz w:val="21"/>
                      <w:szCs w:val="21"/>
                      <w:highlight w:val="none"/>
                      <w:vertAlign w:val="baseline"/>
                      <w:lang w:val="en-US" w:eastAsia="zh-CN"/>
                    </w:rPr>
                    <w:t>；</w:t>
                  </w:r>
                </w:p>
                <w:p>
                  <w:pPr>
                    <w:pStyle w:val="4"/>
                    <w:keepNext/>
                    <w:keepLines/>
                    <w:pageBreakBefore w:val="0"/>
                    <w:widowControl w:val="0"/>
                    <w:kinsoku/>
                    <w:wordWrap w:val="0"/>
                    <w:overflowPunct/>
                    <w:topLinePunct w:val="0"/>
                    <w:autoSpaceDE/>
                    <w:autoSpaceDN w:val="0"/>
                    <w:bidi w:val="0"/>
                    <w:adjustRightInd/>
                    <w:snapToGrid/>
                    <w:spacing w:before="0" w:after="0" w:line="240" w:lineRule="auto"/>
                    <w:ind w:firstLine="0" w:firstLineChars="0"/>
                    <w:textAlignment w:val="auto"/>
                    <w:rPr>
                      <w:rFonts w:hint="default" w:eastAsiaTheme="majorEastAsia"/>
                      <w:b w:val="0"/>
                      <w:bCs w:val="0"/>
                      <w:color w:val="auto"/>
                      <w:sz w:val="21"/>
                      <w:szCs w:val="21"/>
                      <w:highlight w:val="green"/>
                      <w:lang w:val="en-US" w:eastAsia="zh-CN"/>
                    </w:rPr>
                  </w:pPr>
                  <w:r>
                    <w:rPr>
                      <w:rFonts w:hint="eastAsia" w:ascii="Times New Roman" w:hAnsi="Times New Roman" w:eastAsia="宋体" w:cs="Times New Roman"/>
                      <w:b w:val="0"/>
                      <w:bCs w:val="0"/>
                      <w:color w:val="auto"/>
                      <w:sz w:val="21"/>
                      <w:szCs w:val="21"/>
                      <w:vertAlign w:val="baseline"/>
                      <w:lang w:val="en-US" w:eastAsia="zh-CN"/>
                    </w:rPr>
                    <w:t>4、项目属于新建项目，项目运营期</w:t>
                  </w:r>
                  <w:r>
                    <w:rPr>
                      <w:rFonts w:hint="default" w:ascii="Times New Roman" w:hAnsi="Times New Roman" w:cs="Times New Roman"/>
                      <w:b w:val="0"/>
                      <w:bCs w:val="0"/>
                      <w:color w:val="auto"/>
                      <w:kern w:val="0"/>
                      <w:sz w:val="21"/>
                      <w:szCs w:val="21"/>
                    </w:rPr>
                    <w:t>严格按照《云南省牛栏江保护条例》《牛栏江流域（云南部分）水环境保护规划报告》及其中期评估报告有关要求</w:t>
                  </w:r>
                  <w:r>
                    <w:rPr>
                      <w:rFonts w:hint="eastAsia" w:ascii="Times New Roman" w:hAnsi="Times New Roman" w:cs="Times New Roman"/>
                      <w:b w:val="0"/>
                      <w:bCs w:val="0"/>
                      <w:color w:val="auto"/>
                      <w:kern w:val="0"/>
                      <w:sz w:val="21"/>
                      <w:szCs w:val="21"/>
                      <w:lang w:val="en-US" w:eastAsia="zh-CN"/>
                    </w:rPr>
                    <w:t>进行管理</w:t>
                  </w:r>
                  <w:r>
                    <w:rPr>
                      <w:rFonts w:hint="eastAsia" w:ascii="Times New Roman" w:hAnsi="Times New Roman" w:cs="Times New Roman"/>
                      <w:b w:val="0"/>
                      <w:bCs w:val="0"/>
                      <w:color w:val="auto"/>
                      <w:kern w:val="0"/>
                      <w:sz w:val="21"/>
                      <w:szCs w:val="21"/>
                      <w:highlight w:val="none"/>
                      <w:lang w:val="en-US" w:eastAsia="zh-CN"/>
                    </w:rPr>
                    <w:t>；</w:t>
                  </w:r>
                  <w:r>
                    <w:rPr>
                      <w:rFonts w:hint="eastAsia" w:ascii="Times New Roman" w:hAnsi="Times New Roman" w:eastAsia="宋体" w:cs="Times New Roman"/>
                      <w:b w:val="0"/>
                      <w:bCs w:val="0"/>
                      <w:snapToGrid w:val="0"/>
                      <w:color w:val="auto"/>
                      <w:sz w:val="21"/>
                      <w:szCs w:val="21"/>
                      <w:highlight w:val="none"/>
                      <w:lang w:val="en-US" w:eastAsia="zh-CN"/>
                    </w:rPr>
                    <w:t>本项目不设废水</w:t>
                  </w:r>
                  <w:r>
                    <w:rPr>
                      <w:rFonts w:hint="eastAsia" w:ascii="Times New Roman" w:hAnsi="Times New Roman" w:eastAsia="宋体" w:cs="Times New Roman"/>
                      <w:b w:val="0"/>
                      <w:bCs w:val="0"/>
                      <w:snapToGrid w:val="0"/>
                      <w:color w:val="auto"/>
                      <w:sz w:val="21"/>
                      <w:szCs w:val="21"/>
                      <w:highlight w:val="none"/>
                      <w:shd w:val="clear" w:fill="FFFFFF"/>
                      <w:lang w:val="en-US" w:eastAsia="zh-CN"/>
                    </w:rPr>
                    <w:t>排</w:t>
                  </w:r>
                  <w:r>
                    <w:rPr>
                      <w:rFonts w:hint="eastAsia" w:ascii="Times New Roman" w:hAnsi="Times New Roman" w:eastAsia="宋体" w:cs="Times New Roman"/>
                      <w:b w:val="0"/>
                      <w:bCs w:val="0"/>
                      <w:snapToGrid w:val="0"/>
                      <w:color w:val="auto"/>
                      <w:sz w:val="21"/>
                      <w:szCs w:val="21"/>
                      <w:highlight w:val="none"/>
                      <w:lang w:val="en-US" w:eastAsia="zh-CN"/>
                    </w:rPr>
                    <w:t>口，生产废水经一体化污水处理站处理达标后暂存于污水池，通过罐车运送至师宗县彩云镇生活污水处理站进行处理，不排入周边地表水体；生活污水进入化粪池处理后委托周边村民清</w:t>
                  </w:r>
                  <w:r>
                    <w:rPr>
                      <w:rFonts w:hint="eastAsia" w:ascii="Times New Roman" w:hAnsi="Times New Roman" w:eastAsia="宋体" w:cs="Times New Roman"/>
                      <w:b w:val="0"/>
                      <w:bCs w:val="0"/>
                      <w:snapToGrid w:val="0"/>
                      <w:color w:val="auto"/>
                      <w:sz w:val="21"/>
                      <w:szCs w:val="21"/>
                      <w:highlight w:val="none"/>
                      <w:shd w:val="clear" w:fill="FFFFFF"/>
                      <w:lang w:val="en-US" w:eastAsia="zh-CN"/>
                    </w:rPr>
                    <w:t>掏</w:t>
                  </w:r>
                  <w:r>
                    <w:rPr>
                      <w:rFonts w:hint="eastAsia" w:ascii="Times New Roman" w:hAnsi="Times New Roman" w:eastAsia="宋体" w:cs="Times New Roman"/>
                      <w:b w:val="0"/>
                      <w:bCs w:val="0"/>
                      <w:snapToGrid w:val="0"/>
                      <w:color w:val="auto"/>
                      <w:sz w:val="21"/>
                      <w:szCs w:val="21"/>
                      <w:highlight w:val="none"/>
                      <w:lang w:val="en-US" w:eastAsia="zh-CN"/>
                    </w:rPr>
                    <w:t>施肥，不涉及灌溉</w:t>
                  </w:r>
                  <w:r>
                    <w:rPr>
                      <w:rFonts w:hint="eastAsia" w:ascii="Times New Roman" w:hAnsi="Times New Roman" w:cs="Times New Roman"/>
                      <w:b w:val="0"/>
                      <w:bCs w:val="0"/>
                      <w:color w:val="auto"/>
                      <w:kern w:val="0"/>
                      <w:sz w:val="21"/>
                      <w:szCs w:val="21"/>
                      <w:highlight w:val="none"/>
                      <w:lang w:val="en-US" w:eastAsia="zh-CN"/>
                    </w:rPr>
                    <w:t>，项目不设置总量控制指标。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napToGrid w:val="0"/>
                      <w:color w:val="auto"/>
                      <w:sz w:val="21"/>
                      <w:szCs w:val="21"/>
                      <w:lang w:val="en-US" w:eastAsia="zh-CN"/>
                    </w:rPr>
                  </w:pPr>
                  <w:r>
                    <w:rPr>
                      <w:rFonts w:hint="eastAsia" w:ascii="Times New Roman" w:hAnsi="Times New Roman" w:eastAsia="宋体" w:cs="Times New Roman"/>
                      <w:b w:val="0"/>
                      <w:bCs w:val="0"/>
                      <w:color w:val="auto"/>
                      <w:sz w:val="21"/>
                      <w:szCs w:val="21"/>
                      <w:vertAlign w:val="baseline"/>
                      <w:lang w:val="en-US" w:eastAsia="zh-CN"/>
                    </w:rPr>
                    <w:t>5、</w:t>
                  </w:r>
                  <w:r>
                    <w:rPr>
                      <w:rFonts w:hint="eastAsia" w:ascii="Times New Roman" w:hAnsi="Times New Roman" w:eastAsia="宋体" w:cs="Times New Roman"/>
                      <w:b w:val="0"/>
                      <w:bCs w:val="0"/>
                      <w:snapToGrid w:val="0"/>
                      <w:color w:val="auto"/>
                      <w:sz w:val="21"/>
                      <w:szCs w:val="21"/>
                      <w:highlight w:val="none"/>
                      <w:lang w:val="en-US" w:eastAsia="zh-CN"/>
                    </w:rPr>
                    <w:t>本项目不设废水</w:t>
                  </w:r>
                  <w:r>
                    <w:rPr>
                      <w:rFonts w:hint="eastAsia" w:ascii="Times New Roman" w:hAnsi="Times New Roman" w:eastAsia="宋体" w:cs="Times New Roman"/>
                      <w:b w:val="0"/>
                      <w:bCs w:val="0"/>
                      <w:snapToGrid w:val="0"/>
                      <w:color w:val="auto"/>
                      <w:sz w:val="21"/>
                      <w:szCs w:val="21"/>
                      <w:highlight w:val="none"/>
                      <w:shd w:val="clear" w:fill="FFFFFF"/>
                      <w:lang w:val="en-US" w:eastAsia="zh-CN"/>
                    </w:rPr>
                    <w:t>排</w:t>
                  </w:r>
                  <w:r>
                    <w:rPr>
                      <w:rFonts w:hint="eastAsia" w:ascii="Times New Roman" w:hAnsi="Times New Roman" w:eastAsia="宋体" w:cs="Times New Roman"/>
                      <w:b w:val="0"/>
                      <w:bCs w:val="0"/>
                      <w:snapToGrid w:val="0"/>
                      <w:color w:val="auto"/>
                      <w:sz w:val="21"/>
                      <w:szCs w:val="21"/>
                      <w:highlight w:val="none"/>
                      <w:lang w:val="en-US" w:eastAsia="zh-CN"/>
                    </w:rPr>
                    <w:t>口，生产废水经一体化污水处理站处理达标后暂存于污水池，通过罐车运送至师宗县彩云镇生活污水处理站进行处理，不排入周边地表水体；生活污水进入化粪池处理后委托周边村民清</w:t>
                  </w:r>
                  <w:r>
                    <w:rPr>
                      <w:rFonts w:hint="eastAsia" w:ascii="Times New Roman" w:hAnsi="Times New Roman" w:eastAsia="宋体" w:cs="Times New Roman"/>
                      <w:b w:val="0"/>
                      <w:bCs w:val="0"/>
                      <w:snapToGrid w:val="0"/>
                      <w:color w:val="auto"/>
                      <w:sz w:val="21"/>
                      <w:szCs w:val="21"/>
                      <w:highlight w:val="none"/>
                      <w:shd w:val="clear" w:fill="FFFFFF"/>
                      <w:lang w:val="en-US" w:eastAsia="zh-CN"/>
                    </w:rPr>
                    <w:t>掏</w:t>
                  </w:r>
                  <w:r>
                    <w:rPr>
                      <w:rFonts w:hint="eastAsia" w:ascii="Times New Roman" w:hAnsi="Times New Roman" w:eastAsia="宋体" w:cs="Times New Roman"/>
                      <w:b w:val="0"/>
                      <w:bCs w:val="0"/>
                      <w:snapToGrid w:val="0"/>
                      <w:color w:val="auto"/>
                      <w:sz w:val="21"/>
                      <w:szCs w:val="21"/>
                      <w:highlight w:val="none"/>
                      <w:lang w:val="en-US" w:eastAsia="zh-CN"/>
                    </w:rPr>
                    <w:t>施肥，不涉及灌溉</w:t>
                  </w:r>
                  <w:r>
                    <w:rPr>
                      <w:rFonts w:hint="eastAsia"/>
                      <w:snapToGrid w:val="0"/>
                      <w:color w:val="auto"/>
                      <w:sz w:val="21"/>
                      <w:szCs w:val="21"/>
                      <w:lang w:val="en-US" w:eastAsia="zh-CN"/>
                    </w:rPr>
                    <w:t>。项目对周边地表水环境及大气环境影响较小；</w:t>
                  </w:r>
                </w:p>
                <w:p>
                  <w:pPr>
                    <w:pStyle w:val="4"/>
                    <w:pageBreakBefore w:val="0"/>
                    <w:widowControl w:val="0"/>
                    <w:kinsoku/>
                    <w:overflowPunct/>
                    <w:topLinePunct w:val="0"/>
                    <w:bidi w:val="0"/>
                    <w:adjustRightInd/>
                    <w:snapToGrid/>
                    <w:spacing w:before="0" w:after="0" w:line="240" w:lineRule="auto"/>
                    <w:ind w:firstLine="0" w:firstLineChars="0"/>
                    <w:textAlignment w:val="auto"/>
                    <w:rPr>
                      <w:rFonts w:hint="eastAsia"/>
                      <w:b w:val="0"/>
                      <w:bCs/>
                      <w:color w:val="auto"/>
                      <w:sz w:val="21"/>
                      <w:szCs w:val="21"/>
                      <w:lang w:val="en-US" w:eastAsia="zh-CN"/>
                    </w:rPr>
                  </w:pPr>
                  <w:r>
                    <w:rPr>
                      <w:rFonts w:hint="eastAsia"/>
                      <w:b w:val="0"/>
                      <w:bCs w:val="0"/>
                      <w:snapToGrid w:val="0"/>
                      <w:color w:val="auto"/>
                      <w:sz w:val="21"/>
                      <w:szCs w:val="21"/>
                      <w:lang w:val="en-US" w:eastAsia="zh-CN"/>
                    </w:rPr>
                    <w:t>6、项目属于</w:t>
                  </w:r>
                  <w:r>
                    <w:rPr>
                      <w:rFonts w:hint="default" w:ascii="Times New Roman" w:hAnsi="Times New Roman" w:eastAsia="宋体" w:cs="Times New Roman"/>
                      <w:b w:val="0"/>
                      <w:bCs w:val="0"/>
                      <w:snapToGrid w:val="0"/>
                      <w:color w:val="auto"/>
                      <w:sz w:val="21"/>
                      <w:szCs w:val="21"/>
                      <w:highlight w:val="none"/>
                      <w:lang w:val="en-US" w:eastAsia="zh-CN"/>
                    </w:rPr>
                    <w:t>餐厨废弃物资源综合利用</w:t>
                  </w:r>
                  <w:r>
                    <w:rPr>
                      <w:rFonts w:hint="eastAsia" w:ascii="Times New Roman" w:hAnsi="Times New Roman" w:eastAsia="宋体" w:cs="Times New Roman"/>
                      <w:b w:val="0"/>
                      <w:bCs w:val="0"/>
                      <w:snapToGrid w:val="0"/>
                      <w:color w:val="auto"/>
                      <w:sz w:val="21"/>
                      <w:szCs w:val="21"/>
                      <w:highlight w:val="none"/>
                      <w:lang w:val="en-US" w:eastAsia="zh-CN"/>
                    </w:rPr>
                    <w:t>项目</w:t>
                  </w:r>
                  <w:r>
                    <w:rPr>
                      <w:rFonts w:hint="eastAsia" w:ascii="Times New Roman" w:hAnsi="Times New Roman" w:eastAsia="宋体" w:cs="Times New Roman"/>
                      <w:b w:val="0"/>
                      <w:bCs/>
                      <w:color w:val="auto"/>
                      <w:kern w:val="0"/>
                      <w:sz w:val="21"/>
                      <w:szCs w:val="21"/>
                      <w:lang w:val="en-US" w:eastAsia="zh-CN" w:bidi="ar-SA"/>
                    </w:rPr>
                    <w:t>，</w:t>
                  </w:r>
                  <w:r>
                    <w:rPr>
                      <w:rFonts w:hint="eastAsia"/>
                      <w:b w:val="0"/>
                      <w:bCs w:val="0"/>
                      <w:snapToGrid w:val="0"/>
                      <w:color w:val="auto"/>
                      <w:sz w:val="21"/>
                      <w:szCs w:val="21"/>
                      <w:shd w:val="clear" w:fill="FFFFFF"/>
                      <w:lang w:val="en-US" w:eastAsia="zh-CN"/>
                    </w:rPr>
                    <w:t>且</w:t>
                  </w:r>
                  <w:r>
                    <w:rPr>
                      <w:rFonts w:hint="eastAsia" w:ascii="Times New Roman" w:hAnsi="Times New Roman" w:eastAsia="宋体" w:cs="Times New Roman"/>
                      <w:b w:val="0"/>
                      <w:bCs w:val="0"/>
                      <w:snapToGrid w:val="0"/>
                      <w:color w:val="auto"/>
                      <w:sz w:val="21"/>
                      <w:szCs w:val="21"/>
                      <w:highlight w:val="none"/>
                      <w:lang w:val="en-US" w:eastAsia="zh-CN"/>
                    </w:rPr>
                    <w:t>本项目不设废水</w:t>
                  </w:r>
                  <w:r>
                    <w:rPr>
                      <w:rFonts w:hint="eastAsia" w:ascii="Times New Roman" w:hAnsi="Times New Roman" w:eastAsia="宋体" w:cs="Times New Roman"/>
                      <w:b w:val="0"/>
                      <w:bCs w:val="0"/>
                      <w:snapToGrid w:val="0"/>
                      <w:color w:val="auto"/>
                      <w:sz w:val="21"/>
                      <w:szCs w:val="21"/>
                      <w:highlight w:val="none"/>
                      <w:shd w:val="clear" w:fill="FFFFFF"/>
                      <w:lang w:val="en-US" w:eastAsia="zh-CN"/>
                    </w:rPr>
                    <w:t>排</w:t>
                  </w:r>
                  <w:r>
                    <w:rPr>
                      <w:rFonts w:hint="eastAsia" w:ascii="Times New Roman" w:hAnsi="Times New Roman" w:eastAsia="宋体" w:cs="Times New Roman"/>
                      <w:b w:val="0"/>
                      <w:bCs w:val="0"/>
                      <w:snapToGrid w:val="0"/>
                      <w:color w:val="auto"/>
                      <w:sz w:val="21"/>
                      <w:szCs w:val="21"/>
                      <w:highlight w:val="none"/>
                      <w:lang w:val="en-US" w:eastAsia="zh-CN"/>
                    </w:rPr>
                    <w:t>口，生产废水经一体化污水处理站处理达标后暂存于污水池，通过罐车运送至师宗县彩云镇生活污水处理站进行处理，不排入周边地表水体；生活污水进入化粪池处理后委托周边村民清</w:t>
                  </w:r>
                  <w:r>
                    <w:rPr>
                      <w:rFonts w:hint="eastAsia" w:ascii="Times New Roman" w:hAnsi="Times New Roman" w:eastAsia="宋体" w:cs="Times New Roman"/>
                      <w:b w:val="0"/>
                      <w:bCs w:val="0"/>
                      <w:snapToGrid w:val="0"/>
                      <w:color w:val="auto"/>
                      <w:sz w:val="21"/>
                      <w:szCs w:val="21"/>
                      <w:highlight w:val="none"/>
                      <w:shd w:val="clear" w:fill="FFFFFF"/>
                      <w:lang w:val="en-US" w:eastAsia="zh-CN"/>
                    </w:rPr>
                    <w:t>掏</w:t>
                  </w:r>
                  <w:r>
                    <w:rPr>
                      <w:rFonts w:hint="eastAsia" w:ascii="Times New Roman" w:hAnsi="Times New Roman" w:eastAsia="宋体" w:cs="Times New Roman"/>
                      <w:b w:val="0"/>
                      <w:bCs w:val="0"/>
                      <w:snapToGrid w:val="0"/>
                      <w:color w:val="auto"/>
                      <w:sz w:val="21"/>
                      <w:szCs w:val="21"/>
                      <w:highlight w:val="none"/>
                      <w:lang w:val="en-US" w:eastAsia="zh-CN"/>
                    </w:rPr>
                    <w:t>施肥，不涉及灌溉</w:t>
                  </w:r>
                  <w:r>
                    <w:rPr>
                      <w:rFonts w:hint="eastAsia"/>
                      <w:b w:val="0"/>
                      <w:bCs/>
                      <w:color w:val="auto"/>
                      <w:sz w:val="21"/>
                      <w:szCs w:val="21"/>
                      <w:lang w:val="en-US" w:eastAsia="zh-CN"/>
                    </w:rPr>
                    <w:t>；</w:t>
                  </w:r>
                </w:p>
                <w:p>
                  <w:pPr>
                    <w:pStyle w:val="6"/>
                    <w:pageBreakBefore w:val="0"/>
                    <w:widowControl w:val="0"/>
                    <w:kinsoku/>
                    <w:overflowPunct/>
                    <w:topLinePunct w:val="0"/>
                    <w:bidi w:val="0"/>
                    <w:adjustRightInd/>
                    <w:snapToGrid/>
                    <w:spacing w:line="240" w:lineRule="auto"/>
                    <w:ind w:firstLine="0" w:firstLineChars="0"/>
                    <w:textAlignment w:val="auto"/>
                    <w:rPr>
                      <w:rFonts w:hint="eastAsia"/>
                      <w:color w:val="auto"/>
                      <w:sz w:val="21"/>
                      <w:szCs w:val="21"/>
                      <w:lang w:val="en-US" w:eastAsia="zh-CN"/>
                    </w:rPr>
                  </w:pPr>
                  <w:r>
                    <w:rPr>
                      <w:rFonts w:hint="eastAsia"/>
                      <w:b w:val="0"/>
                      <w:bCs/>
                      <w:color w:val="auto"/>
                      <w:sz w:val="21"/>
                      <w:szCs w:val="21"/>
                      <w:lang w:val="en-US" w:eastAsia="zh-CN"/>
                    </w:rPr>
                    <w:t>7、</w:t>
                  </w:r>
                  <w:r>
                    <w:rPr>
                      <w:rFonts w:hint="eastAsia"/>
                      <w:b w:val="0"/>
                      <w:bCs w:val="0"/>
                      <w:snapToGrid w:val="0"/>
                      <w:color w:val="auto"/>
                      <w:sz w:val="21"/>
                      <w:szCs w:val="21"/>
                      <w:lang w:val="en-US" w:eastAsia="zh-CN"/>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val="0"/>
                      <w:color w:val="auto"/>
                      <w:kern w:val="0"/>
                      <w:sz w:val="21"/>
                      <w:szCs w:val="21"/>
                      <w:lang w:val="en-US" w:eastAsia="zh-CN" w:bidi="ar-SA"/>
                    </w:rPr>
                    <w:t>；运营期产生</w:t>
                  </w:r>
                  <w:r>
                    <w:rPr>
                      <w:rFonts w:hint="eastAsia"/>
                      <w:color w:val="auto"/>
                      <w:sz w:val="21"/>
                      <w:szCs w:val="21"/>
                      <w:lang w:val="en-US" w:eastAsia="zh-CN"/>
                    </w:rPr>
                    <w:t>固废</w:t>
                  </w:r>
                  <w:r>
                    <w:rPr>
                      <w:rFonts w:hint="eastAsia"/>
                      <w:color w:val="auto"/>
                      <w:sz w:val="21"/>
                      <w:szCs w:val="21"/>
                      <w:shd w:val="clear" w:fill="FFFFFF"/>
                      <w:lang w:val="en-US" w:eastAsia="zh-CN"/>
                    </w:rPr>
                    <w:t>能</w:t>
                  </w:r>
                  <w:r>
                    <w:rPr>
                      <w:rFonts w:hint="eastAsia"/>
                      <w:color w:val="auto"/>
                      <w:sz w:val="21"/>
                      <w:szCs w:val="21"/>
                      <w:lang w:val="en-US" w:eastAsia="zh-CN"/>
                    </w:rPr>
                    <w:t>100%综合处置。</w:t>
                  </w:r>
                </w:p>
                <w:p>
                  <w:pPr>
                    <w:pStyle w:val="6"/>
                    <w:pageBreakBefore w:val="0"/>
                    <w:widowControl w:val="0"/>
                    <w:kinsoku/>
                    <w:overflowPunct/>
                    <w:topLinePunct w:val="0"/>
                    <w:bidi w:val="0"/>
                    <w:adjustRightInd/>
                    <w:snapToGrid/>
                    <w:spacing w:line="240" w:lineRule="auto"/>
                    <w:ind w:firstLine="0" w:firstLineChars="0"/>
                    <w:textAlignment w:val="auto"/>
                    <w:rPr>
                      <w:rFonts w:hint="eastAsia" w:ascii="Times New Roman" w:hAnsi="Times New Roman" w:cs="Times New Roman"/>
                      <w:b w:val="0"/>
                      <w:bCs w:val="0"/>
                      <w:color w:val="auto"/>
                      <w:sz w:val="21"/>
                      <w:szCs w:val="21"/>
                      <w:highlight w:val="none"/>
                      <w:lang w:eastAsia="zh-CN"/>
                    </w:rPr>
                  </w:pPr>
                  <w:r>
                    <w:rPr>
                      <w:rFonts w:hint="eastAsia"/>
                      <w:color w:val="auto"/>
                      <w:sz w:val="21"/>
                      <w:szCs w:val="21"/>
                      <w:highlight w:val="none"/>
                      <w:lang w:val="en-US" w:eastAsia="zh-CN"/>
                    </w:rPr>
                    <w:t>8、项目产生</w:t>
                  </w:r>
                  <w:r>
                    <w:rPr>
                      <w:rFonts w:hint="default" w:ascii="Times New Roman" w:hAnsi="Times New Roman" w:eastAsia="宋体" w:cs="Times New Roman"/>
                      <w:b w:val="0"/>
                      <w:bCs w:val="0"/>
                      <w:color w:val="auto"/>
                      <w:kern w:val="21"/>
                      <w:sz w:val="21"/>
                      <w:szCs w:val="21"/>
                      <w:highlight w:val="none"/>
                      <w:lang w:val="en-US" w:eastAsia="zh-CN"/>
                    </w:rPr>
                    <w:t>生活垃圾</w:t>
                  </w:r>
                  <w:r>
                    <w:rPr>
                      <w:rFonts w:hint="default" w:ascii="Times New Roman" w:hAnsi="Times New Roman" w:eastAsia="宋体" w:cs="Times New Roman"/>
                      <w:b w:val="0"/>
                      <w:bCs w:val="0"/>
                      <w:color w:val="auto"/>
                      <w:sz w:val="21"/>
                      <w:szCs w:val="21"/>
                      <w:highlight w:val="none"/>
                    </w:rPr>
                    <w:t>进行简单分类，可以回收的回收利用，不可回收的装袋送至</w:t>
                  </w:r>
                  <w:r>
                    <w:rPr>
                      <w:rFonts w:hint="eastAsia" w:ascii="Times New Roman" w:hAnsi="Times New Roman" w:eastAsia="宋体" w:cs="Times New Roman"/>
                      <w:b w:val="0"/>
                      <w:bCs w:val="0"/>
                      <w:color w:val="auto"/>
                      <w:sz w:val="21"/>
                      <w:szCs w:val="21"/>
                      <w:highlight w:val="none"/>
                      <w:lang w:val="en-US" w:eastAsia="zh-CN"/>
                    </w:rPr>
                    <w:t>附近</w:t>
                  </w:r>
                  <w:r>
                    <w:rPr>
                      <w:rFonts w:hint="default" w:ascii="Times New Roman" w:hAnsi="Times New Roman" w:eastAsia="宋体" w:cs="Times New Roman"/>
                      <w:b w:val="0"/>
                      <w:bCs w:val="0"/>
                      <w:color w:val="auto"/>
                      <w:sz w:val="21"/>
                      <w:szCs w:val="21"/>
                      <w:highlight w:val="none"/>
                    </w:rPr>
                    <w:t>生活垃圾收集箱，由环卫部门统一清运处置</w:t>
                  </w:r>
                  <w:r>
                    <w:rPr>
                      <w:rFonts w:hint="eastAsia" w:ascii="Times New Roman" w:hAnsi="Times New Roman" w:cs="Times New Roman"/>
                      <w:b w:val="0"/>
                      <w:bCs w:val="0"/>
                      <w:color w:val="auto"/>
                      <w:sz w:val="21"/>
                      <w:szCs w:val="21"/>
                      <w:highlight w:val="none"/>
                      <w:lang w:eastAsia="zh-CN"/>
                    </w:rPr>
                    <w:t>；</w:t>
                  </w:r>
                </w:p>
                <w:p>
                  <w:pPr>
                    <w:pStyle w:val="68"/>
                    <w:jc w:val="both"/>
                    <w:rPr>
                      <w:rFonts w:hint="eastAsia" w:ascii="Times New Roman" w:hAnsi="Times New Roman" w:eastAsia="宋体" w:cs="Times New Roman"/>
                      <w:b w:val="0"/>
                      <w:bCs w:val="0"/>
                      <w:snapToGrid w:val="0"/>
                      <w:color w:val="auto"/>
                      <w:sz w:val="21"/>
                      <w:szCs w:val="21"/>
                      <w:highlight w:val="none"/>
                      <w:lang w:val="en-US" w:eastAsia="zh-CN"/>
                    </w:rPr>
                  </w:pPr>
                  <w:r>
                    <w:rPr>
                      <w:rFonts w:hint="eastAsia" w:ascii="Times New Roman" w:hAnsi="Times New Roman" w:eastAsia="宋体" w:cs="Times New Roman"/>
                      <w:b w:val="0"/>
                      <w:bCs w:val="0"/>
                      <w:snapToGrid w:val="0"/>
                      <w:color w:val="auto"/>
                      <w:sz w:val="21"/>
                      <w:szCs w:val="21"/>
                      <w:highlight w:val="none"/>
                      <w:lang w:val="en-US" w:eastAsia="zh-CN"/>
                    </w:rPr>
                    <w:t>9、项目属于</w:t>
                  </w:r>
                  <w:r>
                    <w:rPr>
                      <w:rFonts w:hint="default" w:ascii="Times New Roman" w:hAnsi="Times New Roman" w:eastAsia="宋体" w:cs="Times New Roman"/>
                      <w:b w:val="0"/>
                      <w:bCs w:val="0"/>
                      <w:snapToGrid w:val="0"/>
                      <w:color w:val="auto"/>
                      <w:sz w:val="21"/>
                      <w:szCs w:val="21"/>
                      <w:highlight w:val="none"/>
                      <w:lang w:val="en-US" w:eastAsia="zh-CN"/>
                    </w:rPr>
                    <w:t>餐厨废弃物资源综合利用</w:t>
                  </w:r>
                  <w:r>
                    <w:rPr>
                      <w:rFonts w:hint="eastAsia" w:ascii="Times New Roman" w:hAnsi="Times New Roman" w:eastAsia="宋体" w:cs="Times New Roman"/>
                      <w:b w:val="0"/>
                      <w:bCs w:val="0"/>
                      <w:snapToGrid w:val="0"/>
                      <w:color w:val="auto"/>
                      <w:sz w:val="21"/>
                      <w:szCs w:val="21"/>
                      <w:highlight w:val="none"/>
                      <w:lang w:val="en-US" w:eastAsia="zh-CN"/>
                    </w:rPr>
                    <w:t>项目，</w:t>
                  </w:r>
                  <w:r>
                    <w:rPr>
                      <w:rFonts w:hint="eastAsia" w:ascii="Times New Roman" w:hAnsi="Times New Roman" w:eastAsia="宋体" w:cs="Times New Roman"/>
                      <w:b w:val="0"/>
                      <w:bCs w:val="0"/>
                      <w:snapToGrid w:val="0"/>
                      <w:color w:val="auto"/>
                      <w:sz w:val="21"/>
                      <w:szCs w:val="21"/>
                      <w:highlight w:val="none"/>
                      <w:shd w:val="clear" w:fill="FFFFFF"/>
                      <w:lang w:val="en-US" w:eastAsia="zh-CN"/>
                    </w:rPr>
                    <w:t>且</w:t>
                  </w:r>
                  <w:r>
                    <w:rPr>
                      <w:rFonts w:hint="eastAsia" w:ascii="Times New Roman" w:hAnsi="Times New Roman" w:eastAsia="宋体" w:cs="Times New Roman"/>
                      <w:b w:val="0"/>
                      <w:bCs w:val="0"/>
                      <w:snapToGrid w:val="0"/>
                      <w:color w:val="auto"/>
                      <w:sz w:val="21"/>
                      <w:szCs w:val="21"/>
                      <w:highlight w:val="none"/>
                      <w:lang w:val="en-US" w:eastAsia="zh-CN"/>
                    </w:rPr>
                    <w:t>本项目不设废水</w:t>
                  </w:r>
                  <w:r>
                    <w:rPr>
                      <w:rFonts w:hint="eastAsia" w:ascii="Times New Roman" w:hAnsi="Times New Roman" w:eastAsia="宋体" w:cs="Times New Roman"/>
                      <w:b w:val="0"/>
                      <w:bCs w:val="0"/>
                      <w:snapToGrid w:val="0"/>
                      <w:color w:val="auto"/>
                      <w:sz w:val="21"/>
                      <w:szCs w:val="21"/>
                      <w:highlight w:val="none"/>
                      <w:shd w:val="clear" w:fill="FFFFFF"/>
                      <w:lang w:val="en-US" w:eastAsia="zh-CN"/>
                    </w:rPr>
                    <w:t>排</w:t>
                  </w:r>
                  <w:r>
                    <w:rPr>
                      <w:rFonts w:hint="eastAsia" w:ascii="Times New Roman" w:hAnsi="Times New Roman" w:eastAsia="宋体" w:cs="Times New Roman"/>
                      <w:b w:val="0"/>
                      <w:bCs w:val="0"/>
                      <w:snapToGrid w:val="0"/>
                      <w:color w:val="auto"/>
                      <w:sz w:val="21"/>
                      <w:szCs w:val="21"/>
                      <w:highlight w:val="none"/>
                      <w:lang w:val="en-US" w:eastAsia="zh-CN"/>
                    </w:rPr>
                    <w:t>口，生产废水经一体化污水处理站处理达标后暂存于污水池，通过罐车运送至师宗县彩云镇生活污水处理站进行处理，不排入周边地表水体；生活污水进入化粪池处理后委托周边村民清</w:t>
                  </w:r>
                  <w:r>
                    <w:rPr>
                      <w:rFonts w:hint="eastAsia" w:ascii="Times New Roman" w:hAnsi="Times New Roman" w:eastAsia="宋体" w:cs="Times New Roman"/>
                      <w:b w:val="0"/>
                      <w:bCs w:val="0"/>
                      <w:snapToGrid w:val="0"/>
                      <w:color w:val="auto"/>
                      <w:sz w:val="21"/>
                      <w:szCs w:val="21"/>
                      <w:highlight w:val="none"/>
                      <w:shd w:val="clear" w:fill="FFFFFF"/>
                      <w:lang w:val="en-US" w:eastAsia="zh-CN"/>
                    </w:rPr>
                    <w:t>掏</w:t>
                  </w:r>
                  <w:r>
                    <w:rPr>
                      <w:rFonts w:hint="eastAsia" w:ascii="Times New Roman" w:hAnsi="Times New Roman" w:eastAsia="宋体" w:cs="Times New Roman"/>
                      <w:b w:val="0"/>
                      <w:bCs w:val="0"/>
                      <w:snapToGrid w:val="0"/>
                      <w:color w:val="auto"/>
                      <w:sz w:val="21"/>
                      <w:szCs w:val="21"/>
                      <w:highlight w:val="none"/>
                      <w:lang w:val="en-US" w:eastAsia="zh-CN"/>
                    </w:rPr>
                    <w:t>施肥，不涉及灌溉；</w:t>
                  </w:r>
                </w:p>
                <w:p>
                  <w:pPr>
                    <w:pStyle w:val="68"/>
                    <w:jc w:val="both"/>
                    <w:rPr>
                      <w:rFonts w:hint="eastAsia"/>
                      <w:b w:val="0"/>
                      <w:bCs/>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w:t>
                  </w:r>
                  <w:r>
                    <w:rPr>
                      <w:rFonts w:hint="eastAsia"/>
                      <w:b w:val="0"/>
                      <w:bCs w:val="0"/>
                      <w:snapToGrid w:val="0"/>
                      <w:color w:val="auto"/>
                      <w:sz w:val="21"/>
                      <w:szCs w:val="21"/>
                      <w:highlight w:val="none"/>
                      <w:lang w:val="en-US" w:eastAsia="zh-CN"/>
                    </w:rPr>
                    <w:t>项目属于</w:t>
                  </w:r>
                  <w:r>
                    <w:rPr>
                      <w:rFonts w:hint="default" w:ascii="Times New Roman" w:hAnsi="Times New Roman" w:eastAsia="宋体" w:cs="Times New Roman"/>
                      <w:b w:val="0"/>
                      <w:bCs w:val="0"/>
                      <w:color w:val="auto"/>
                      <w:sz w:val="21"/>
                      <w:szCs w:val="21"/>
                      <w:highlight w:val="none"/>
                    </w:rPr>
                    <w:t>餐厨废弃物资源综合利用</w:t>
                  </w:r>
                  <w:r>
                    <w:rPr>
                      <w:rFonts w:hint="eastAsia"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color w:val="auto"/>
                      <w:kern w:val="0"/>
                      <w:sz w:val="21"/>
                      <w:szCs w:val="21"/>
                      <w:highlight w:val="none"/>
                      <w:lang w:val="en-US" w:eastAsia="zh-CN" w:bidi="ar-SA"/>
                    </w:rPr>
                    <w:t>，</w:t>
                  </w:r>
                  <w:r>
                    <w:rPr>
                      <w:rFonts w:hint="eastAsia"/>
                      <w:b w:val="0"/>
                      <w:bCs w:val="0"/>
                      <w:snapToGrid w:val="0"/>
                      <w:color w:val="auto"/>
                      <w:sz w:val="21"/>
                      <w:szCs w:val="21"/>
                      <w:highlight w:val="none"/>
                      <w:shd w:val="clear" w:fill="FFFFFF"/>
                      <w:lang w:val="en-US" w:eastAsia="zh-CN"/>
                    </w:rPr>
                    <w:t>且</w:t>
                  </w:r>
                  <w:r>
                    <w:rPr>
                      <w:rFonts w:hint="eastAsia"/>
                      <w:b w:val="0"/>
                      <w:bCs w:val="0"/>
                      <w:snapToGrid w:val="0"/>
                      <w:color w:val="auto"/>
                      <w:sz w:val="21"/>
                      <w:szCs w:val="21"/>
                      <w:highlight w:val="none"/>
                      <w:lang w:val="en-US" w:eastAsia="zh-CN"/>
                    </w:rPr>
                    <w:t>本项目不设废水</w:t>
                  </w:r>
                  <w:r>
                    <w:rPr>
                      <w:rFonts w:hint="eastAsia"/>
                      <w:b w:val="0"/>
                      <w:bCs w:val="0"/>
                      <w:snapToGrid w:val="0"/>
                      <w:color w:val="auto"/>
                      <w:sz w:val="21"/>
                      <w:szCs w:val="21"/>
                      <w:highlight w:val="none"/>
                      <w:shd w:val="clear" w:fill="FFFFFF"/>
                      <w:lang w:val="en-US" w:eastAsia="zh-CN"/>
                    </w:rPr>
                    <w:t>排</w:t>
                  </w:r>
                  <w:r>
                    <w:rPr>
                      <w:rFonts w:hint="eastAsia"/>
                      <w:b w:val="0"/>
                      <w:bCs w:val="0"/>
                      <w:snapToGrid w:val="0"/>
                      <w:color w:val="auto"/>
                      <w:sz w:val="21"/>
                      <w:szCs w:val="21"/>
                      <w:highlight w:val="none"/>
                      <w:lang w:val="en-US" w:eastAsia="zh-CN"/>
                    </w:rPr>
                    <w:t>口</w:t>
                  </w:r>
                  <w:r>
                    <w:rPr>
                      <w:rFonts w:hint="eastAsia"/>
                      <w:snapToGrid w:val="0"/>
                      <w:color w:val="auto"/>
                      <w:sz w:val="21"/>
                      <w:szCs w:val="21"/>
                      <w:highlight w:val="none"/>
                      <w:lang w:val="en-US" w:eastAsia="zh-CN"/>
                    </w:rPr>
                    <w:t>，项目</w:t>
                  </w:r>
                  <w:r>
                    <w:rPr>
                      <w:rFonts w:hint="eastAsia"/>
                      <w:color w:val="auto"/>
                      <w:sz w:val="21"/>
                      <w:szCs w:val="21"/>
                      <w:highlight w:val="none"/>
                      <w:lang w:eastAsia="zh-CN"/>
                    </w:rPr>
                    <w:t>生产废水经一体化污水处理站处理达标后暂存于污水池，通过罐车运送至师宗县彩云镇生活污水处理站进行处理，不排入周边地表水体；</w:t>
                  </w:r>
                  <w:r>
                    <w:rPr>
                      <w:color w:val="auto"/>
                      <w:sz w:val="21"/>
                      <w:szCs w:val="21"/>
                      <w:highlight w:val="none"/>
                      <w:lang w:val="en-US" w:eastAsia="zh-CN"/>
                    </w:rPr>
                    <w:t>生活污水进入化粪池处理后</w:t>
                  </w:r>
                  <w:r>
                    <w:rPr>
                      <w:rFonts w:hint="eastAsia"/>
                      <w:color w:val="auto"/>
                      <w:sz w:val="21"/>
                      <w:szCs w:val="21"/>
                      <w:highlight w:val="none"/>
                      <w:lang w:val="en-US" w:eastAsia="zh-CN"/>
                    </w:rPr>
                    <w:t>委托周边村民清</w:t>
                  </w:r>
                  <w:r>
                    <w:rPr>
                      <w:rFonts w:hint="eastAsia"/>
                      <w:color w:val="auto"/>
                      <w:sz w:val="21"/>
                      <w:szCs w:val="21"/>
                      <w:highlight w:val="none"/>
                      <w:shd w:val="clear" w:fill="FFFFFF"/>
                      <w:lang w:val="en-US" w:eastAsia="zh-CN"/>
                    </w:rPr>
                    <w:t>掏</w:t>
                  </w:r>
                  <w:r>
                    <w:rPr>
                      <w:rFonts w:hint="eastAsia"/>
                      <w:color w:val="auto"/>
                      <w:sz w:val="21"/>
                      <w:szCs w:val="21"/>
                      <w:highlight w:val="none"/>
                      <w:lang w:val="en-US" w:eastAsia="zh-CN"/>
                    </w:rPr>
                    <w:t>施肥，</w:t>
                  </w:r>
                  <w:r>
                    <w:rPr>
                      <w:rFonts w:hint="eastAsia"/>
                      <w:snapToGrid w:val="0"/>
                      <w:color w:val="auto"/>
                      <w:sz w:val="21"/>
                      <w:szCs w:val="21"/>
                      <w:highlight w:val="none"/>
                      <w:lang w:val="en-US" w:eastAsia="zh-CN"/>
                    </w:rPr>
                    <w:t>不涉及灌溉</w:t>
                  </w:r>
                  <w:r>
                    <w:rPr>
                      <w:rFonts w:hint="eastAsia"/>
                      <w:b w:val="0"/>
                      <w:bCs/>
                      <w:color w:val="auto"/>
                      <w:sz w:val="21"/>
                      <w:szCs w:val="21"/>
                      <w:highlight w:val="none"/>
                      <w:lang w:val="en-US" w:eastAsia="zh-CN"/>
                    </w:rPr>
                    <w:t>；</w:t>
                  </w:r>
                </w:p>
                <w:p>
                  <w:pPr>
                    <w:pStyle w:val="6"/>
                    <w:pageBreakBefore w:val="0"/>
                    <w:widowControl w:val="0"/>
                    <w:kinsoku/>
                    <w:overflowPunct/>
                    <w:topLinePunct w:val="0"/>
                    <w:bidi w:val="0"/>
                    <w:adjustRightInd/>
                    <w:snapToGrid/>
                    <w:spacing w:line="240" w:lineRule="auto"/>
                    <w:ind w:firstLine="0" w:firstLineChars="0"/>
                    <w:textAlignment w:val="auto"/>
                    <w:rPr>
                      <w:rFonts w:hint="eastAsia" w:ascii="Times New Roman" w:hAnsi="Times New Roman" w:cs="Times New Roman"/>
                      <w:b w:val="0"/>
                      <w:bCs w:val="0"/>
                      <w:color w:val="auto"/>
                      <w:kern w:val="0"/>
                      <w:sz w:val="21"/>
                      <w:szCs w:val="21"/>
                      <w:lang w:val="en-US" w:eastAsia="zh-CN" w:bidi="ar-SA"/>
                    </w:rPr>
                  </w:pPr>
                  <w:r>
                    <w:rPr>
                      <w:rFonts w:hint="eastAsia"/>
                      <w:b w:val="0"/>
                      <w:bCs/>
                      <w:color w:val="auto"/>
                      <w:sz w:val="21"/>
                      <w:szCs w:val="21"/>
                      <w:lang w:val="en-US" w:eastAsia="zh-CN"/>
                    </w:rPr>
                    <w:t>11、</w:t>
                  </w:r>
                  <w:r>
                    <w:rPr>
                      <w:rFonts w:hint="eastAsia"/>
                      <w:b w:val="0"/>
                      <w:bCs w:val="0"/>
                      <w:snapToGrid w:val="0"/>
                      <w:color w:val="auto"/>
                      <w:sz w:val="21"/>
                      <w:szCs w:val="21"/>
                      <w:lang w:val="en-US" w:eastAsia="zh-CN"/>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val="0"/>
                      <w:color w:val="auto"/>
                      <w:kern w:val="0"/>
                      <w:sz w:val="21"/>
                      <w:szCs w:val="21"/>
                      <w:lang w:val="en-US" w:eastAsia="zh-CN" w:bidi="ar-SA"/>
                    </w:rPr>
                    <w:t>，不属于涉重金属重点行业；</w:t>
                  </w:r>
                </w:p>
                <w:p>
                  <w:pPr>
                    <w:pStyle w:val="6"/>
                    <w:pageBreakBefore w:val="0"/>
                    <w:widowControl w:val="0"/>
                    <w:kinsoku/>
                    <w:overflowPunct/>
                    <w:topLinePunct w:val="0"/>
                    <w:bidi w:val="0"/>
                    <w:adjustRightInd/>
                    <w:snapToGrid/>
                    <w:spacing w:line="240" w:lineRule="auto"/>
                    <w:ind w:firstLine="0" w:firstLineChars="0"/>
                    <w:textAlignment w:val="auto"/>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12、</w:t>
                  </w:r>
                  <w:r>
                    <w:rPr>
                      <w:rFonts w:hint="eastAsia"/>
                      <w:b w:val="0"/>
                      <w:bCs w:val="0"/>
                      <w:snapToGrid w:val="0"/>
                      <w:color w:val="auto"/>
                      <w:sz w:val="21"/>
                      <w:szCs w:val="21"/>
                      <w:lang w:val="en-US" w:eastAsia="zh-CN"/>
                    </w:rPr>
                    <w:t>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ascii="Times New Roman" w:hAnsi="Times New Roman" w:cs="Times New Roman"/>
                      <w:b w:val="0"/>
                      <w:bCs w:val="0"/>
                      <w:color w:val="auto"/>
                      <w:kern w:val="0"/>
                      <w:sz w:val="21"/>
                      <w:szCs w:val="21"/>
                      <w:lang w:val="en-US" w:eastAsia="zh-CN" w:bidi="ar-SA"/>
                    </w:rPr>
                    <w:t>，不涉及曲靖市重点行业重点重金属污染物；</w:t>
                  </w:r>
                </w:p>
                <w:p>
                  <w:pPr>
                    <w:pStyle w:val="68"/>
                    <w:jc w:val="both"/>
                    <w:rPr>
                      <w:rFonts w:hint="default"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highlight w:val="none"/>
                      <w:lang w:val="en-US" w:eastAsia="zh-CN" w:bidi="ar-SA"/>
                    </w:rPr>
                    <w:t>13、</w:t>
                  </w:r>
                  <w:r>
                    <w:rPr>
                      <w:rFonts w:hint="eastAsia"/>
                      <w:b w:val="0"/>
                      <w:bCs w:val="0"/>
                      <w:snapToGrid w:val="0"/>
                      <w:color w:val="auto"/>
                      <w:sz w:val="21"/>
                      <w:szCs w:val="21"/>
                      <w:highlight w:val="none"/>
                      <w:lang w:val="en-US" w:eastAsia="zh-CN"/>
                    </w:rPr>
                    <w:t>项目属于</w:t>
                  </w:r>
                  <w:r>
                    <w:rPr>
                      <w:rFonts w:hint="default" w:ascii="Times New Roman" w:hAnsi="Times New Roman" w:eastAsia="宋体" w:cs="Times New Roman"/>
                      <w:b w:val="0"/>
                      <w:bCs w:val="0"/>
                      <w:color w:val="auto"/>
                      <w:sz w:val="21"/>
                      <w:szCs w:val="21"/>
                      <w:highlight w:val="none"/>
                    </w:rPr>
                    <w:t>餐厨废弃物资源综合利用</w:t>
                  </w:r>
                  <w:r>
                    <w:rPr>
                      <w:rFonts w:hint="eastAsia"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color w:val="auto"/>
                      <w:kern w:val="0"/>
                      <w:sz w:val="21"/>
                      <w:szCs w:val="21"/>
                      <w:highlight w:val="none"/>
                      <w:lang w:val="en-US" w:eastAsia="zh-CN" w:bidi="ar-SA"/>
                    </w:rPr>
                    <w:t>，</w:t>
                  </w:r>
                  <w:r>
                    <w:rPr>
                      <w:rFonts w:hint="eastAsia"/>
                      <w:b w:val="0"/>
                      <w:bCs w:val="0"/>
                      <w:snapToGrid w:val="0"/>
                      <w:color w:val="auto"/>
                      <w:sz w:val="21"/>
                      <w:szCs w:val="21"/>
                      <w:highlight w:val="none"/>
                      <w:shd w:val="clear" w:fill="FFFFFF"/>
                      <w:lang w:val="en-US" w:eastAsia="zh-CN"/>
                    </w:rPr>
                    <w:t>且</w:t>
                  </w:r>
                  <w:r>
                    <w:rPr>
                      <w:rFonts w:hint="eastAsia"/>
                      <w:b w:val="0"/>
                      <w:bCs w:val="0"/>
                      <w:snapToGrid w:val="0"/>
                      <w:color w:val="auto"/>
                      <w:sz w:val="21"/>
                      <w:szCs w:val="21"/>
                      <w:highlight w:val="none"/>
                      <w:lang w:val="en-US" w:eastAsia="zh-CN"/>
                    </w:rPr>
                    <w:t>本项目不设废水</w:t>
                  </w:r>
                  <w:r>
                    <w:rPr>
                      <w:rFonts w:hint="eastAsia"/>
                      <w:b w:val="0"/>
                      <w:bCs w:val="0"/>
                      <w:snapToGrid w:val="0"/>
                      <w:color w:val="auto"/>
                      <w:sz w:val="21"/>
                      <w:szCs w:val="21"/>
                      <w:highlight w:val="none"/>
                      <w:shd w:val="clear" w:fill="FFFFFF"/>
                      <w:lang w:val="en-US" w:eastAsia="zh-CN"/>
                    </w:rPr>
                    <w:t>排</w:t>
                  </w:r>
                  <w:r>
                    <w:rPr>
                      <w:rFonts w:hint="eastAsia"/>
                      <w:b w:val="0"/>
                      <w:bCs w:val="0"/>
                      <w:snapToGrid w:val="0"/>
                      <w:color w:val="auto"/>
                      <w:sz w:val="21"/>
                      <w:szCs w:val="21"/>
                      <w:highlight w:val="none"/>
                      <w:lang w:val="en-US" w:eastAsia="zh-CN"/>
                    </w:rPr>
                    <w:t>口</w:t>
                  </w:r>
                  <w:r>
                    <w:rPr>
                      <w:rFonts w:hint="eastAsia"/>
                      <w:snapToGrid w:val="0"/>
                      <w:color w:val="auto"/>
                      <w:sz w:val="21"/>
                      <w:szCs w:val="21"/>
                      <w:highlight w:val="none"/>
                      <w:lang w:val="en-US" w:eastAsia="zh-CN"/>
                    </w:rPr>
                    <w:t>，</w:t>
                  </w:r>
                  <w:r>
                    <w:rPr>
                      <w:rFonts w:hint="eastAsia"/>
                      <w:color w:val="auto"/>
                      <w:highlight w:val="none"/>
                      <w:lang w:eastAsia="zh-CN"/>
                    </w:rPr>
                    <w:t>生产废水经一体化污水处理站处理达标后暂存于污水池，通过罐车运送至师宗县彩云镇生活污水处理站进行处理，不排入周边地表水体；</w:t>
                  </w:r>
                  <w:r>
                    <w:rPr>
                      <w:color w:val="auto"/>
                      <w:highlight w:val="none"/>
                      <w:lang w:val="en-US" w:eastAsia="zh-CN"/>
                    </w:rPr>
                    <w:t>生活污水进入化粪池处理后</w:t>
                  </w:r>
                  <w:r>
                    <w:rPr>
                      <w:rFonts w:hint="eastAsia"/>
                      <w:color w:val="auto"/>
                      <w:highlight w:val="none"/>
                      <w:lang w:val="en-US" w:eastAsia="zh-CN"/>
                    </w:rPr>
                    <w:t>委托周边村民清</w:t>
                  </w:r>
                  <w:r>
                    <w:rPr>
                      <w:rFonts w:hint="eastAsia"/>
                      <w:color w:val="auto"/>
                      <w:highlight w:val="none"/>
                      <w:shd w:val="clear" w:fill="FFFFFF"/>
                      <w:lang w:val="en-US" w:eastAsia="zh-CN"/>
                    </w:rPr>
                    <w:t>掏</w:t>
                  </w:r>
                  <w:r>
                    <w:rPr>
                      <w:rFonts w:hint="eastAsia"/>
                      <w:color w:val="auto"/>
                      <w:highlight w:val="none"/>
                      <w:lang w:val="en-US" w:eastAsia="zh-CN"/>
                    </w:rPr>
                    <w:t>施肥，</w:t>
                  </w:r>
                  <w:r>
                    <w:rPr>
                      <w:rFonts w:hint="eastAsia"/>
                      <w:snapToGrid w:val="0"/>
                      <w:color w:val="auto"/>
                      <w:highlight w:val="none"/>
                      <w:lang w:val="en-US" w:eastAsia="zh-CN"/>
                    </w:rPr>
                    <w:t>不涉及灌溉</w:t>
                  </w:r>
                  <w:r>
                    <w:rPr>
                      <w:rFonts w:hint="eastAsia"/>
                      <w:b w:val="0"/>
                      <w:bCs/>
                      <w:color w:val="auto"/>
                      <w:sz w:val="21"/>
                      <w:szCs w:val="21"/>
                      <w:highlight w:val="none"/>
                      <w:lang w:val="en-US" w:eastAsia="zh-CN"/>
                    </w:rPr>
                    <w:t>；项目不设置总量控制指标。</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环境风险防控</w:t>
                  </w:r>
                </w:p>
              </w:tc>
              <w:tc>
                <w:tcPr>
                  <w:tcW w:w="2615" w:type="dxa"/>
                  <w:vAlign w:val="center"/>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1.以南盘江、北盘江、牛栏江流域为重点，按规范开展流域工业企业、工业集聚区环境风险评估，落实防控措施。</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2.开展</w:t>
                  </w:r>
                  <w:r>
                    <w:rPr>
                      <w:rFonts w:hint="default" w:ascii="Times New Roman" w:hAnsi="Times New Roman" w:cs="Times New Roman"/>
                      <w:color w:val="auto"/>
                      <w:kern w:val="0"/>
                      <w:sz w:val="21"/>
                      <w:szCs w:val="21"/>
                      <w:shd w:val="clear" w:fill="FFFFFF"/>
                    </w:rPr>
                    <w:t>麒沾马</w:t>
                  </w:r>
                  <w:r>
                    <w:rPr>
                      <w:rFonts w:hint="default" w:ascii="Times New Roman" w:hAnsi="Times New Roman" w:cs="Times New Roman"/>
                      <w:color w:val="auto"/>
                      <w:kern w:val="0"/>
                      <w:sz w:val="21"/>
                      <w:szCs w:val="21"/>
                    </w:rPr>
                    <w:t>区域大气污染联防联控，逐步推行区域统一规划，统一监测，实行协同的环境准入、落后产能淘汰、机动车环境管理政策和考核评估制度。</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3.建立和完善与临界</w:t>
                  </w:r>
                  <w:r>
                    <w:rPr>
                      <w:rFonts w:hint="default" w:ascii="Times New Roman" w:hAnsi="Times New Roman" w:cs="Times New Roman"/>
                      <w:color w:val="auto"/>
                      <w:kern w:val="0"/>
                      <w:sz w:val="21"/>
                      <w:szCs w:val="21"/>
                      <w:shd w:val="clear" w:fill="FFFFFF"/>
                    </w:rPr>
                    <w:t>州</w:t>
                  </w:r>
                  <w:r>
                    <w:rPr>
                      <w:rFonts w:hint="default" w:ascii="Times New Roman" w:hAnsi="Times New Roman" w:cs="Times New Roman"/>
                      <w:color w:val="auto"/>
                      <w:kern w:val="0"/>
                      <w:sz w:val="21"/>
                      <w:szCs w:val="21"/>
                    </w:rPr>
                    <w:t>（市）跨流域上下游突发水污染事件联防联控机制，提升应急联防联控水平。</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4.强化大气污染分区分时分类差异化精细化协同管控，加强监测预警应急能力建设，及时采取差异化管控措施。</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逐步建成全市土壤环境质量监测网络，推进各县（市、区）土壤环境质量监测点位全覆盖；有色金属矿采选、有色金属冶炼、石油加工、化工、农药、焦化、电镀、制革、印染、危险废物处置等行业企业拆除生产设施设备、构筑物和污染治理设施，要事先制定残留污染物清理和安全处置方案。</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6.加强环境风险防控和应急管理，制定和完善突发环境事件和集中式饮用水水源地突发环境事件应急预案，加强风险防控和突发环境事件应急处理处置能力。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kern w:val="0"/>
                      <w:sz w:val="21"/>
                      <w:szCs w:val="21"/>
                    </w:rPr>
                    <w:t>7.严格管控类农用地，重金属超标区域严禁种植食用农产品；涉重金属、持久性有机物等有毒有害污染物工业企业退出用地，须经评估符合建设用地、农用地土壤环境质量相关要求后，方可用于居住或农业用地。</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本项目属于餐厨废弃物资源综合利用</w:t>
                  </w:r>
                  <w:r>
                    <w:rPr>
                      <w:rFonts w:hint="eastAsia"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b w:val="0"/>
                      <w:bCs w:val="0"/>
                      <w:color w:val="auto"/>
                      <w:spacing w:val="10"/>
                      <w:sz w:val="21"/>
                      <w:szCs w:val="21"/>
                      <w:lang w:eastAsia="zh-CN"/>
                    </w:rPr>
                    <w:t>，</w:t>
                  </w:r>
                  <w:r>
                    <w:rPr>
                      <w:rFonts w:hint="default" w:ascii="Times New Roman" w:hAnsi="Times New Roman" w:eastAsia="宋体" w:cs="Times New Roman"/>
                      <w:b w:val="0"/>
                      <w:bCs w:val="0"/>
                      <w:color w:val="auto"/>
                      <w:spacing w:val="10"/>
                      <w:sz w:val="21"/>
                      <w:szCs w:val="21"/>
                    </w:rPr>
                    <w:t>针对本项目环境风险提出了风险防范措施，通过措施的实施，项目的环境风险是可防控的。</w:t>
                  </w:r>
                  <w:r>
                    <w:rPr>
                      <w:rFonts w:hint="eastAsia" w:cs="Times New Roman"/>
                      <w:b w:val="0"/>
                      <w:bCs w:val="0"/>
                      <w:color w:val="auto"/>
                      <w:spacing w:val="10"/>
                      <w:sz w:val="21"/>
                      <w:szCs w:val="21"/>
                      <w:lang w:eastAsia="zh-CN"/>
                    </w:rPr>
                    <w:t>按照</w:t>
                  </w:r>
                  <w:r>
                    <w:rPr>
                      <w:rFonts w:hint="default" w:ascii="Times New Roman" w:hAnsi="Times New Roman" w:eastAsia="宋体" w:cs="Times New Roman"/>
                      <w:b w:val="0"/>
                      <w:bCs w:val="0"/>
                      <w:color w:val="auto"/>
                      <w:spacing w:val="10"/>
                      <w:sz w:val="21"/>
                      <w:szCs w:val="21"/>
                    </w:rPr>
                    <w:t>《企业事业单位突发环境事件应急预案备案管理办法</w:t>
                  </w:r>
                  <w:r>
                    <w:rPr>
                      <w:rFonts w:hint="default" w:ascii="Times New Roman" w:hAnsi="Times New Roman" w:eastAsia="宋体" w:cs="Times New Roman"/>
                      <w:b w:val="0"/>
                      <w:bCs w:val="0"/>
                      <w:color w:val="auto"/>
                      <w:spacing w:val="7"/>
                      <w:sz w:val="21"/>
                      <w:szCs w:val="21"/>
                    </w:rPr>
                    <w:t>（试行）</w:t>
                  </w:r>
                  <w:r>
                    <w:rPr>
                      <w:rFonts w:hint="default" w:ascii="Times New Roman" w:hAnsi="Times New Roman" w:eastAsia="宋体" w:cs="Times New Roman"/>
                      <w:b w:val="0"/>
                      <w:bCs w:val="0"/>
                      <w:color w:val="auto"/>
                      <w:spacing w:val="-51"/>
                      <w:sz w:val="21"/>
                      <w:szCs w:val="21"/>
                    </w:rPr>
                    <w:t xml:space="preserve"> </w:t>
                  </w:r>
                  <w:r>
                    <w:rPr>
                      <w:rFonts w:hint="default" w:ascii="Times New Roman" w:hAnsi="Times New Roman" w:eastAsia="宋体" w:cs="Times New Roman"/>
                      <w:b w:val="0"/>
                      <w:bCs w:val="0"/>
                      <w:color w:val="auto"/>
                      <w:spacing w:val="7"/>
                      <w:sz w:val="21"/>
                      <w:szCs w:val="21"/>
                    </w:rPr>
                    <w:t>》（环发〔2015〕4号文）</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pacing w:val="10"/>
                      <w:sz w:val="21"/>
                      <w:szCs w:val="21"/>
                    </w:rPr>
                    <w:t>的要求编制环境风险应急预案，并加</w:t>
                  </w:r>
                  <w:r>
                    <w:rPr>
                      <w:rFonts w:hint="default" w:ascii="Times New Roman" w:hAnsi="Times New Roman" w:eastAsia="宋体" w:cs="Times New Roman"/>
                      <w:b w:val="0"/>
                      <w:bCs w:val="0"/>
                      <w:color w:val="auto"/>
                      <w:spacing w:val="8"/>
                      <w:sz w:val="21"/>
                      <w:szCs w:val="21"/>
                    </w:rPr>
                    <w:t>强运行演练</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资源利用效率</w:t>
                  </w:r>
                </w:p>
              </w:tc>
              <w:tc>
                <w:tcPr>
                  <w:tcW w:w="2615" w:type="dxa"/>
                  <w:vAlign w:val="center"/>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坚持以水而定、量水而行，统筹生活、生产和生态用水，科学合理配置水资源，保障河湖基本生态用水。确定河流生态需水量，确保河流生态系统功能。通过电站引水闸的调节，使最低下泄流量不小于河道所需的最小生态径流，以维持下游生物的最小生态需水，以维持坝下游最小生态需水。</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2.加强南盘江、北盘江、牛栏江等生态流量保障工程建设，合理安排闸坝下泄水量和泄洪时段，维护河湖基本生态用水需求，重点保障、生态敏感区生态流量。</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3.加快建设麒麟区、沾益区、马龙区水系连通工程，形成独木水库—水城水库—潇湘水库—潇湘江等6条生态流量通道，生态流量</w:t>
                  </w:r>
                  <w:r>
                    <w:rPr>
                      <w:rFonts w:hint="default" w:ascii="Times New Roman" w:hAnsi="Times New Roman" w:cs="Times New Roman"/>
                      <w:color w:val="auto"/>
                      <w:kern w:val="0"/>
                      <w:sz w:val="21"/>
                      <w:szCs w:val="21"/>
                      <w:shd w:val="clear" w:fill="FFFFFF"/>
                    </w:rPr>
                    <w:t>月</w:t>
                  </w:r>
                  <w:r>
                    <w:rPr>
                      <w:rFonts w:hint="default" w:ascii="Times New Roman" w:hAnsi="Times New Roman" w:cs="Times New Roman"/>
                      <w:color w:val="auto"/>
                      <w:kern w:val="0"/>
                      <w:sz w:val="21"/>
                      <w:szCs w:val="21"/>
                    </w:rPr>
                    <w:t>保障程度达到90%以上，加强牛栏江流域水资源配置和调度管理，保障公</w:t>
                  </w:r>
                  <w:r>
                    <w:rPr>
                      <w:rFonts w:hint="default" w:ascii="Times New Roman" w:hAnsi="Times New Roman" w:cs="Times New Roman"/>
                      <w:color w:val="auto"/>
                      <w:kern w:val="0"/>
                      <w:sz w:val="21"/>
                      <w:szCs w:val="21"/>
                      <w:shd w:val="clear" w:fill="FFFFFF"/>
                    </w:rPr>
                    <w:t>锁</w:t>
                  </w:r>
                  <w:r>
                    <w:rPr>
                      <w:rFonts w:hint="default" w:ascii="Times New Roman" w:hAnsi="Times New Roman" w:cs="Times New Roman"/>
                      <w:color w:val="auto"/>
                      <w:kern w:val="0"/>
                      <w:sz w:val="21"/>
                      <w:szCs w:val="21"/>
                    </w:rPr>
                    <w:t>、土</w:t>
                  </w:r>
                  <w:r>
                    <w:rPr>
                      <w:rFonts w:hint="default" w:ascii="Times New Roman" w:hAnsi="Times New Roman" w:cs="Times New Roman"/>
                      <w:color w:val="auto"/>
                      <w:kern w:val="0"/>
                      <w:sz w:val="21"/>
                      <w:szCs w:val="21"/>
                      <w:shd w:val="clear" w:fill="FFFFFF"/>
                    </w:rPr>
                    <w:t>格</w:t>
                  </w:r>
                  <w:r>
                    <w:rPr>
                      <w:rFonts w:hint="default" w:ascii="Times New Roman" w:hAnsi="Times New Roman" w:cs="Times New Roman"/>
                      <w:color w:val="auto"/>
                      <w:kern w:val="0"/>
                      <w:sz w:val="21"/>
                      <w:szCs w:val="21"/>
                    </w:rPr>
                    <w:t>樟、黄梨树、黑山河流控制断面和苏</w:t>
                  </w:r>
                  <w:r>
                    <w:rPr>
                      <w:rFonts w:hint="default" w:ascii="Times New Roman" w:hAnsi="Times New Roman" w:cs="Times New Roman"/>
                      <w:color w:val="auto"/>
                      <w:kern w:val="0"/>
                      <w:sz w:val="21"/>
                      <w:szCs w:val="21"/>
                      <w:shd w:val="clear" w:fill="FFFFFF"/>
                    </w:rPr>
                    <w:t>斗</w:t>
                  </w:r>
                  <w:r>
                    <w:rPr>
                      <w:rFonts w:hint="default" w:ascii="Times New Roman" w:hAnsi="Times New Roman" w:cs="Times New Roman"/>
                      <w:color w:val="auto"/>
                      <w:kern w:val="0"/>
                      <w:sz w:val="21"/>
                      <w:szCs w:val="21"/>
                    </w:rPr>
                    <w:t>河水库、金乐水库、长海子水库3个水库控制断面生态基流，确保生态流量泄放，确保德泽水库下泄流量在丰水期和枯水期分别达到16</w:t>
                  </w:r>
                  <w:r>
                    <w:rPr>
                      <w:rFonts w:hint="default" w:ascii="Times New Roman" w:hAnsi="Times New Roman" w:cs="Times New Roman"/>
                      <w:color w:val="auto"/>
                      <w:kern w:val="0"/>
                      <w:sz w:val="21"/>
                      <w:szCs w:val="21"/>
                      <w:shd w:val="clear" w:fill="FFFFFF"/>
                    </w:rPr>
                    <w:t>立方米/秒</w:t>
                  </w:r>
                  <w:r>
                    <w:rPr>
                      <w:rFonts w:hint="default" w:ascii="Times New Roman" w:hAnsi="Times New Roman" w:cs="Times New Roman"/>
                      <w:color w:val="auto"/>
                      <w:kern w:val="0"/>
                      <w:sz w:val="21"/>
                      <w:szCs w:val="21"/>
                    </w:rPr>
                    <w:t>和5.4</w:t>
                  </w:r>
                  <w:r>
                    <w:rPr>
                      <w:rFonts w:hint="default" w:ascii="Times New Roman" w:hAnsi="Times New Roman" w:cs="Times New Roman"/>
                      <w:color w:val="auto"/>
                      <w:kern w:val="0"/>
                      <w:sz w:val="21"/>
                      <w:szCs w:val="21"/>
                      <w:shd w:val="clear" w:fill="FFFFFF"/>
                    </w:rPr>
                    <w:t>立方米/秒</w:t>
                  </w:r>
                  <w:r>
                    <w:rPr>
                      <w:rFonts w:hint="default" w:ascii="Times New Roman" w:hAnsi="Times New Roman" w:cs="Times New Roman"/>
                      <w:color w:val="auto"/>
                      <w:kern w:val="0"/>
                      <w:sz w:val="21"/>
                      <w:szCs w:val="21"/>
                    </w:rPr>
                    <w:t>。</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4.建立水资源刚性约束制度，实行水资源消耗总量和强度双控，严格实施取水许可和水资源有偿使用制度，强化用水全过程管理，深入抓好工业、城镇、农业等方面用水量控制，严格规范取水许可审批管理。</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大力推进各县（市、区）农业、工业、城镇节水，扩大曲靖市县域节水型社会比例。强化农业节水，优化农业种植结构，加大农业节水力度，加快实施规模化高效节水灌溉行动。推广和普及田间节水技术，开辟抗旱水源，科学调度抗旱用水。</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6.到2025年，曲靖市用水总量控制在18.68亿立方米以内，万元GDP用水量、万元工业增加值用水量比2020年分别不低于20%和16%，农田灌溉水利用系数不低于0.545。</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7.坚持最严格的耕地保护制度，坚决制止耕地“非农化”防止耕地“非粮化”。坚持节约用地，严格执行耕地占补平衡等制度，提高土地投资强度和单位面积产出水平。</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8.矿产能源发展区应在符合国家产业政策的前提下，依法依规办理用地手续，在符合矿产资源总体规划的前提下合理开采，促进土地集约节约利用，保护区域生态环境，避免造成地质灾害。</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9.到2025年，全市规模化以上工业单位增加值能耗下降16%，万元工业增加值用水量下降16%，重点耗能行业能效达到标杆水平的比例超过30%。</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10.加强南盘江、牛栏江等岸线保护，强化九龙河（麒麟</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、罗平</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、陆良</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、富源</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）、牛栏江（会泽</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、沾益</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、宣威</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）、清水江（罗平</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、师宗</w:t>
                  </w:r>
                  <w:r>
                    <w:rPr>
                      <w:rFonts w:hint="default" w:ascii="Times New Roman" w:hAnsi="Times New Roman" w:cs="Times New Roman"/>
                      <w:color w:val="auto"/>
                      <w:kern w:val="0"/>
                      <w:sz w:val="21"/>
                      <w:szCs w:val="21"/>
                      <w:shd w:val="clear" w:fill="FFFFFF"/>
                    </w:rPr>
                    <w:t>段</w:t>
                  </w:r>
                  <w:r>
                    <w:rPr>
                      <w:rFonts w:hint="default" w:ascii="Times New Roman" w:hAnsi="Times New Roman" w:cs="Times New Roman"/>
                      <w:color w:val="auto"/>
                      <w:kern w:val="0"/>
                      <w:sz w:val="21"/>
                      <w:szCs w:val="21"/>
                    </w:rPr>
                    <w:t>），宣威市窑上海子、北盘江、可渡河、拖长江、西泽河、以</w:t>
                  </w:r>
                  <w:r>
                    <w:rPr>
                      <w:rFonts w:hint="default" w:ascii="Times New Roman" w:hAnsi="Times New Roman" w:cs="Times New Roman"/>
                      <w:color w:val="auto"/>
                      <w:kern w:val="0"/>
                      <w:sz w:val="21"/>
                      <w:szCs w:val="21"/>
                      <w:shd w:val="clear" w:fill="FFFFFF"/>
                    </w:rPr>
                    <w:t>那河</w:t>
                  </w:r>
                  <w:r>
                    <w:rPr>
                      <w:rFonts w:hint="default" w:ascii="Times New Roman" w:hAnsi="Times New Roman" w:cs="Times New Roman"/>
                      <w:color w:val="auto"/>
                      <w:kern w:val="0"/>
                      <w:sz w:val="21"/>
                      <w:szCs w:val="21"/>
                    </w:rPr>
                    <w:t>，马龙区马龙河，师宗县甸溪河、篆长河，富源县、小黄泥河，会泽县以礼河、</w:t>
                  </w:r>
                  <w:r>
                    <w:rPr>
                      <w:rFonts w:hint="default" w:ascii="Times New Roman" w:hAnsi="Times New Roman" w:cs="Times New Roman"/>
                      <w:color w:val="auto"/>
                      <w:kern w:val="0"/>
                      <w:sz w:val="21"/>
                      <w:szCs w:val="21"/>
                      <w:shd w:val="clear" w:fill="FFFFFF"/>
                    </w:rPr>
                    <w:t>硝厂河</w:t>
                  </w:r>
                  <w:r>
                    <w:rPr>
                      <w:rFonts w:hint="default" w:ascii="Times New Roman" w:hAnsi="Times New Roman" w:cs="Times New Roman"/>
                      <w:color w:val="auto"/>
                      <w:kern w:val="0"/>
                      <w:sz w:val="21"/>
                      <w:szCs w:val="21"/>
                    </w:rPr>
                    <w:t>、小江等河湖岸线保护与管控。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kern w:val="0"/>
                      <w:sz w:val="21"/>
                      <w:szCs w:val="21"/>
                    </w:rPr>
                    <w:t>11.在禁燃区内，禁止销售、燃用高污染燃料；禁止新建、扩建燃用高污染燃料的设施，已建成的，应当在规定的期限内改用天然气、液化石油气、</w:t>
                  </w:r>
                  <w:r>
                    <w:rPr>
                      <w:rFonts w:hint="eastAsia" w:cs="Times New Roman"/>
                      <w:color w:val="auto"/>
                      <w:kern w:val="0"/>
                      <w:sz w:val="21"/>
                      <w:szCs w:val="21"/>
                      <w:lang w:eastAsia="zh-CN"/>
                    </w:rPr>
                    <w:t>电力</w:t>
                  </w:r>
                  <w:r>
                    <w:rPr>
                      <w:rFonts w:hint="default" w:ascii="Times New Roman" w:hAnsi="Times New Roman" w:cs="Times New Roman"/>
                      <w:color w:val="auto"/>
                      <w:kern w:val="0"/>
                      <w:sz w:val="21"/>
                      <w:szCs w:val="21"/>
                    </w:rPr>
                    <w:t>或者其他清洁能源。</w:t>
                  </w:r>
                </w:p>
              </w:tc>
              <w:tc>
                <w:tcPr>
                  <w:tcW w:w="3159" w:type="dxa"/>
                  <w:vAlign w:val="center"/>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本项目运营过程中所消耗的资源主要为水资源、电能</w:t>
                  </w:r>
                  <w:r>
                    <w:rPr>
                      <w:rFonts w:hint="eastAsia" w:ascii="Times New Roman" w:hAnsi="Times New Roman" w:eastAsia="宋体" w:cs="Times New Roman"/>
                      <w:color w:val="auto"/>
                      <w:kern w:val="0"/>
                      <w:sz w:val="21"/>
                      <w:szCs w:val="21"/>
                    </w:rPr>
                    <w:t>、生物质颗粒燃料</w:t>
                  </w:r>
                  <w:r>
                    <w:rPr>
                      <w:rFonts w:hint="default" w:ascii="Times New Roman" w:hAnsi="Times New Roman" w:eastAsia="宋体" w:cs="Times New Roman"/>
                      <w:color w:val="auto"/>
                      <w:kern w:val="0"/>
                      <w:sz w:val="21"/>
                      <w:szCs w:val="21"/>
                    </w:rPr>
                    <w:t>。项目用水由</w:t>
                  </w:r>
                  <w:r>
                    <w:rPr>
                      <w:rFonts w:hint="eastAsia" w:ascii="Times New Roman" w:hAnsi="Times New Roman" w:eastAsia="宋体" w:cs="Times New Roman"/>
                      <w:color w:val="auto"/>
                      <w:kern w:val="0"/>
                      <w:sz w:val="21"/>
                      <w:szCs w:val="21"/>
                    </w:rPr>
                    <w:t>彩云镇现有给水管网提供，项目用水量很小</w:t>
                  </w:r>
                  <w:r>
                    <w:rPr>
                      <w:rFonts w:hint="default" w:ascii="Times New Roman" w:hAnsi="Times New Roman" w:eastAsia="宋体" w:cs="Times New Roman"/>
                      <w:color w:val="auto"/>
                      <w:kern w:val="0"/>
                      <w:sz w:val="21"/>
                      <w:szCs w:val="21"/>
                    </w:rPr>
                    <w:t>；电能由</w:t>
                  </w:r>
                  <w:r>
                    <w:rPr>
                      <w:rFonts w:hint="eastAsia" w:ascii="Times New Roman" w:hAnsi="Times New Roman" w:eastAsia="宋体" w:cs="Times New Roman"/>
                      <w:color w:val="auto"/>
                      <w:kern w:val="0"/>
                      <w:sz w:val="21"/>
                      <w:szCs w:val="21"/>
                    </w:rPr>
                    <w:t>彩云镇现有供电线路供给</w:t>
                  </w:r>
                  <w:r>
                    <w:rPr>
                      <w:rFonts w:hint="default" w:ascii="Times New Roman" w:hAnsi="Times New Roman" w:eastAsia="宋体" w:cs="Times New Roman"/>
                      <w:color w:val="auto"/>
                      <w:kern w:val="0"/>
                      <w:sz w:val="21"/>
                      <w:szCs w:val="21"/>
                    </w:rPr>
                    <w:t>，不会突破当地的资源利用上线</w:t>
                  </w:r>
                  <w:r>
                    <w:rPr>
                      <w:rFonts w:hint="eastAsia"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rPr>
                    <w:t>项目不涉及资源的开采利用，项目用地、供电、供水可满足本项目的运行</w:t>
                  </w:r>
                  <w:r>
                    <w:rPr>
                      <w:rFonts w:hint="eastAsia" w:ascii="Times New Roman" w:hAnsi="Times New Roman" w:eastAsia="宋体" w:cs="Times New Roman"/>
                      <w:color w:val="auto"/>
                      <w:kern w:val="0"/>
                      <w:sz w:val="21"/>
                      <w:szCs w:val="21"/>
                    </w:rPr>
                    <w:t>。项目用地为彩云镇人民政府提供的建设用地，根据本次环评期间开展的土壤环境监测数据，项目用地范围内土壤各污染因子低于《土壤环境质量 建设用地土壤污染风险管控标准（试行）》（GB36600-2018）筛选值标准限值。</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kern w:val="0"/>
                      <w:sz w:val="21"/>
                      <w:szCs w:val="21"/>
                    </w:rPr>
                    <w:t>项目生物质成型燃料年使用量为</w:t>
                  </w:r>
                  <w:r>
                    <w:rPr>
                      <w:rFonts w:hint="eastAsia" w:ascii="Times New Roman" w:hAnsi="Times New Roman" w:eastAsia="宋体" w:cs="Times New Roman"/>
                      <w:color w:val="auto"/>
                      <w:kern w:val="0"/>
                      <w:sz w:val="21"/>
                      <w:szCs w:val="21"/>
                      <w:lang w:val="en-US" w:eastAsia="zh-CN"/>
                    </w:rPr>
                    <w:t>980</w:t>
                  </w:r>
                  <w:r>
                    <w:rPr>
                      <w:rFonts w:hint="eastAsia" w:ascii="Times New Roman" w:hAnsi="Times New Roman" w:eastAsia="宋体" w:cs="Times New Roman"/>
                      <w:color w:val="auto"/>
                      <w:kern w:val="0"/>
                      <w:sz w:val="21"/>
                      <w:szCs w:val="21"/>
                    </w:rPr>
                    <w:t>t/a，本项目使用生物质专用锅炉，配套有高效除尘设施，不涉及石化能源、煤炭等的使用，本项目使用的生物质燃料含硫量0</w:t>
                  </w:r>
                  <w:r>
                    <w:rPr>
                      <w:rFonts w:hint="default" w:ascii="Times New Roman" w:hAnsi="Times New Roman" w:eastAsia="宋体" w:cs="Times New Roman"/>
                      <w:color w:val="auto"/>
                      <w:kern w:val="0"/>
                      <w:sz w:val="21"/>
                      <w:szCs w:val="21"/>
                    </w:rPr>
                    <w:t>.033%</w:t>
                  </w:r>
                  <w:r>
                    <w:rPr>
                      <w:rFonts w:hint="eastAsia" w:ascii="Times New Roman" w:hAnsi="Times New Roman" w:eastAsia="宋体" w:cs="Times New Roman"/>
                      <w:color w:val="auto"/>
                      <w:kern w:val="0"/>
                      <w:sz w:val="21"/>
                      <w:szCs w:val="21"/>
                    </w:rPr>
                    <w:t>，灰分2</w:t>
                  </w:r>
                  <w:r>
                    <w:rPr>
                      <w:rFonts w:hint="default" w:ascii="Times New Roman" w:hAnsi="Times New Roman" w:eastAsia="宋体" w:cs="Times New Roman"/>
                      <w:color w:val="auto"/>
                      <w:kern w:val="0"/>
                      <w:sz w:val="21"/>
                      <w:szCs w:val="21"/>
                    </w:rPr>
                    <w:t>.06%</w:t>
                  </w:r>
                  <w:r>
                    <w:rPr>
                      <w:rFonts w:hint="eastAsia" w:ascii="Times New Roman" w:hAnsi="Times New Roman" w:eastAsia="宋体" w:cs="Times New Roman"/>
                      <w:color w:val="auto"/>
                      <w:kern w:val="0"/>
                      <w:sz w:val="21"/>
                      <w:szCs w:val="21"/>
                    </w:rPr>
                    <w:t>，不属于《曲靖市人民政府关于中心城区高污染燃料禁燃区划定情况的通告》（曲政发〔2019〕73号）中规定的：含硫量大于0.5%、灰分大于10%的煤炭及其制品；含硫量大于0.5%、挥发分大于12%的型煤；含硫量大于0.5%、灰分大于10%、挥发分大于5%的焦炭；含硫量大于0.5%、灰分大于10%、挥发分大于10%的兰</w:t>
                  </w:r>
                  <w:r>
                    <w:rPr>
                      <w:rFonts w:hint="eastAsia" w:ascii="Times New Roman" w:hAnsi="Times New Roman" w:eastAsia="宋体" w:cs="Times New Roman"/>
                      <w:color w:val="auto"/>
                      <w:kern w:val="0"/>
                      <w:sz w:val="21"/>
                      <w:szCs w:val="21"/>
                      <w:shd w:val="clear" w:fill="FFFFFF"/>
                    </w:rPr>
                    <w:t>炭</w:t>
                  </w:r>
                  <w:r>
                    <w:rPr>
                      <w:rFonts w:hint="eastAsia" w:ascii="Times New Roman" w:hAnsi="Times New Roman" w:eastAsia="宋体" w:cs="Times New Roman"/>
                      <w:color w:val="auto"/>
                      <w:kern w:val="0"/>
                      <w:sz w:val="21"/>
                      <w:szCs w:val="21"/>
                    </w:rPr>
                    <w:t>。也不属于石油焦、油页岩、原油、重油、渣油、煤焦油。项目不在曲靖市中心城区禁燃区范围内。</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各县（市）一般管控单元</w:t>
                  </w: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空间布局约束</w:t>
                  </w:r>
                </w:p>
              </w:tc>
              <w:tc>
                <w:tcPr>
                  <w:tcW w:w="2615" w:type="dxa"/>
                  <w:shd w:val="clear" w:color="auto" w:fill="auto"/>
                  <w:vAlign w:val="center"/>
                </w:tcPr>
                <w:p>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1.加强耕地和永久基本农田保护，坚决制止耕地“非农化”、防止耕地“非粮化”。</w:t>
                  </w:r>
                </w:p>
                <w:p>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2.禁止新建、改扩建中小水电项目，现有中小水电站应按照环评批复（环评批复未明确生态流量的根据来水量科学确定生态流量），确保连续稳定下泄生态流量。</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w:t>
                  </w:r>
                  <w:r>
                    <w:rPr>
                      <w:rFonts w:hint="eastAsia" w:ascii="Times New Roman" w:hAnsi="Times New Roman" w:eastAsia="宋体" w:cs="Times New Roman"/>
                      <w:b w:val="0"/>
                      <w:bCs w:val="0"/>
                      <w:snapToGrid w:val="0"/>
                      <w:color w:val="auto"/>
                      <w:kern w:val="2"/>
                      <w:sz w:val="21"/>
                      <w:szCs w:val="21"/>
                      <w:lang w:val="en-US" w:eastAsia="zh-CN" w:bidi="ar-SA"/>
                    </w:rPr>
                    <w:t>根据三区三线查询结果告知函（详见附件6），项目用地不占用基本农田，用地性质为建设用地</w:t>
                  </w:r>
                  <w:r>
                    <w:rPr>
                      <w:rFonts w:hint="default" w:ascii="Times New Roman" w:hAnsi="Times New Roman" w:eastAsia="宋体" w:cs="Times New Roman"/>
                      <w:b w:val="0"/>
                      <w:bCs w:val="0"/>
                      <w:snapToGrid w:val="0"/>
                      <w:color w:val="auto"/>
                      <w:kern w:val="2"/>
                      <w:sz w:val="21"/>
                      <w:szCs w:val="21"/>
                      <w:lang w:val="en-US" w:eastAsia="zh-CN" w:bidi="ar-SA"/>
                    </w:rPr>
                    <w:t>。</w:t>
                  </w:r>
                </w:p>
                <w:p>
                  <w:pPr>
                    <w:pStyle w:val="4"/>
                    <w:pageBreakBefore w:val="0"/>
                    <w:widowControl w:val="0"/>
                    <w:kinsoku/>
                    <w:overflowPunct/>
                    <w:topLinePunct w:val="0"/>
                    <w:autoSpaceDE/>
                    <w:bidi w:val="0"/>
                    <w:spacing w:before="0" w:after="0"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2、项目属于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不属于水电项目。</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污染物排放管控</w:t>
                  </w:r>
                </w:p>
              </w:tc>
              <w:tc>
                <w:tcPr>
                  <w:tcW w:w="2615" w:type="dxa"/>
                  <w:shd w:val="clear" w:color="auto" w:fill="auto"/>
                  <w:vAlign w:val="top"/>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1.严禁污水灌溉，灌溉用水应满足《农田灌溉水质标准》。</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2.现有工业企业应达标排放，逐步提升清洁生产水平，减少污染物排放量。</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3.加强农业面源污染治理，严格控制化肥农药施用量，合理水产养殖布局，控制水产养殖污染，逐步削减农业面源污染物排放量。</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auto"/>
                      <w:spacing w:val="10"/>
                      <w:sz w:val="21"/>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b w:val="0"/>
                      <w:bCs/>
                      <w:color w:val="auto"/>
                      <w:spacing w:val="10"/>
                      <w:sz w:val="21"/>
                      <w:szCs w:val="21"/>
                      <w:highlight w:val="none"/>
                      <w:lang w:val="en-US" w:eastAsia="zh-CN"/>
                    </w:rPr>
                    <w:t>本项目主要从事</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b w:val="0"/>
                      <w:bCs/>
                      <w:color w:val="auto"/>
                      <w:spacing w:val="10"/>
                      <w:sz w:val="21"/>
                      <w:szCs w:val="21"/>
                      <w:highlight w:val="none"/>
                      <w:lang w:val="en-US" w:eastAsia="zh-CN"/>
                    </w:rPr>
                    <w:t>，</w:t>
                  </w:r>
                  <w:r>
                    <w:rPr>
                      <w:rFonts w:hint="eastAsia"/>
                      <w:color w:val="auto"/>
                      <w:sz w:val="21"/>
                      <w:szCs w:val="21"/>
                      <w:lang w:val="en-US" w:eastAsia="zh-CN"/>
                    </w:rPr>
                    <w:t>本项目</w:t>
                  </w:r>
                  <w:r>
                    <w:rPr>
                      <w:rFonts w:hint="eastAsia"/>
                      <w:color w:val="auto"/>
                      <w:sz w:val="21"/>
                      <w:szCs w:val="21"/>
                      <w:lang w:eastAsia="zh-CN"/>
                    </w:rPr>
                    <w:t>生产废水经一体化污水处理站处理达标后暂存于污水池，通过罐车运送至师宗县彩云镇生活污水处理站进行处理，不排入周边地表水体；</w:t>
                  </w:r>
                  <w:r>
                    <w:rPr>
                      <w:color w:val="auto"/>
                      <w:sz w:val="21"/>
                      <w:szCs w:val="21"/>
                      <w:lang w:val="en-US" w:eastAsia="zh-CN"/>
                    </w:rPr>
                    <w:t>生活污水进入化粪池处理后</w:t>
                  </w:r>
                  <w:r>
                    <w:rPr>
                      <w:rFonts w:hint="eastAsia"/>
                      <w:color w:val="auto"/>
                      <w:sz w:val="21"/>
                      <w:szCs w:val="21"/>
                      <w:lang w:val="en-US" w:eastAsia="zh-CN"/>
                    </w:rPr>
                    <w:t>委托周边村民清</w:t>
                  </w:r>
                  <w:r>
                    <w:rPr>
                      <w:rFonts w:hint="eastAsia"/>
                      <w:color w:val="auto"/>
                      <w:sz w:val="21"/>
                      <w:szCs w:val="21"/>
                      <w:shd w:val="clear" w:fill="FFFFFF"/>
                      <w:lang w:val="en-US" w:eastAsia="zh-CN"/>
                    </w:rPr>
                    <w:t>掏</w:t>
                  </w:r>
                  <w:r>
                    <w:rPr>
                      <w:rFonts w:hint="eastAsia"/>
                      <w:color w:val="auto"/>
                      <w:sz w:val="21"/>
                      <w:szCs w:val="21"/>
                      <w:lang w:val="en-US" w:eastAsia="zh-CN"/>
                    </w:rPr>
                    <w:t>施肥；</w:t>
                  </w:r>
                  <w:r>
                    <w:rPr>
                      <w:rFonts w:hint="eastAsia"/>
                      <w:b w:val="0"/>
                      <w:bCs/>
                      <w:color w:val="auto"/>
                      <w:spacing w:val="10"/>
                      <w:sz w:val="21"/>
                      <w:szCs w:val="21"/>
                      <w:highlight w:val="none"/>
                      <w:lang w:val="en-US" w:eastAsia="zh-CN"/>
                    </w:rPr>
                    <w:t>项目废水对周边环境敏感目标影响较小。</w:t>
                  </w:r>
                </w:p>
                <w:p>
                  <w:pPr>
                    <w:pStyle w:val="4"/>
                    <w:pageBreakBefore w:val="0"/>
                    <w:widowControl w:val="0"/>
                    <w:kinsoku/>
                    <w:overflowPunct/>
                    <w:topLinePunct w:val="0"/>
                    <w:autoSpaceDE/>
                    <w:bidi w:val="0"/>
                    <w:adjustRightInd/>
                    <w:snapToGrid/>
                    <w:spacing w:before="0" w:after="0" w:line="240" w:lineRule="auto"/>
                    <w:ind w:firstLine="0" w:firstLineChars="0"/>
                    <w:jc w:val="both"/>
                    <w:textAlignment w:val="auto"/>
                    <w:rPr>
                      <w:rFonts w:hint="default"/>
                      <w:color w:val="auto"/>
                      <w:lang w:val="en-US" w:eastAsia="zh-CN"/>
                    </w:rPr>
                  </w:pPr>
                  <w:r>
                    <w:rPr>
                      <w:rFonts w:hint="eastAsia"/>
                      <w:b w:val="0"/>
                      <w:bCs/>
                      <w:color w:val="auto"/>
                      <w:spacing w:val="10"/>
                      <w:sz w:val="21"/>
                      <w:szCs w:val="21"/>
                      <w:highlight w:val="none"/>
                      <w:lang w:val="en-US" w:eastAsia="zh-CN"/>
                    </w:rPr>
                    <w:t>2、项目属于新建项目，本项目产生的环境影响因素包括废气、废水、噪声、</w:t>
                  </w:r>
                  <w:r>
                    <w:rPr>
                      <w:rFonts w:hint="eastAsia"/>
                      <w:b w:val="0"/>
                      <w:bCs/>
                      <w:color w:val="auto"/>
                      <w:spacing w:val="10"/>
                      <w:sz w:val="21"/>
                      <w:szCs w:val="21"/>
                      <w:highlight w:val="none"/>
                      <w:shd w:val="clear" w:fill="FFFFFF"/>
                      <w:lang w:val="en-US" w:eastAsia="zh-CN"/>
                    </w:rPr>
                    <w:t>固废</w:t>
                  </w:r>
                  <w:r>
                    <w:rPr>
                      <w:rFonts w:hint="eastAsia"/>
                      <w:b w:val="0"/>
                      <w:bCs/>
                      <w:color w:val="auto"/>
                      <w:spacing w:val="10"/>
                      <w:sz w:val="21"/>
                      <w:szCs w:val="21"/>
                      <w:highlight w:val="none"/>
                      <w:lang w:val="en-US" w:eastAsia="zh-CN"/>
                    </w:rPr>
                    <w:t>等，在采取环评提出的防治措施后，均达标排放，对环境影响较小。</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kern w:val="0"/>
                      <w:sz w:val="21"/>
                      <w:szCs w:val="21"/>
                    </w:rPr>
                    <w:t>环境风险防控</w:t>
                  </w:r>
                </w:p>
              </w:tc>
              <w:tc>
                <w:tcPr>
                  <w:tcW w:w="2615" w:type="dxa"/>
                  <w:shd w:val="clear" w:color="auto" w:fill="auto"/>
                  <w:vAlign w:val="top"/>
                </w:tcPr>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1.禁止使用国家规定的禁限用农药名录中的农药。</w:t>
                  </w:r>
                </w:p>
                <w:p>
                  <w:pPr>
                    <w:keepNext w:val="0"/>
                    <w:keepLines w:val="0"/>
                    <w:pageBreakBefore w:val="0"/>
                    <w:widowControl w:val="0"/>
                    <w:kinsoku/>
                    <w:overflowPunct/>
                    <w:topLinePunct w:val="0"/>
                    <w:autoSpaceDE/>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2.加强环境风险防范应急体系建设，加强环境应急预案管理，定期开展应急演练，持续开展环境安全隐患排查整治，提升应急监测能力，加强应急物资管理。</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本项目属</w:t>
                  </w:r>
                  <w:r>
                    <w:rPr>
                      <w:rFonts w:hint="eastAsia" w:ascii="Times New Roman" w:hAnsi="Times New Roman" w:eastAsia="宋体" w:cs="Times New Roman"/>
                      <w:b w:val="0"/>
                      <w:bCs w:val="0"/>
                      <w:color w:val="auto"/>
                      <w:sz w:val="21"/>
                      <w:szCs w:val="21"/>
                      <w:lang w:val="en-US" w:eastAsia="zh-CN"/>
                    </w:rPr>
                    <w:t>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b w:val="0"/>
                      <w:bCs w:val="0"/>
                      <w:color w:val="auto"/>
                      <w:sz w:val="21"/>
                      <w:szCs w:val="21"/>
                    </w:rPr>
                    <w:t>，项目的建设内容不属于国家发展和改革委员会令第</w:t>
                  </w:r>
                  <w:r>
                    <w:rPr>
                      <w:rFonts w:hint="default"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rPr>
                    <w:t>号令《产业结构调整指导目录（</w:t>
                  </w:r>
                  <w:r>
                    <w:rPr>
                      <w:rFonts w:hint="default" w:ascii="Times New Roman" w:hAnsi="Times New Roman" w:eastAsia="宋体" w:cs="Times New Roman"/>
                      <w:b w:val="0"/>
                      <w:bCs w:val="0"/>
                      <w:color w:val="auto"/>
                      <w:sz w:val="21"/>
                      <w:szCs w:val="21"/>
                      <w:lang w:val="en-US" w:eastAsia="zh-CN"/>
                    </w:rPr>
                    <w:t>2024</w:t>
                  </w:r>
                  <w:r>
                    <w:rPr>
                      <w:rFonts w:hint="default" w:ascii="Times New Roman" w:hAnsi="Times New Roman" w:eastAsia="宋体" w:cs="Times New Roman"/>
                      <w:b w:val="0"/>
                      <w:bCs w:val="0"/>
                      <w:color w:val="auto"/>
                      <w:sz w:val="21"/>
                      <w:szCs w:val="21"/>
                    </w:rPr>
                    <w:t>年</w:t>
                  </w:r>
                  <w:r>
                    <w:rPr>
                      <w:rFonts w:hint="default" w:ascii="Times New Roman" w:hAnsi="Times New Roman" w:eastAsia="宋体" w:cs="Times New Roman"/>
                      <w:b w:val="0"/>
                      <w:bCs w:val="0"/>
                      <w:color w:val="auto"/>
                      <w:sz w:val="21"/>
                      <w:szCs w:val="21"/>
                      <w:shd w:val="clear" w:fill="FFFFFF"/>
                    </w:rPr>
                    <w:t>本</w:t>
                  </w:r>
                  <w:r>
                    <w:rPr>
                      <w:rFonts w:hint="default" w:ascii="Times New Roman" w:hAnsi="Times New Roman" w:eastAsia="宋体" w:cs="Times New Roman"/>
                      <w:b w:val="0"/>
                      <w:bCs w:val="0"/>
                      <w:color w:val="auto"/>
                      <w:sz w:val="21"/>
                      <w:szCs w:val="21"/>
                    </w:rPr>
                    <w:t>）》中的“禁止类与限制类”，属于允许类</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项目不涉及使用</w:t>
                  </w:r>
                  <w:r>
                    <w:rPr>
                      <w:rFonts w:hint="default" w:ascii="Times New Roman" w:hAnsi="Times New Roman" w:eastAsia="宋体" w:cs="Times New Roman"/>
                      <w:b w:val="0"/>
                      <w:bCs w:val="0"/>
                      <w:color w:val="auto"/>
                      <w:sz w:val="21"/>
                      <w:szCs w:val="21"/>
                      <w:lang w:val="en-US"/>
                    </w:rPr>
                    <w:t>国家规定的禁限用农药名录中的农药</w:t>
                  </w:r>
                  <w:r>
                    <w:rPr>
                      <w:rFonts w:hint="eastAsia" w:ascii="Times New Roman" w:hAnsi="Times New Roman" w:eastAsia="宋体" w:cs="Times New Roman"/>
                      <w:b w:val="0"/>
                      <w:bCs w:val="0"/>
                      <w:color w:val="auto"/>
                      <w:sz w:val="21"/>
                      <w:szCs w:val="21"/>
                      <w:lang w:val="en-US" w:eastAsia="zh-CN"/>
                    </w:rPr>
                    <w:t>。</w:t>
                  </w:r>
                </w:p>
                <w:p>
                  <w:pPr>
                    <w:pStyle w:val="4"/>
                    <w:pageBreakBefore w:val="0"/>
                    <w:widowControl w:val="0"/>
                    <w:kinsoku/>
                    <w:overflowPunct/>
                    <w:topLinePunct w:val="0"/>
                    <w:autoSpaceDE/>
                    <w:bidi w:val="0"/>
                    <w:spacing w:before="0" w:after="0" w:line="240" w:lineRule="auto"/>
                    <w:ind w:firstLine="0" w:firstLineChars="0"/>
                    <w:jc w:val="both"/>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本项目属于餐厨废弃物资源综合利用</w:t>
                  </w:r>
                  <w:r>
                    <w:rPr>
                      <w:rFonts w:hint="eastAsia"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b w:val="0"/>
                      <w:bCs w:val="0"/>
                      <w:color w:val="auto"/>
                      <w:spacing w:val="10"/>
                      <w:sz w:val="21"/>
                      <w:szCs w:val="21"/>
                      <w:lang w:eastAsia="zh-CN"/>
                    </w:rPr>
                    <w:t>，</w:t>
                  </w:r>
                  <w:r>
                    <w:rPr>
                      <w:rFonts w:hint="default" w:ascii="Times New Roman" w:hAnsi="Times New Roman" w:eastAsia="宋体" w:cs="Times New Roman"/>
                      <w:b w:val="0"/>
                      <w:bCs w:val="0"/>
                      <w:color w:val="auto"/>
                      <w:spacing w:val="10"/>
                      <w:sz w:val="21"/>
                      <w:szCs w:val="21"/>
                    </w:rPr>
                    <w:t>针对本项目环境风险提出了风险防范措施，通过措施的实施，项目的环境风险是可防控的。</w:t>
                  </w:r>
                  <w:r>
                    <w:rPr>
                      <w:rFonts w:hint="eastAsia" w:ascii="Times New Roman" w:hAnsi="Times New Roman" w:eastAsia="宋体" w:cs="Times New Roman"/>
                      <w:b w:val="0"/>
                      <w:bCs w:val="0"/>
                      <w:color w:val="auto"/>
                      <w:spacing w:val="10"/>
                      <w:sz w:val="21"/>
                      <w:szCs w:val="21"/>
                      <w:lang w:eastAsia="zh-CN"/>
                    </w:rPr>
                    <w:t>按照</w:t>
                  </w:r>
                  <w:r>
                    <w:rPr>
                      <w:rFonts w:hint="default" w:ascii="Times New Roman" w:hAnsi="Times New Roman" w:eastAsia="宋体" w:cs="Times New Roman"/>
                      <w:b w:val="0"/>
                      <w:bCs w:val="0"/>
                      <w:color w:val="auto"/>
                      <w:spacing w:val="10"/>
                      <w:sz w:val="21"/>
                      <w:szCs w:val="21"/>
                    </w:rPr>
                    <w:t>《企业事业单位突发环境事件应急预案备案管理办法</w:t>
                  </w:r>
                  <w:r>
                    <w:rPr>
                      <w:rFonts w:hint="default" w:ascii="Times New Roman" w:hAnsi="Times New Roman" w:eastAsia="宋体" w:cs="Times New Roman"/>
                      <w:b w:val="0"/>
                      <w:bCs w:val="0"/>
                      <w:color w:val="auto"/>
                      <w:spacing w:val="7"/>
                      <w:sz w:val="21"/>
                      <w:szCs w:val="21"/>
                    </w:rPr>
                    <w:t>（试行）</w:t>
                  </w:r>
                  <w:r>
                    <w:rPr>
                      <w:rFonts w:hint="default" w:ascii="Times New Roman" w:hAnsi="Times New Roman" w:eastAsia="宋体" w:cs="Times New Roman"/>
                      <w:b w:val="0"/>
                      <w:bCs w:val="0"/>
                      <w:color w:val="auto"/>
                      <w:spacing w:val="-51"/>
                      <w:sz w:val="21"/>
                      <w:szCs w:val="21"/>
                    </w:rPr>
                    <w:t xml:space="preserve"> </w:t>
                  </w:r>
                  <w:r>
                    <w:rPr>
                      <w:rFonts w:hint="default" w:ascii="Times New Roman" w:hAnsi="Times New Roman" w:eastAsia="宋体" w:cs="Times New Roman"/>
                      <w:b w:val="0"/>
                      <w:bCs w:val="0"/>
                      <w:color w:val="auto"/>
                      <w:spacing w:val="7"/>
                      <w:sz w:val="21"/>
                      <w:szCs w:val="21"/>
                    </w:rPr>
                    <w:t>》（环发〔2015〕4号文）</w:t>
                  </w:r>
                  <w:r>
                    <w:rPr>
                      <w:rFonts w:hint="default" w:ascii="Times New Roman" w:hAnsi="Times New Roman" w:eastAsia="宋体" w:cs="Times New Roman"/>
                      <w:b w:val="0"/>
                      <w:bCs w:val="0"/>
                      <w:color w:val="auto"/>
                      <w:sz w:val="21"/>
                      <w:szCs w:val="21"/>
                    </w:rPr>
                    <w:t xml:space="preserve"> </w:t>
                  </w:r>
                  <w:r>
                    <w:rPr>
                      <w:rFonts w:hint="default" w:ascii="Times New Roman" w:hAnsi="Times New Roman" w:eastAsia="宋体" w:cs="Times New Roman"/>
                      <w:b w:val="0"/>
                      <w:bCs w:val="0"/>
                      <w:color w:val="auto"/>
                      <w:spacing w:val="10"/>
                      <w:sz w:val="21"/>
                      <w:szCs w:val="21"/>
                    </w:rPr>
                    <w:t>的要求编制环境风险应急预案，并加</w:t>
                  </w:r>
                  <w:r>
                    <w:rPr>
                      <w:rFonts w:hint="default" w:ascii="Times New Roman" w:hAnsi="Times New Roman" w:eastAsia="宋体" w:cs="Times New Roman"/>
                      <w:b w:val="0"/>
                      <w:bCs w:val="0"/>
                      <w:color w:val="auto"/>
                      <w:spacing w:val="8"/>
                      <w:sz w:val="21"/>
                      <w:szCs w:val="21"/>
                    </w:rPr>
                    <w:t>强运行演练</w:t>
                  </w:r>
                  <w:r>
                    <w:rPr>
                      <w:rFonts w:hint="eastAsia" w:ascii="Times New Roman" w:hAnsi="Times New Roman" w:eastAsia="宋体" w:cs="Times New Roman"/>
                      <w:b w:val="0"/>
                      <w:bCs w:val="0"/>
                      <w:color w:val="auto"/>
                      <w:spacing w:val="8"/>
                      <w:sz w:val="21"/>
                      <w:szCs w:val="21"/>
                      <w:lang w:eastAsia="zh-CN"/>
                    </w:rPr>
                    <w:t>。</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5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kern w:val="0"/>
                      <w:sz w:val="21"/>
                      <w:szCs w:val="21"/>
                    </w:rPr>
                    <w:t>资源开发效率</w:t>
                  </w:r>
                </w:p>
              </w:tc>
              <w:tc>
                <w:tcPr>
                  <w:tcW w:w="2615" w:type="dxa"/>
                  <w:shd w:val="clear" w:color="auto" w:fill="auto"/>
                  <w:vAlign w:val="top"/>
                </w:tcPr>
                <w:p>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1.优化能源结构，加强能源清洁利用。</w:t>
                  </w:r>
                </w:p>
                <w:p>
                  <w:pPr>
                    <w:keepNext w:val="0"/>
                    <w:keepLines w:val="0"/>
                    <w:pageBreakBefore w:val="0"/>
                    <w:widowControl w:val="0"/>
                    <w:kinsoku/>
                    <w:overflowPunct/>
                    <w:topLinePunct w:val="0"/>
                    <w:autoSpaceDE/>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2.提高土地利用效率，节约集约利用土地资源。</w:t>
                  </w:r>
                </w:p>
              </w:tc>
              <w:tc>
                <w:tcPr>
                  <w:tcW w:w="3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color w:val="auto"/>
                      <w:spacing w:val="10"/>
                      <w:sz w:val="21"/>
                      <w:szCs w:val="21"/>
                      <w:highlight w:val="none"/>
                    </w:rPr>
                  </w:pPr>
                  <w:r>
                    <w:rPr>
                      <w:rFonts w:hint="eastAsia"/>
                      <w:b w:val="0"/>
                      <w:bCs/>
                      <w:color w:val="auto"/>
                      <w:spacing w:val="10"/>
                      <w:sz w:val="21"/>
                      <w:szCs w:val="21"/>
                      <w:highlight w:val="none"/>
                      <w:lang w:val="en-US" w:eastAsia="zh-CN"/>
                    </w:rPr>
                    <w:t>1、</w:t>
                  </w:r>
                  <w:r>
                    <w:rPr>
                      <w:rFonts w:hint="eastAsia"/>
                      <w:b w:val="0"/>
                      <w:bCs/>
                      <w:color w:val="auto"/>
                      <w:spacing w:val="10"/>
                      <w:sz w:val="21"/>
                      <w:szCs w:val="21"/>
                      <w:highlight w:val="none"/>
                    </w:rPr>
                    <w:t>本项目属于</w:t>
                  </w:r>
                  <w:r>
                    <w:rPr>
                      <w:rFonts w:hint="default" w:ascii="Times New Roman" w:hAnsi="Times New Roman" w:eastAsia="宋体" w:cs="Times New Roman"/>
                      <w:b w:val="0"/>
                      <w:bCs w:val="0"/>
                      <w:color w:val="auto"/>
                      <w:sz w:val="21"/>
                      <w:szCs w:val="21"/>
                    </w:rPr>
                    <w:t>餐厨废弃物资源综合利用</w:t>
                  </w:r>
                  <w:r>
                    <w:rPr>
                      <w:rFonts w:hint="eastAsia" w:ascii="Times New Roman" w:hAnsi="Times New Roman" w:eastAsia="宋体" w:cs="Times New Roman"/>
                      <w:b w:val="0"/>
                      <w:bCs w:val="0"/>
                      <w:color w:val="auto"/>
                      <w:sz w:val="21"/>
                      <w:szCs w:val="21"/>
                      <w:lang w:val="en-US" w:eastAsia="zh-CN"/>
                    </w:rPr>
                    <w:t>项目</w:t>
                  </w:r>
                  <w:r>
                    <w:rPr>
                      <w:rFonts w:hint="eastAsia"/>
                      <w:b w:val="0"/>
                      <w:bCs/>
                      <w:color w:val="auto"/>
                      <w:spacing w:val="10"/>
                      <w:sz w:val="21"/>
                      <w:szCs w:val="21"/>
                      <w:highlight w:val="none"/>
                    </w:rPr>
                    <w:t>，项目主要能源为电能</w:t>
                  </w:r>
                  <w:r>
                    <w:rPr>
                      <w:rFonts w:hint="eastAsia"/>
                      <w:b w:val="0"/>
                      <w:bCs/>
                      <w:color w:val="auto"/>
                      <w:spacing w:val="10"/>
                      <w:sz w:val="21"/>
                      <w:szCs w:val="21"/>
                      <w:highlight w:val="none"/>
                      <w:lang w:eastAsia="zh-CN"/>
                    </w:rPr>
                    <w:t>、</w:t>
                  </w:r>
                  <w:r>
                    <w:rPr>
                      <w:rFonts w:hint="eastAsia"/>
                      <w:b w:val="0"/>
                      <w:bCs/>
                      <w:color w:val="auto"/>
                      <w:spacing w:val="10"/>
                      <w:sz w:val="21"/>
                      <w:szCs w:val="21"/>
                      <w:highlight w:val="none"/>
                      <w:lang w:val="en-US" w:eastAsia="zh-CN"/>
                    </w:rPr>
                    <w:t>生物质燃料</w:t>
                  </w:r>
                  <w:r>
                    <w:rPr>
                      <w:rFonts w:hint="eastAsia"/>
                      <w:b w:val="0"/>
                      <w:bCs/>
                      <w:color w:val="auto"/>
                      <w:spacing w:val="10"/>
                      <w:sz w:val="21"/>
                      <w:szCs w:val="21"/>
                      <w:highlight w:val="none"/>
                    </w:rPr>
                    <w:t>，</w:t>
                  </w:r>
                  <w:r>
                    <w:rPr>
                      <w:rFonts w:hint="eastAsia"/>
                      <w:color w:val="auto"/>
                      <w:sz w:val="21"/>
                      <w:szCs w:val="21"/>
                    </w:rPr>
                    <w:t>本项目使用生物质专用锅炉，配套有高效除尘设施，不涉及石化能源、煤炭等的使用，本项目使用的生物质燃料含硫量0</w:t>
                  </w:r>
                  <w:r>
                    <w:rPr>
                      <w:color w:val="auto"/>
                      <w:sz w:val="21"/>
                      <w:szCs w:val="21"/>
                    </w:rPr>
                    <w:t>.033%</w:t>
                  </w:r>
                  <w:r>
                    <w:rPr>
                      <w:rFonts w:hint="eastAsia"/>
                      <w:color w:val="auto"/>
                      <w:sz w:val="21"/>
                      <w:szCs w:val="21"/>
                    </w:rPr>
                    <w:t>，灰分2</w:t>
                  </w:r>
                  <w:r>
                    <w:rPr>
                      <w:color w:val="auto"/>
                      <w:sz w:val="21"/>
                      <w:szCs w:val="21"/>
                    </w:rPr>
                    <w:t>.06%</w:t>
                  </w:r>
                  <w:r>
                    <w:rPr>
                      <w:rFonts w:hint="eastAsia"/>
                      <w:color w:val="auto"/>
                      <w:sz w:val="21"/>
                      <w:szCs w:val="21"/>
                    </w:rPr>
                    <w:t>，不属于《曲靖市人民政府关于中心城区高污染燃料禁燃区划定情况的通告》（曲政发〔2019〕73号）中规定的</w:t>
                  </w:r>
                  <w:r>
                    <w:rPr>
                      <w:rFonts w:hint="eastAsia"/>
                      <w:color w:val="auto"/>
                      <w:sz w:val="21"/>
                      <w:szCs w:val="21"/>
                      <w:lang w:eastAsia="zh-CN"/>
                    </w:rPr>
                    <w:t>高污染燃料</w:t>
                  </w:r>
                  <w:r>
                    <w:rPr>
                      <w:rFonts w:hint="eastAsia"/>
                      <w:b w:val="0"/>
                      <w:bCs/>
                      <w:color w:val="auto"/>
                      <w:spacing w:val="10"/>
                      <w:sz w:val="21"/>
                      <w:szCs w:val="21"/>
                      <w:highlight w:val="none"/>
                    </w:rPr>
                    <w:t>。</w:t>
                  </w:r>
                </w:p>
                <w:p>
                  <w:pPr>
                    <w:pStyle w:val="4"/>
                    <w:pageBreakBefore w:val="0"/>
                    <w:widowControl w:val="0"/>
                    <w:kinsoku/>
                    <w:overflowPunct/>
                    <w:topLinePunct w:val="0"/>
                    <w:autoSpaceDE/>
                    <w:bidi w:val="0"/>
                    <w:adjustRightInd/>
                    <w:snapToGrid/>
                    <w:spacing w:before="0" w:after="0" w:line="240" w:lineRule="auto"/>
                    <w:ind w:firstLine="0" w:firstLineChars="0"/>
                    <w:jc w:val="both"/>
                    <w:textAlignment w:val="auto"/>
                    <w:rPr>
                      <w:rFonts w:hint="default"/>
                      <w:color w:val="auto"/>
                      <w:lang w:val="en-US" w:eastAsia="zh-CN"/>
                    </w:rPr>
                  </w:pPr>
                  <w:r>
                    <w:rPr>
                      <w:rFonts w:hint="eastAsia" w:ascii="Times New Roman" w:hAnsi="Times New Roman" w:eastAsia="宋体" w:cs="Times New Roman"/>
                      <w:b w:val="0"/>
                      <w:bCs w:val="0"/>
                      <w:color w:val="auto"/>
                      <w:kern w:val="2"/>
                      <w:sz w:val="21"/>
                      <w:szCs w:val="21"/>
                      <w:lang w:val="en-US" w:eastAsia="zh-CN" w:bidi="ar-SA"/>
                    </w:rPr>
                    <w:t>2、本项目新增用地1231㎡，用地性质为建设用地。</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bl>
          <w:p>
            <w:pPr>
              <w:bidi w:val="0"/>
              <w:rPr>
                <w:rFonts w:hint="eastAsia"/>
                <w:color w:val="auto"/>
                <w:lang w:val="en-US" w:eastAsia="zh-CN"/>
              </w:rPr>
            </w:pPr>
            <w:r>
              <w:rPr>
                <w:rFonts w:hint="eastAsia"/>
                <w:color w:val="auto"/>
                <w:lang w:val="en-US" w:eastAsia="zh-CN"/>
              </w:rPr>
              <w:t>综上，项目与《曲靖市生态环境分区管控动态更新方案（</w:t>
            </w:r>
            <w:r>
              <w:rPr>
                <w:rFonts w:hint="default"/>
                <w:color w:val="auto"/>
                <w:lang w:val="en-US" w:eastAsia="zh-CN"/>
              </w:rPr>
              <w:t>2023年）》</w:t>
            </w:r>
            <w:r>
              <w:rPr>
                <w:rFonts w:hint="eastAsia"/>
                <w:color w:val="auto"/>
                <w:lang w:val="en-US" w:eastAsia="zh-CN"/>
              </w:rPr>
              <w:t>（</w:t>
            </w:r>
            <w:r>
              <w:rPr>
                <w:rFonts w:hint="default"/>
                <w:color w:val="auto"/>
                <w:shd w:val="clear" w:fill="FFFFFF"/>
                <w:lang w:val="en-US" w:eastAsia="zh-CN"/>
              </w:rPr>
              <w:t>曲环通</w:t>
            </w:r>
            <w:r>
              <w:rPr>
                <w:rFonts w:hint="default"/>
                <w:color w:val="auto"/>
                <w:lang w:val="en-US" w:eastAsia="zh-CN"/>
              </w:rPr>
              <w:t>〔2024〕36号</w:t>
            </w:r>
            <w:r>
              <w:rPr>
                <w:rFonts w:hint="eastAsia"/>
                <w:color w:val="auto"/>
                <w:lang w:val="en-US" w:eastAsia="zh-CN"/>
              </w:rPr>
              <w:t>）相符合。</w:t>
            </w:r>
          </w:p>
          <w:p>
            <w:pPr>
              <w:pStyle w:val="56"/>
              <w:spacing w:before="120" w:after="120"/>
              <w:rPr>
                <w:rFonts w:hint="eastAsia" w:ascii="Times New Roman" w:hAnsi="Times New Roman" w:eastAsia="宋体" w:cs="宋体"/>
                <w:color w:val="auto"/>
              </w:rPr>
            </w:pPr>
            <w:r>
              <w:rPr>
                <w:rFonts w:hint="eastAsia" w:ascii="Times New Roman" w:hAnsi="Times New Roman" w:eastAsia="宋体" w:cs="宋体"/>
                <w:color w:val="auto"/>
              </w:rPr>
              <w:t>1.3相关规划符合性分析</w:t>
            </w:r>
          </w:p>
          <w:p>
            <w:pPr>
              <w:pStyle w:val="61"/>
              <w:spacing w:before="60" w:after="60"/>
              <w:rPr>
                <w:bCs/>
                <w:color w:val="auto"/>
                <w:lang w:bidi="en-US"/>
              </w:rPr>
            </w:pPr>
            <w:r>
              <w:rPr>
                <w:rFonts w:hint="eastAsia"/>
                <w:color w:val="auto"/>
                <w:lang w:bidi="en-US"/>
              </w:rPr>
              <w:t>1</w:t>
            </w:r>
            <w:r>
              <w:rPr>
                <w:color w:val="auto"/>
                <w:lang w:bidi="en-US"/>
              </w:rPr>
              <w:t>.3.1</w:t>
            </w:r>
            <w:r>
              <w:rPr>
                <w:rFonts w:hint="eastAsia"/>
                <w:color w:val="auto"/>
                <w:lang w:val="en-US" w:eastAsia="zh-CN" w:bidi="en-US"/>
              </w:rPr>
              <w:t>项目</w:t>
            </w:r>
            <w:r>
              <w:rPr>
                <w:rFonts w:hint="eastAsia"/>
                <w:color w:val="auto"/>
                <w:lang w:bidi="en-US"/>
              </w:rPr>
              <w:t>与</w:t>
            </w:r>
            <w:r>
              <w:rPr>
                <w:rFonts w:hint="eastAsia"/>
                <w:color w:val="auto"/>
                <w:lang w:eastAsia="zh-CN" w:bidi="en-US"/>
              </w:rPr>
              <w:t>《</w:t>
            </w:r>
            <w:r>
              <w:rPr>
                <w:rFonts w:hint="eastAsia"/>
                <w:bCs/>
                <w:color w:val="auto"/>
                <w:lang w:bidi="en-US"/>
              </w:rPr>
              <w:t>中华人民共和国大气污染防治法</w:t>
            </w:r>
            <w:r>
              <w:rPr>
                <w:rFonts w:hint="eastAsia"/>
                <w:color w:val="auto"/>
                <w:lang w:eastAsia="zh-CN" w:bidi="en-US"/>
              </w:rPr>
              <w:t>》</w:t>
            </w:r>
            <w:r>
              <w:rPr>
                <w:rFonts w:hint="eastAsia"/>
                <w:bCs/>
                <w:color w:val="auto"/>
                <w:lang w:bidi="en-US"/>
              </w:rPr>
              <w:t>符合性分析</w:t>
            </w:r>
          </w:p>
          <w:p>
            <w:pPr>
              <w:ind w:firstLine="480"/>
              <w:rPr>
                <w:color w:val="auto"/>
                <w:lang w:bidi="en-US"/>
              </w:rPr>
            </w:pPr>
            <w:r>
              <w:rPr>
                <w:rFonts w:hint="eastAsia"/>
                <w:color w:val="auto"/>
                <w:lang w:bidi="en-US"/>
              </w:rPr>
              <w:t>项目与</w:t>
            </w:r>
            <w:r>
              <w:rPr>
                <w:rFonts w:hint="eastAsia"/>
                <w:color w:val="auto"/>
              </w:rPr>
              <w:t>《中华人民共和国大气污染防治法》（</w:t>
            </w:r>
            <w:r>
              <w:rPr>
                <w:rFonts w:hint="eastAsia"/>
                <w:color w:val="auto"/>
                <w:lang w:bidi="en-US"/>
              </w:rPr>
              <w:t>2018年10月26日修正）有关要求符合性分析见下表：</w:t>
            </w:r>
          </w:p>
          <w:p>
            <w:pPr>
              <w:pStyle w:val="71"/>
              <w:rPr>
                <w:color w:val="auto"/>
                <w:lang w:bidi="en-US"/>
              </w:rPr>
            </w:pPr>
            <w:r>
              <w:rPr>
                <w:rFonts w:hint="eastAsia"/>
                <w:color w:val="auto"/>
                <w:lang w:bidi="en-US"/>
              </w:rPr>
              <w:t>表1</w:t>
            </w:r>
            <w:r>
              <w:rPr>
                <w:color w:val="auto"/>
                <w:lang w:bidi="en-US"/>
              </w:rPr>
              <w:t xml:space="preserve">.3-1 </w:t>
            </w:r>
            <w:r>
              <w:rPr>
                <w:rFonts w:hint="eastAsia"/>
                <w:color w:val="auto"/>
                <w:lang w:val="en-US" w:eastAsia="zh-CN" w:bidi="en-US"/>
              </w:rPr>
              <w:t xml:space="preserve"> 项目</w:t>
            </w:r>
            <w:r>
              <w:rPr>
                <w:rFonts w:hint="eastAsia"/>
                <w:color w:val="auto"/>
                <w:lang w:bidi="en-US"/>
              </w:rPr>
              <w:t>与《中华人民共和国大气污染防治法》有关要求符合性分析一览表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1"/>
              <w:gridCol w:w="3563"/>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4" w:type="pct"/>
                  <w:vAlign w:val="center"/>
                </w:tcPr>
                <w:p>
                  <w:pPr>
                    <w:pStyle w:val="68"/>
                    <w:rPr>
                      <w:color w:val="auto"/>
                    </w:rPr>
                  </w:pPr>
                  <w:r>
                    <w:rPr>
                      <w:color w:val="auto"/>
                    </w:rPr>
                    <w:t>具体要求</w:t>
                  </w:r>
                </w:p>
              </w:tc>
              <w:tc>
                <w:tcPr>
                  <w:tcW w:w="2197" w:type="pct"/>
                  <w:shd w:val="clear" w:color="auto" w:fill="auto"/>
                  <w:vAlign w:val="center"/>
                </w:tcPr>
                <w:p>
                  <w:pPr>
                    <w:pStyle w:val="68"/>
                    <w:rPr>
                      <w:color w:val="auto"/>
                    </w:rPr>
                  </w:pPr>
                  <w:r>
                    <w:rPr>
                      <w:rFonts w:hint="eastAsia"/>
                      <w:color w:val="auto"/>
                    </w:rPr>
                    <w:t>本项目情况</w:t>
                  </w:r>
                </w:p>
              </w:tc>
              <w:tc>
                <w:tcPr>
                  <w:tcW w:w="589" w:type="pct"/>
                  <w:vAlign w:val="center"/>
                </w:tcPr>
                <w:p>
                  <w:pPr>
                    <w:pStyle w:val="68"/>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2214" w:type="pct"/>
                  <w:vAlign w:val="center"/>
                </w:tcPr>
                <w:p>
                  <w:pPr>
                    <w:pStyle w:val="68"/>
                    <w:jc w:val="left"/>
                    <w:rPr>
                      <w:color w:val="auto"/>
                    </w:rPr>
                  </w:pPr>
                  <w:r>
                    <w:rPr>
                      <w:rFonts w:hint="eastAsia"/>
                      <w:color w:val="auto"/>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197" w:type="pct"/>
                  <w:shd w:val="clear" w:color="auto" w:fill="auto"/>
                  <w:vAlign w:val="center"/>
                </w:tcPr>
                <w:p>
                  <w:pPr>
                    <w:pStyle w:val="68"/>
                    <w:jc w:val="left"/>
                    <w:rPr>
                      <w:color w:val="auto"/>
                    </w:rPr>
                  </w:pPr>
                  <w:r>
                    <w:rPr>
                      <w:rFonts w:hint="eastAsia"/>
                      <w:color w:val="auto"/>
                      <w:lang w:eastAsia="zh-CN"/>
                    </w:rPr>
                    <w:t>本项目按照环境影响评价法依法开展环评，</w:t>
                  </w:r>
                  <w:r>
                    <w:rPr>
                      <w:rFonts w:hint="eastAsia"/>
                      <w:snapToGrid w:val="0"/>
                      <w:color w:val="auto"/>
                      <w:lang w:val="en-US" w:eastAsia="zh-CN"/>
                    </w:rPr>
                    <w:t>本项目处置车间恶臭通过微负压风机收集后采用生物洗涤塔处理，经1</w:t>
                  </w:r>
                  <w:r>
                    <w:rPr>
                      <w:snapToGrid w:val="0"/>
                      <w:color w:val="auto"/>
                      <w:lang w:val="en-US" w:eastAsia="zh-CN"/>
                    </w:rPr>
                    <w:t>5</w:t>
                  </w:r>
                  <w:r>
                    <w:rPr>
                      <w:rFonts w:hint="eastAsia"/>
                      <w:snapToGrid w:val="0"/>
                      <w:color w:val="auto"/>
                      <w:lang w:val="en-US" w:eastAsia="zh-CN"/>
                    </w:rPr>
                    <w:t>m高D</w:t>
                  </w:r>
                  <w:r>
                    <w:rPr>
                      <w:snapToGrid w:val="0"/>
                      <w:color w:val="auto"/>
                      <w:lang w:val="en-US" w:eastAsia="zh-CN"/>
                    </w:rPr>
                    <w:t>A001</w:t>
                  </w:r>
                  <w:r>
                    <w:rPr>
                      <w:rFonts w:hint="eastAsia"/>
                      <w:snapToGrid w:val="0"/>
                      <w:color w:val="auto"/>
                      <w:lang w:val="en-US" w:eastAsia="zh-CN"/>
                    </w:rPr>
                    <w:t>排气筒排放；</w:t>
                  </w:r>
                  <w:r>
                    <w:rPr>
                      <w:rFonts w:hint="eastAsia" w:ascii="Times New Roman" w:hAnsi="Times New Roman" w:eastAsia="宋体"/>
                      <w:snapToGrid w:val="0"/>
                      <w:color w:val="auto"/>
                      <w:sz w:val="21"/>
                      <w:szCs w:val="21"/>
                      <w:lang w:val="en-US" w:eastAsia="zh-CN"/>
                    </w:rPr>
                    <w:t>生物质锅炉燃烧废气通过</w:t>
                  </w:r>
                  <w:r>
                    <w:rPr>
                      <w:rFonts w:hint="eastAsia"/>
                      <w:snapToGrid w:val="0"/>
                      <w:color w:val="auto"/>
                      <w:sz w:val="21"/>
                      <w:szCs w:val="21"/>
                      <w:lang w:val="en-US" w:eastAsia="zh-CN"/>
                    </w:rPr>
                    <w:t>布袋除尘器</w:t>
                  </w:r>
                  <w:r>
                    <w:rPr>
                      <w:rFonts w:hint="eastAsia" w:ascii="Times New Roman" w:hAnsi="Times New Roman" w:eastAsia="宋体"/>
                      <w:snapToGrid w:val="0"/>
                      <w:color w:val="auto"/>
                      <w:sz w:val="21"/>
                      <w:szCs w:val="21"/>
                      <w:lang w:val="en-US" w:eastAsia="zh-CN"/>
                    </w:rPr>
                    <w:t>处理后经</w:t>
                  </w:r>
                  <w:r>
                    <w:rPr>
                      <w:rFonts w:hint="eastAsia"/>
                      <w:snapToGrid w:val="0"/>
                      <w:color w:val="auto"/>
                      <w:sz w:val="21"/>
                      <w:szCs w:val="21"/>
                      <w:lang w:val="en-US" w:eastAsia="zh-CN"/>
                    </w:rPr>
                    <w:t>30</w:t>
                  </w:r>
                  <w:r>
                    <w:rPr>
                      <w:rFonts w:hint="eastAsia" w:ascii="Times New Roman" w:hAnsi="Times New Roman" w:eastAsia="宋体"/>
                      <w:snapToGrid w:val="0"/>
                      <w:color w:val="auto"/>
                      <w:sz w:val="21"/>
                      <w:szCs w:val="21"/>
                      <w:lang w:val="en-US" w:eastAsia="zh-CN"/>
                    </w:rPr>
                    <w:t>m高DA002排气筒排放</w:t>
                  </w:r>
                  <w:r>
                    <w:rPr>
                      <w:rFonts w:hint="eastAsia"/>
                      <w:snapToGrid w:val="0"/>
                      <w:color w:val="auto"/>
                      <w:lang w:val="en-US" w:eastAsia="zh-CN"/>
                    </w:rPr>
                    <w:t>；经上述措施治理后，项目废气能达标排放</w:t>
                  </w:r>
                  <w:r>
                    <w:rPr>
                      <w:rFonts w:hint="eastAsia"/>
                      <w:color w:val="auto"/>
                      <w:lang w:eastAsia="zh-CN"/>
                    </w:rPr>
                    <w:t>。</w:t>
                  </w:r>
                </w:p>
              </w:tc>
              <w:tc>
                <w:tcPr>
                  <w:tcW w:w="589"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4" w:type="pct"/>
                  <w:vAlign w:val="center"/>
                </w:tcPr>
                <w:p>
                  <w:pPr>
                    <w:pStyle w:val="68"/>
                    <w:jc w:val="left"/>
                    <w:rPr>
                      <w:color w:val="auto"/>
                      <w:lang w:val="en-US"/>
                    </w:rPr>
                  </w:pPr>
                  <w:r>
                    <w:rPr>
                      <w:rFonts w:hint="eastAsia"/>
                      <w:bCs/>
                      <w:color w:val="auto"/>
                      <w:lang w:val="en-US"/>
                    </w:rPr>
                    <w:t>第三十五条</w:t>
                  </w:r>
                  <w:r>
                    <w:rPr>
                      <w:rFonts w:hint="eastAsia"/>
                      <w:color w:val="auto"/>
                      <w:lang w:val="en-US" w:eastAsia="zh-CN"/>
                    </w:rPr>
                    <w:t xml:space="preserve"> </w:t>
                  </w:r>
                  <w:r>
                    <w:rPr>
                      <w:rFonts w:hint="eastAsia"/>
                      <w:color w:val="auto"/>
                      <w:lang w:val="en-US"/>
                    </w:rPr>
                    <w:t>国家禁止进口、销售和燃用不符合质量标准的煤炭，鼓励燃用优质煤炭。单位存放煤炭、煤矸石、煤渣、煤灰等物料，应当采取防燃措施，防止大气污染。</w:t>
                  </w:r>
                </w:p>
              </w:tc>
              <w:tc>
                <w:tcPr>
                  <w:tcW w:w="2197" w:type="pct"/>
                  <w:shd w:val="clear" w:color="auto" w:fill="auto"/>
                  <w:vAlign w:val="center"/>
                </w:tcPr>
                <w:p>
                  <w:pPr>
                    <w:pStyle w:val="68"/>
                    <w:jc w:val="left"/>
                    <w:rPr>
                      <w:color w:val="auto"/>
                    </w:rPr>
                  </w:pPr>
                  <w:r>
                    <w:rPr>
                      <w:rFonts w:hint="eastAsia"/>
                      <w:color w:val="auto"/>
                      <w:lang w:eastAsia="zh-CN"/>
                    </w:rPr>
                    <w:t>本项目使用生物质成型燃料，不涉及不符合质量标准的燃煤，本项目生物质锅炉配套有高效除尘设施，不属于2017年3月28日发布的《高污染燃料目录》中的高污染燃料。</w:t>
                  </w:r>
                </w:p>
              </w:tc>
              <w:tc>
                <w:tcPr>
                  <w:tcW w:w="589" w:type="pct"/>
                  <w:vAlign w:val="center"/>
                </w:tcPr>
                <w:p>
                  <w:pPr>
                    <w:pStyle w:val="68"/>
                    <w:rPr>
                      <w:color w:val="auto"/>
                    </w:rPr>
                  </w:pPr>
                  <w:r>
                    <w:rPr>
                      <w:rFonts w:hint="eastAsia"/>
                      <w:color w:val="auto"/>
                      <w:lang w:val="en-US"/>
                    </w:rPr>
                    <w:t>符合</w:t>
                  </w:r>
                </w:p>
              </w:tc>
            </w:tr>
          </w:tbl>
          <w:p>
            <w:pPr>
              <w:ind w:firstLine="480"/>
              <w:rPr>
                <w:color w:val="auto"/>
              </w:rPr>
            </w:pPr>
            <w:r>
              <w:rPr>
                <w:rFonts w:hint="eastAsia"/>
                <w:color w:val="auto"/>
              </w:rPr>
              <w:t>综上，项目建设符合《中华人民共和国大气污染防治法》（</w:t>
            </w:r>
            <w:r>
              <w:rPr>
                <w:rFonts w:hint="eastAsia"/>
                <w:color w:val="auto"/>
                <w:lang w:bidi="en-US"/>
              </w:rPr>
              <w:t>2018年10月26日修正）有关要求。</w:t>
            </w:r>
          </w:p>
          <w:p>
            <w:pPr>
              <w:pStyle w:val="61"/>
              <w:spacing w:before="60" w:after="60"/>
              <w:rPr>
                <w:color w:val="auto"/>
              </w:rPr>
            </w:pPr>
            <w:r>
              <w:rPr>
                <w:rFonts w:hint="eastAsia"/>
                <w:color w:val="auto"/>
              </w:rPr>
              <w:t>1.3.</w:t>
            </w:r>
            <w:r>
              <w:rPr>
                <w:color w:val="auto"/>
              </w:rPr>
              <w:t>2</w:t>
            </w:r>
            <w:r>
              <w:rPr>
                <w:rFonts w:hint="eastAsia"/>
                <w:color w:val="auto"/>
                <w:lang w:val="en-US" w:eastAsia="zh-CN"/>
              </w:rPr>
              <w:t>项目</w:t>
            </w:r>
            <w:r>
              <w:rPr>
                <w:rFonts w:hint="eastAsia"/>
                <w:color w:val="auto"/>
              </w:rPr>
              <w:t>与</w:t>
            </w:r>
            <w:r>
              <w:rPr>
                <w:rFonts w:hint="eastAsia"/>
                <w:color w:val="auto"/>
                <w:lang w:eastAsia="zh-CN"/>
              </w:rPr>
              <w:t>《</w:t>
            </w:r>
            <w:r>
              <w:rPr>
                <w:rFonts w:hint="eastAsia"/>
                <w:bCs/>
                <w:color w:val="auto"/>
              </w:rPr>
              <w:t xml:space="preserve">中共中央 </w:t>
            </w:r>
            <w:r>
              <w:rPr>
                <w:rFonts w:hint="eastAsia"/>
                <w:color w:val="auto"/>
              </w:rPr>
              <w:t>国务院</w:t>
            </w:r>
            <w:r>
              <w:rPr>
                <w:color w:val="auto"/>
              </w:rPr>
              <w:t>关于</w:t>
            </w:r>
            <w:r>
              <w:rPr>
                <w:rFonts w:hint="eastAsia"/>
                <w:color w:val="auto"/>
              </w:rPr>
              <w:t>深入打好污染防治攻坚战</w:t>
            </w:r>
            <w:r>
              <w:rPr>
                <w:color w:val="auto"/>
              </w:rPr>
              <w:t>的</w:t>
            </w:r>
            <w:r>
              <w:rPr>
                <w:rFonts w:hint="eastAsia"/>
                <w:color w:val="auto"/>
              </w:rPr>
              <w:t>意见</w:t>
            </w:r>
            <w:r>
              <w:rPr>
                <w:rFonts w:hint="eastAsia"/>
                <w:color w:val="auto"/>
                <w:lang w:eastAsia="zh-CN"/>
              </w:rPr>
              <w:t>》</w:t>
            </w:r>
            <w:r>
              <w:rPr>
                <w:rFonts w:hint="eastAsia"/>
                <w:color w:val="auto"/>
              </w:rPr>
              <w:t>符合性分析</w:t>
            </w:r>
          </w:p>
          <w:p>
            <w:pPr>
              <w:pStyle w:val="9"/>
              <w:ind w:firstLine="480"/>
              <w:rPr>
                <w:color w:val="auto"/>
              </w:rPr>
            </w:pPr>
            <w:r>
              <w:rPr>
                <w:rFonts w:hint="eastAsia"/>
                <w:color w:val="auto"/>
              </w:rPr>
              <w:t>根据2021</w:t>
            </w:r>
            <w:r>
              <w:rPr>
                <w:color w:val="auto"/>
              </w:rPr>
              <w:t>年</w:t>
            </w:r>
            <w:r>
              <w:rPr>
                <w:rFonts w:hint="eastAsia"/>
                <w:color w:val="auto"/>
              </w:rPr>
              <w:t>11</w:t>
            </w:r>
            <w:r>
              <w:rPr>
                <w:color w:val="auto"/>
              </w:rPr>
              <w:t>月2日</w:t>
            </w:r>
            <w:r>
              <w:rPr>
                <w:rFonts w:hint="eastAsia"/>
                <w:color w:val="auto"/>
              </w:rPr>
              <w:t>发布的</w:t>
            </w:r>
            <w:r>
              <w:rPr>
                <w:rFonts w:hint="eastAsia"/>
                <w:bCs/>
                <w:color w:val="auto"/>
              </w:rPr>
              <w:t xml:space="preserve">中共中央 </w:t>
            </w:r>
            <w:r>
              <w:rPr>
                <w:color w:val="auto"/>
              </w:rPr>
              <w:t>国务院关于</w:t>
            </w:r>
            <w:r>
              <w:rPr>
                <w:rFonts w:hint="eastAsia"/>
                <w:color w:val="auto"/>
              </w:rPr>
              <w:t>深入打好污染防治攻坚战</w:t>
            </w:r>
            <w:r>
              <w:rPr>
                <w:color w:val="auto"/>
              </w:rPr>
              <w:t>的</w:t>
            </w:r>
            <w:r>
              <w:rPr>
                <w:rFonts w:hint="eastAsia"/>
                <w:color w:val="auto"/>
              </w:rPr>
              <w:t>意见要求，本项目与意见相符性分析具体见下表：</w:t>
            </w:r>
          </w:p>
          <w:p>
            <w:pPr>
              <w:pStyle w:val="71"/>
              <w:rPr>
                <w:color w:val="auto"/>
              </w:rPr>
            </w:pPr>
            <w:r>
              <w:rPr>
                <w:rFonts w:hint="eastAsia"/>
                <w:color w:val="auto"/>
              </w:rPr>
              <w:t>表1.3-</w:t>
            </w:r>
            <w:r>
              <w:rPr>
                <w:color w:val="auto"/>
              </w:rPr>
              <w:t>2</w:t>
            </w:r>
            <w:r>
              <w:rPr>
                <w:rFonts w:hint="eastAsia"/>
                <w:color w:val="auto"/>
                <w:lang w:val="en-US" w:eastAsia="zh-CN"/>
              </w:rPr>
              <w:t xml:space="preserve"> </w:t>
            </w:r>
            <w:r>
              <w:rPr>
                <w:rFonts w:hint="eastAsia"/>
                <w:color w:val="auto"/>
              </w:rPr>
              <w:t xml:space="preserve"> </w:t>
            </w:r>
            <w:r>
              <w:rPr>
                <w:rFonts w:hint="eastAsia"/>
                <w:color w:val="auto"/>
                <w:lang w:val="en-US" w:eastAsia="zh-CN"/>
              </w:rPr>
              <w:t>项目</w:t>
            </w:r>
            <w:r>
              <w:rPr>
                <w:rFonts w:hint="eastAsia"/>
                <w:color w:val="auto"/>
              </w:rPr>
              <w:t>与意见符合性分析一览表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4207"/>
              <w:gridCol w:w="2281"/>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07" w:type="pct"/>
                  <w:gridSpan w:val="2"/>
                  <w:vAlign w:val="center"/>
                </w:tcPr>
                <w:p>
                  <w:pPr>
                    <w:pStyle w:val="68"/>
                    <w:rPr>
                      <w:b/>
                      <w:bCs/>
                      <w:color w:val="auto"/>
                    </w:rPr>
                  </w:pPr>
                  <w:r>
                    <w:rPr>
                      <w:rFonts w:hint="eastAsia"/>
                      <w:b/>
                      <w:bCs/>
                      <w:color w:val="auto"/>
                    </w:rPr>
                    <w:t>意见</w:t>
                  </w:r>
                  <w:r>
                    <w:rPr>
                      <w:b/>
                      <w:bCs/>
                      <w:color w:val="auto"/>
                    </w:rPr>
                    <w:t>具体要求</w:t>
                  </w:r>
                </w:p>
              </w:tc>
              <w:tc>
                <w:tcPr>
                  <w:tcW w:w="1406" w:type="pct"/>
                  <w:shd w:val="clear" w:color="auto" w:fill="auto"/>
                  <w:vAlign w:val="center"/>
                </w:tcPr>
                <w:p>
                  <w:pPr>
                    <w:pStyle w:val="68"/>
                    <w:rPr>
                      <w:b/>
                      <w:bCs/>
                      <w:color w:val="auto"/>
                    </w:rPr>
                  </w:pPr>
                  <w:r>
                    <w:rPr>
                      <w:rFonts w:hint="eastAsia"/>
                      <w:b/>
                      <w:bCs/>
                      <w:color w:val="auto"/>
                    </w:rPr>
                    <w:t>本项目情况</w:t>
                  </w:r>
                </w:p>
              </w:tc>
              <w:tc>
                <w:tcPr>
                  <w:tcW w:w="585" w:type="pct"/>
                  <w:vAlign w:val="center"/>
                </w:tcPr>
                <w:p>
                  <w:pPr>
                    <w:pStyle w:val="68"/>
                    <w:rPr>
                      <w:b/>
                      <w:bCs/>
                      <w:color w:val="auto"/>
                    </w:rPr>
                  </w:pPr>
                  <w:r>
                    <w:rPr>
                      <w:rFonts w:hint="eastAsia"/>
                      <w:b/>
                      <w:bCs/>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Merge w:val="restart"/>
                  <w:vAlign w:val="center"/>
                </w:tcPr>
                <w:p>
                  <w:pPr>
                    <w:pStyle w:val="68"/>
                    <w:rPr>
                      <w:color w:val="auto"/>
                    </w:rPr>
                  </w:pPr>
                  <w:r>
                    <w:rPr>
                      <w:rFonts w:hint="eastAsia"/>
                      <w:color w:val="auto"/>
                    </w:rPr>
                    <w:t>二、加快推动绿色低碳发展</w:t>
                  </w:r>
                </w:p>
              </w:tc>
              <w:tc>
                <w:tcPr>
                  <w:tcW w:w="2592" w:type="pct"/>
                  <w:shd w:val="clear" w:color="auto" w:fill="auto"/>
                  <w:vAlign w:val="center"/>
                </w:tcPr>
                <w:p>
                  <w:pPr>
                    <w:pStyle w:val="68"/>
                    <w:jc w:val="left"/>
                    <w:rPr>
                      <w:color w:val="auto"/>
                      <w:lang w:eastAsia="zh-CN"/>
                    </w:rPr>
                  </w:pPr>
                  <w:r>
                    <w:rPr>
                      <w:rFonts w:hint="eastAsia"/>
                      <w:color w:val="auto"/>
                    </w:rPr>
                    <w:t>（七）坚决遏制高耗能高排放项目盲目发展。重点区域严禁新增钢铁、焦化、水泥熟料、平板玻璃、电解铝、氧化铝、煤化工产能；严格执行钢铁、水泥、平板玻璃等行业产能置换实施办法</w:t>
                  </w:r>
                  <w:r>
                    <w:rPr>
                      <w:rFonts w:hint="eastAsia"/>
                      <w:color w:val="auto"/>
                      <w:lang w:eastAsia="zh-CN"/>
                    </w:rPr>
                    <w:t>。</w:t>
                  </w:r>
                </w:p>
              </w:tc>
              <w:tc>
                <w:tcPr>
                  <w:tcW w:w="1406" w:type="pct"/>
                  <w:shd w:val="clear" w:color="auto" w:fill="auto"/>
                  <w:vAlign w:val="center"/>
                </w:tcPr>
                <w:p>
                  <w:pPr>
                    <w:pStyle w:val="68"/>
                    <w:rPr>
                      <w:color w:val="auto"/>
                      <w:highlight w:val="yellow"/>
                      <w:lang w:eastAsia="zh-CN"/>
                    </w:rPr>
                  </w:pPr>
                  <w:r>
                    <w:rPr>
                      <w:rFonts w:hint="eastAsia"/>
                      <w:snapToGrid w:val="0"/>
                      <w:color w:val="auto"/>
                      <w:lang w:val="en-US" w:eastAsia="zh-CN"/>
                    </w:rPr>
                    <w:t>本项目主要进行餐厨废弃物资源综合利用</w:t>
                  </w:r>
                  <w:r>
                    <w:rPr>
                      <w:rFonts w:hint="eastAsia" w:hAnsi="宋体"/>
                      <w:color w:val="auto"/>
                      <w:lang w:eastAsia="zh-CN"/>
                    </w:rPr>
                    <w:t>，</w:t>
                  </w:r>
                  <w:r>
                    <w:rPr>
                      <w:rFonts w:hint="eastAsia" w:hAnsi="宋体"/>
                      <w:color w:val="auto"/>
                    </w:rPr>
                    <w:t>不属于</w:t>
                  </w:r>
                  <w:r>
                    <w:rPr>
                      <w:rFonts w:hint="eastAsia"/>
                      <w:color w:val="auto"/>
                    </w:rPr>
                    <w:t>高耗能高排放项目，不涉及</w:t>
                  </w:r>
                  <w:r>
                    <w:rPr>
                      <w:rFonts w:hint="eastAsia" w:hAnsi="宋体"/>
                      <w:color w:val="auto"/>
                    </w:rPr>
                    <w:t>严禁新增的钢铁、焦化、水泥熟料、平板玻璃、电解铝、氧化铝、煤化工</w:t>
                  </w:r>
                  <w:r>
                    <w:rPr>
                      <w:rFonts w:hint="eastAsia" w:hAnsi="宋体"/>
                      <w:color w:val="auto"/>
                      <w:lang w:eastAsia="zh-CN"/>
                    </w:rPr>
                    <w:t>行业。</w:t>
                  </w:r>
                </w:p>
              </w:tc>
              <w:tc>
                <w:tcPr>
                  <w:tcW w:w="585"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Merge w:val="continue"/>
                  <w:vAlign w:val="center"/>
                </w:tcPr>
                <w:p>
                  <w:pPr>
                    <w:pStyle w:val="68"/>
                    <w:rPr>
                      <w:color w:val="auto"/>
                    </w:rPr>
                  </w:pPr>
                </w:p>
              </w:tc>
              <w:tc>
                <w:tcPr>
                  <w:tcW w:w="2592" w:type="pct"/>
                  <w:shd w:val="clear" w:color="auto" w:fill="auto"/>
                  <w:vAlign w:val="center"/>
                </w:tcPr>
                <w:p>
                  <w:pPr>
                    <w:pStyle w:val="68"/>
                    <w:rPr>
                      <w:color w:val="auto"/>
                      <w:lang w:eastAsia="zh-CN"/>
                    </w:rPr>
                  </w:pPr>
                  <w:r>
                    <w:rPr>
                      <w:rFonts w:hint="eastAsia"/>
                      <w:color w:val="auto"/>
                    </w:rPr>
                    <w:t>（九）加强生态环境分区管控。将生态保护红线、环境质量底线、资源利用上线的硬约束落实到环境管控单元，建立差别化的生态环境准入清单，加强“三线一单”成果在政策制定、环境准入、园区管理、执法监管等方面的应用</w:t>
                  </w:r>
                  <w:r>
                    <w:rPr>
                      <w:rFonts w:hint="eastAsia"/>
                      <w:color w:val="auto"/>
                      <w:lang w:eastAsia="zh-CN"/>
                    </w:rPr>
                    <w:t>。</w:t>
                  </w:r>
                </w:p>
              </w:tc>
              <w:tc>
                <w:tcPr>
                  <w:tcW w:w="1406" w:type="pct"/>
                  <w:shd w:val="clear" w:color="auto" w:fill="auto"/>
                  <w:vAlign w:val="center"/>
                </w:tcPr>
                <w:p>
                  <w:pPr>
                    <w:pStyle w:val="68"/>
                    <w:jc w:val="left"/>
                    <w:rPr>
                      <w:color w:val="auto"/>
                      <w:highlight w:val="yellow"/>
                      <w:lang w:eastAsia="zh-CN"/>
                    </w:rPr>
                  </w:pPr>
                  <w:r>
                    <w:rPr>
                      <w:rFonts w:hint="eastAsia" w:hAnsi="宋体"/>
                      <w:color w:val="auto"/>
                      <w:lang w:eastAsia="zh-CN"/>
                    </w:rPr>
                    <w:t>根据上文分析，</w:t>
                  </w:r>
                  <w:r>
                    <w:rPr>
                      <w:rFonts w:hint="eastAsia" w:hAnsi="宋体"/>
                      <w:color w:val="auto"/>
                    </w:rPr>
                    <w:t>本</w:t>
                  </w:r>
                  <w:r>
                    <w:rPr>
                      <w:rFonts w:hint="eastAsia"/>
                      <w:color w:val="auto"/>
                    </w:rPr>
                    <w:t>项目符合</w:t>
                  </w:r>
                  <w:r>
                    <w:rPr>
                      <w:rFonts w:hint="eastAsia"/>
                      <w:color w:val="auto"/>
                      <w:lang w:eastAsia="zh-CN"/>
                    </w:rPr>
                    <w:t>曲靖</w:t>
                  </w:r>
                  <w:r>
                    <w:rPr>
                      <w:rFonts w:hint="eastAsia"/>
                      <w:color w:val="auto"/>
                    </w:rPr>
                    <w:t>市“三线一单”生态环境分区管控要求</w:t>
                  </w:r>
                  <w:r>
                    <w:rPr>
                      <w:rFonts w:hint="eastAsia"/>
                      <w:color w:val="auto"/>
                      <w:lang w:eastAsia="zh-CN"/>
                    </w:rPr>
                    <w:t>。</w:t>
                  </w:r>
                </w:p>
              </w:tc>
              <w:tc>
                <w:tcPr>
                  <w:tcW w:w="585"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Merge w:val="restart"/>
                  <w:vAlign w:val="center"/>
                </w:tcPr>
                <w:p>
                  <w:pPr>
                    <w:pStyle w:val="68"/>
                    <w:rPr>
                      <w:color w:val="auto"/>
                    </w:rPr>
                  </w:pPr>
                  <w:r>
                    <w:rPr>
                      <w:rFonts w:hint="eastAsia"/>
                      <w:color w:val="auto"/>
                    </w:rPr>
                    <w:t>三、深入打好蓝天保卫战</w:t>
                  </w:r>
                </w:p>
              </w:tc>
              <w:tc>
                <w:tcPr>
                  <w:tcW w:w="2592" w:type="pct"/>
                  <w:shd w:val="clear" w:color="auto" w:fill="auto"/>
                  <w:vAlign w:val="center"/>
                </w:tcPr>
                <w:p>
                  <w:pPr>
                    <w:pStyle w:val="68"/>
                    <w:rPr>
                      <w:color w:val="auto"/>
                    </w:rPr>
                  </w:pPr>
                  <w:r>
                    <w:rPr>
                      <w:rFonts w:hint="eastAsia"/>
                      <w:color w:val="auto"/>
                      <w:lang w:val="en-US"/>
                    </w:rPr>
                    <w:t>（十三）持续打好柴油货车污染治理攻坚战。深入实施清洁柴油车（机）行动，全国基本淘汰国三及以下排放标准汽车，推动氢燃料电池汽车示范应用，有序推广清洁能源汽车。进一步推进大中城市公共交通、公务用车电动化进程。不断提高船舶靠港岸电使用率。实施更加严格的车用汽油质量标准。加快大宗货物和中长途货物运输“公转铁</w:t>
                  </w:r>
                  <w:r>
                    <w:rPr>
                      <w:rFonts w:hint="eastAsia"/>
                      <w:color w:val="auto"/>
                      <w:lang w:val="en-US" w:eastAsia="zh-CN"/>
                    </w:rPr>
                    <w:t>”“</w:t>
                  </w:r>
                  <w:r>
                    <w:rPr>
                      <w:rFonts w:hint="eastAsia"/>
                      <w:color w:val="auto"/>
                      <w:lang w:val="en-US"/>
                    </w:rPr>
                    <w:t>公转水”，大力发展公</w:t>
                  </w:r>
                  <w:r>
                    <w:rPr>
                      <w:rFonts w:hint="eastAsia"/>
                      <w:color w:val="auto"/>
                      <w:shd w:val="clear" w:fill="FFFFFF"/>
                      <w:lang w:val="en-US"/>
                    </w:rPr>
                    <w:t>铁</w:t>
                  </w:r>
                  <w:r>
                    <w:rPr>
                      <w:rFonts w:hint="eastAsia"/>
                      <w:color w:val="auto"/>
                      <w:lang w:val="en-US"/>
                    </w:rPr>
                    <w:t>、铁水等多式联运。</w:t>
                  </w:r>
                </w:p>
              </w:tc>
              <w:tc>
                <w:tcPr>
                  <w:tcW w:w="1406" w:type="pct"/>
                  <w:shd w:val="clear" w:color="auto" w:fill="auto"/>
                  <w:vAlign w:val="center"/>
                </w:tcPr>
                <w:p>
                  <w:pPr>
                    <w:pStyle w:val="68"/>
                    <w:rPr>
                      <w:color w:val="auto"/>
                    </w:rPr>
                  </w:pPr>
                  <w:r>
                    <w:rPr>
                      <w:rFonts w:hint="eastAsia"/>
                      <w:color w:val="auto"/>
                      <w:lang w:eastAsia="zh-CN"/>
                    </w:rPr>
                    <w:t>本项目运营期使用符合国家排放要求的运输车辆，不使用</w:t>
                  </w:r>
                  <w:r>
                    <w:rPr>
                      <w:rFonts w:hint="eastAsia"/>
                      <w:color w:val="auto"/>
                      <w:lang w:val="en-US" w:eastAsia="zh-CN"/>
                    </w:rPr>
                    <w:t>国三及以下排放标准的淘汰车辆，项目运营期通过汽车运输方式。</w:t>
                  </w:r>
                </w:p>
              </w:tc>
              <w:tc>
                <w:tcPr>
                  <w:tcW w:w="585"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Merge w:val="continue"/>
                  <w:vAlign w:val="center"/>
                </w:tcPr>
                <w:p>
                  <w:pPr>
                    <w:pStyle w:val="68"/>
                    <w:rPr>
                      <w:color w:val="auto"/>
                    </w:rPr>
                  </w:pPr>
                </w:p>
              </w:tc>
              <w:tc>
                <w:tcPr>
                  <w:tcW w:w="2592" w:type="pct"/>
                  <w:shd w:val="clear" w:color="auto" w:fill="auto"/>
                  <w:vAlign w:val="center"/>
                </w:tcPr>
                <w:p>
                  <w:pPr>
                    <w:pStyle w:val="68"/>
                    <w:rPr>
                      <w:color w:val="auto"/>
                      <w:lang w:eastAsia="zh-CN"/>
                    </w:rPr>
                  </w:pPr>
                  <w:r>
                    <w:rPr>
                      <w:rFonts w:hint="eastAsia"/>
                      <w:color w:val="auto"/>
                    </w:rPr>
                    <w:t>（十四）加强大气面源和噪声污染治理。强化施工、道路、堆场、裸露地面等扬尘管控。实施噪声污染防治行动，加快解决群众关心的突出噪声问题</w:t>
                  </w:r>
                  <w:r>
                    <w:rPr>
                      <w:rFonts w:hint="eastAsia"/>
                      <w:color w:val="auto"/>
                      <w:lang w:eastAsia="zh-CN"/>
                    </w:rPr>
                    <w:t>。</w:t>
                  </w:r>
                </w:p>
              </w:tc>
              <w:tc>
                <w:tcPr>
                  <w:tcW w:w="1406" w:type="pct"/>
                  <w:shd w:val="clear" w:color="auto" w:fill="auto"/>
                  <w:vAlign w:val="center"/>
                </w:tcPr>
                <w:p>
                  <w:pPr>
                    <w:pStyle w:val="68"/>
                    <w:rPr>
                      <w:color w:val="auto"/>
                      <w:highlight w:val="yellow"/>
                      <w:lang w:eastAsia="zh-CN"/>
                    </w:rPr>
                  </w:pPr>
                  <w:r>
                    <w:rPr>
                      <w:rFonts w:hint="eastAsia"/>
                      <w:color w:val="auto"/>
                    </w:rPr>
                    <w:t>本项目运营期噪声经过合理布局、隔声、减振等措施后，</w:t>
                  </w:r>
                  <w:r>
                    <w:rPr>
                      <w:rFonts w:hint="eastAsia"/>
                      <w:color w:val="auto"/>
                      <w:lang w:eastAsia="zh-CN"/>
                    </w:rPr>
                    <w:t>东南西北四</w:t>
                  </w:r>
                  <w:r>
                    <w:rPr>
                      <w:rFonts w:hint="eastAsia"/>
                      <w:color w:val="auto"/>
                      <w:shd w:val="clear" w:fill="FFFFFF"/>
                      <w:lang w:eastAsia="zh-CN"/>
                    </w:rPr>
                    <w:t>侧</w:t>
                  </w:r>
                  <w:r>
                    <w:rPr>
                      <w:rFonts w:hint="eastAsia"/>
                      <w:color w:val="auto"/>
                      <w:shd w:val="clear" w:fill="FFFFFF"/>
                    </w:rPr>
                    <w:t>厂</w:t>
                  </w:r>
                  <w:r>
                    <w:rPr>
                      <w:rFonts w:hint="eastAsia"/>
                      <w:color w:val="auto"/>
                    </w:rPr>
                    <w:t>界噪声达到《工业企业厂界环境噪声排放标准》（GB12348-2008）中</w:t>
                  </w:r>
                  <w:r>
                    <w:rPr>
                      <w:color w:val="auto"/>
                    </w:rPr>
                    <w:t>2</w:t>
                  </w:r>
                  <w:r>
                    <w:rPr>
                      <w:rFonts w:hint="eastAsia"/>
                      <w:color w:val="auto"/>
                    </w:rPr>
                    <w:t>类标准，</w:t>
                  </w:r>
                  <w:r>
                    <w:rPr>
                      <w:rFonts w:hint="eastAsia"/>
                      <w:color w:val="auto"/>
                      <w:lang w:eastAsia="zh-CN"/>
                    </w:rPr>
                    <w:t>经预测分析</w:t>
                  </w:r>
                  <w:r>
                    <w:rPr>
                      <w:rFonts w:hint="eastAsia"/>
                      <w:color w:val="auto"/>
                    </w:rPr>
                    <w:t>，</w:t>
                  </w:r>
                  <w:r>
                    <w:rPr>
                      <w:rFonts w:hint="eastAsia"/>
                      <w:color w:val="auto"/>
                      <w:lang w:eastAsia="zh-CN"/>
                    </w:rPr>
                    <w:t>运营期东侧散户环境噪声满足</w:t>
                  </w:r>
                  <w:r>
                    <w:rPr>
                      <w:rFonts w:hint="eastAsia"/>
                      <w:color w:val="auto"/>
                      <w:lang w:val="en-US" w:eastAsia="zh-CN"/>
                    </w:rPr>
                    <w:t>《声环境质量标准》（GB3096-2008）中2类标准，</w:t>
                  </w:r>
                  <w:r>
                    <w:rPr>
                      <w:rFonts w:hint="eastAsia"/>
                      <w:color w:val="auto"/>
                    </w:rPr>
                    <w:t>不会造成扰民现象。</w:t>
                  </w:r>
                </w:p>
              </w:tc>
              <w:tc>
                <w:tcPr>
                  <w:tcW w:w="585"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Align w:val="center"/>
                </w:tcPr>
                <w:p>
                  <w:pPr>
                    <w:pStyle w:val="68"/>
                    <w:rPr>
                      <w:color w:val="auto"/>
                    </w:rPr>
                  </w:pPr>
                  <w:r>
                    <w:rPr>
                      <w:rFonts w:hint="eastAsia"/>
                      <w:color w:val="auto"/>
                    </w:rPr>
                    <w:t>四、深入打好碧水保卫战</w:t>
                  </w:r>
                </w:p>
              </w:tc>
              <w:tc>
                <w:tcPr>
                  <w:tcW w:w="2592" w:type="pct"/>
                  <w:shd w:val="clear" w:color="auto" w:fill="auto"/>
                  <w:vAlign w:val="center"/>
                </w:tcPr>
                <w:p>
                  <w:pPr>
                    <w:pStyle w:val="68"/>
                    <w:rPr>
                      <w:color w:val="auto"/>
                    </w:rPr>
                  </w:pPr>
                  <w:r>
                    <w:rPr>
                      <w:rFonts w:hint="eastAsia"/>
                      <w:color w:val="auto"/>
                      <w:lang w:val="en-US"/>
                    </w:rPr>
                    <w:t>（十五）持续打好城市黑臭水体治理攻坚战。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w:t>
                  </w:r>
                </w:p>
              </w:tc>
              <w:tc>
                <w:tcPr>
                  <w:tcW w:w="1406" w:type="pct"/>
                  <w:shd w:val="clear" w:color="auto" w:fill="auto"/>
                  <w:vAlign w:val="center"/>
                </w:tcPr>
                <w:p>
                  <w:pPr>
                    <w:pStyle w:val="68"/>
                    <w:rPr>
                      <w:color w:val="auto"/>
                    </w:rPr>
                  </w:pPr>
                  <w:r>
                    <w:rPr>
                      <w:rFonts w:hint="eastAsia"/>
                      <w:color w:val="auto"/>
                    </w:rPr>
                    <w:t>本项目</w:t>
                  </w:r>
                  <w:r>
                    <w:rPr>
                      <w:rFonts w:hint="eastAsia"/>
                      <w:color w:val="auto"/>
                      <w:lang w:eastAsia="zh-CN"/>
                    </w:rPr>
                    <w:t>生产废水经一体化污水处理站处理达标后暂存于污水池，定期通过罐车运送至师宗县彩云镇生活污水处理站进行处理，不排入周边地表水体；</w:t>
                  </w:r>
                  <w:r>
                    <w:rPr>
                      <w:color w:val="auto"/>
                      <w:lang w:val="en-US" w:eastAsia="zh-CN"/>
                    </w:rPr>
                    <w:t>生活污水进入化粪池处理后</w:t>
                  </w:r>
                  <w:r>
                    <w:rPr>
                      <w:rFonts w:hint="eastAsia"/>
                      <w:color w:val="auto"/>
                      <w:lang w:val="en-US" w:eastAsia="zh-CN"/>
                    </w:rPr>
                    <w:t>委托周边村民清</w:t>
                  </w:r>
                  <w:r>
                    <w:rPr>
                      <w:rFonts w:hint="eastAsia"/>
                      <w:color w:val="auto"/>
                      <w:shd w:val="clear" w:fill="FFFFFF"/>
                      <w:lang w:val="en-US" w:eastAsia="zh-CN"/>
                    </w:rPr>
                    <w:t>掏</w:t>
                  </w:r>
                  <w:r>
                    <w:rPr>
                      <w:rFonts w:hint="eastAsia"/>
                      <w:color w:val="auto"/>
                      <w:lang w:val="en-US" w:eastAsia="zh-CN"/>
                    </w:rPr>
                    <w:t>施肥。</w:t>
                  </w:r>
                </w:p>
              </w:tc>
              <w:tc>
                <w:tcPr>
                  <w:tcW w:w="585" w:type="pct"/>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4" w:type="pct"/>
                  <w:vAlign w:val="center"/>
                </w:tcPr>
                <w:p>
                  <w:pPr>
                    <w:pStyle w:val="68"/>
                    <w:rPr>
                      <w:color w:val="auto"/>
                    </w:rPr>
                  </w:pPr>
                  <w:r>
                    <w:rPr>
                      <w:rFonts w:hint="eastAsia"/>
                      <w:color w:val="auto"/>
                    </w:rPr>
                    <w:t>五、深入打好净土保卫战</w:t>
                  </w:r>
                </w:p>
              </w:tc>
              <w:tc>
                <w:tcPr>
                  <w:tcW w:w="2592" w:type="pct"/>
                  <w:shd w:val="clear" w:color="auto" w:fill="auto"/>
                  <w:vAlign w:val="center"/>
                </w:tcPr>
                <w:p>
                  <w:pPr>
                    <w:pStyle w:val="68"/>
                    <w:rPr>
                      <w:color w:val="auto"/>
                    </w:rPr>
                  </w:pPr>
                  <w:r>
                    <w:rPr>
                      <w:rFonts w:hint="eastAsia"/>
                      <w:color w:val="auto"/>
                      <w:lang w:val="en-US"/>
                    </w:rPr>
                    <w:t>（二十三）有效管控建设用地土壤污染风险。严格建设用地土壤污染风险管控和修复名录内地块的准入管理。未依法完成土壤污染状况调查和风险评估的地块，不得开工建设与风险管控和修复无关的项目。从严管控农药、化工等行业的重度污染地块规划用途，确需开发利用的，鼓励用于拓展生态空间。完成重点地区危险化学品生产企业搬迁改造，推进腾退地块风险管控和修复。</w:t>
                  </w:r>
                </w:p>
              </w:tc>
              <w:tc>
                <w:tcPr>
                  <w:tcW w:w="1406" w:type="pct"/>
                  <w:shd w:val="clear" w:color="auto" w:fill="auto"/>
                  <w:vAlign w:val="center"/>
                </w:tcPr>
                <w:p>
                  <w:pPr>
                    <w:pStyle w:val="68"/>
                    <w:rPr>
                      <w:color w:val="auto"/>
                    </w:rPr>
                  </w:pPr>
                  <w:r>
                    <w:rPr>
                      <w:rFonts w:hint="eastAsia"/>
                      <w:snapToGrid w:val="0"/>
                      <w:color w:val="auto"/>
                      <w:lang w:val="en-US" w:eastAsia="zh-CN"/>
                    </w:rPr>
                    <w:t>本项目主要进行餐厨废弃物资源综合利用</w:t>
                  </w:r>
                  <w:r>
                    <w:rPr>
                      <w:rFonts w:hint="eastAsia"/>
                      <w:color w:val="auto"/>
                      <w:lang w:val="en-US" w:eastAsia="zh-CN"/>
                    </w:rPr>
                    <w:t>，施工期对场地进行分区防渗，重点防渗区域采用土工布膜进行基础防渗，地面采用抗渗混凝土面进行硬化，一般防渗区域采用抗渗混凝土进行地面硬化，有效降低土壤污染风险。</w:t>
                  </w:r>
                </w:p>
              </w:tc>
              <w:tc>
                <w:tcPr>
                  <w:tcW w:w="585" w:type="pct"/>
                  <w:vAlign w:val="center"/>
                </w:tcPr>
                <w:p>
                  <w:pPr>
                    <w:pStyle w:val="68"/>
                    <w:rPr>
                      <w:color w:val="auto"/>
                    </w:rPr>
                  </w:pPr>
                  <w:r>
                    <w:rPr>
                      <w:rFonts w:hint="eastAsia"/>
                      <w:color w:val="auto"/>
                      <w:lang w:eastAsia="zh-CN"/>
                    </w:rPr>
                    <w:t>符合</w:t>
                  </w:r>
                </w:p>
              </w:tc>
            </w:tr>
          </w:tbl>
          <w:p>
            <w:pPr>
              <w:ind w:firstLine="480"/>
              <w:rPr>
                <w:color w:val="auto"/>
              </w:rPr>
            </w:pPr>
            <w:r>
              <w:rPr>
                <w:rFonts w:hint="eastAsia"/>
                <w:color w:val="auto"/>
              </w:rPr>
              <w:t>综上所述，本项目建设符合</w:t>
            </w:r>
            <w:r>
              <w:rPr>
                <w:rFonts w:hint="eastAsia"/>
                <w:bCs/>
                <w:color w:val="auto"/>
              </w:rPr>
              <w:t xml:space="preserve">中共中央 </w:t>
            </w:r>
            <w:r>
              <w:rPr>
                <w:rFonts w:hint="eastAsia"/>
                <w:color w:val="auto"/>
              </w:rPr>
              <w:t>国务院关于深入打好污染防治攻坚战的意见要求。</w:t>
            </w:r>
          </w:p>
          <w:p>
            <w:pPr>
              <w:pStyle w:val="61"/>
              <w:spacing w:before="60" w:after="60"/>
              <w:rPr>
                <w:color w:val="auto"/>
              </w:rPr>
            </w:pPr>
            <w:r>
              <w:rPr>
                <w:rFonts w:hint="eastAsia"/>
                <w:color w:val="auto"/>
              </w:rPr>
              <w:t>1</w:t>
            </w:r>
            <w:r>
              <w:rPr>
                <w:color w:val="auto"/>
              </w:rPr>
              <w:t>.3.3</w:t>
            </w:r>
            <w:r>
              <w:rPr>
                <w:rFonts w:hint="eastAsia"/>
                <w:color w:val="auto"/>
                <w:lang w:val="en-US" w:eastAsia="zh-CN"/>
              </w:rPr>
              <w:t>项目</w:t>
            </w:r>
            <w:r>
              <w:rPr>
                <w:rFonts w:hint="eastAsia"/>
                <w:color w:val="auto"/>
              </w:rPr>
              <w:t>与中共云南省委、云南省人民政府关于深入打好污染防治攻坚战的实施意见符合性分析</w:t>
            </w:r>
          </w:p>
          <w:p>
            <w:pPr>
              <w:ind w:firstLine="480"/>
              <w:rPr>
                <w:color w:val="auto"/>
              </w:rPr>
            </w:pPr>
            <w:r>
              <w:rPr>
                <w:rFonts w:hint="eastAsia"/>
                <w:color w:val="auto"/>
              </w:rPr>
              <w:t>本项目与中共云南省委、云南省人民政府关于深入打好污染防治攻坚战的实施意见符合性分析见下表：</w:t>
            </w:r>
          </w:p>
          <w:p>
            <w:pPr>
              <w:pStyle w:val="71"/>
              <w:rPr>
                <w:color w:val="auto"/>
              </w:rPr>
            </w:pPr>
            <w:r>
              <w:rPr>
                <w:rFonts w:hint="eastAsia"/>
                <w:color w:val="auto"/>
              </w:rPr>
              <w:t>表1.3-</w:t>
            </w:r>
            <w:r>
              <w:rPr>
                <w:color w:val="auto"/>
              </w:rPr>
              <w:t>3</w:t>
            </w:r>
            <w:r>
              <w:rPr>
                <w:rFonts w:hint="eastAsia"/>
                <w:color w:val="auto"/>
              </w:rPr>
              <w:t xml:space="preserve"> </w:t>
            </w:r>
            <w:r>
              <w:rPr>
                <w:rFonts w:hint="eastAsia"/>
                <w:color w:val="auto"/>
                <w:lang w:val="en-US" w:eastAsia="zh-CN"/>
              </w:rPr>
              <w:t xml:space="preserve"> 项目</w:t>
            </w:r>
            <w:r>
              <w:rPr>
                <w:rFonts w:hint="eastAsia"/>
                <w:color w:val="auto"/>
              </w:rPr>
              <w:t>与实施意见符合性分析一览表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3912"/>
              <w:gridCol w:w="2854"/>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9" w:type="pct"/>
                  <w:gridSpan w:val="2"/>
                  <w:vAlign w:val="center"/>
                </w:tcPr>
                <w:p>
                  <w:pPr>
                    <w:pStyle w:val="68"/>
                    <w:rPr>
                      <w:b/>
                      <w:bCs/>
                      <w:color w:val="auto"/>
                    </w:rPr>
                  </w:pPr>
                  <w:r>
                    <w:rPr>
                      <w:rFonts w:hint="eastAsia"/>
                      <w:b/>
                      <w:bCs/>
                      <w:color w:val="auto"/>
                    </w:rPr>
                    <w:t>意见</w:t>
                  </w:r>
                  <w:r>
                    <w:rPr>
                      <w:b/>
                      <w:bCs/>
                      <w:color w:val="auto"/>
                    </w:rPr>
                    <w:t>具体要求</w:t>
                  </w:r>
                </w:p>
              </w:tc>
              <w:tc>
                <w:tcPr>
                  <w:tcW w:w="1760" w:type="pct"/>
                  <w:shd w:val="clear" w:color="auto" w:fill="auto"/>
                  <w:vAlign w:val="center"/>
                </w:tcPr>
                <w:p>
                  <w:pPr>
                    <w:pStyle w:val="68"/>
                    <w:rPr>
                      <w:b/>
                      <w:bCs/>
                      <w:color w:val="auto"/>
                    </w:rPr>
                  </w:pPr>
                  <w:r>
                    <w:rPr>
                      <w:rFonts w:hint="eastAsia"/>
                      <w:b/>
                      <w:bCs/>
                      <w:color w:val="auto"/>
                    </w:rPr>
                    <w:t>本项目情况</w:t>
                  </w:r>
                </w:p>
              </w:tc>
              <w:tc>
                <w:tcPr>
                  <w:tcW w:w="411" w:type="pct"/>
                  <w:vAlign w:val="center"/>
                </w:tcPr>
                <w:p>
                  <w:pPr>
                    <w:pStyle w:val="68"/>
                    <w:rPr>
                      <w:b/>
                      <w:bCs/>
                      <w:color w:val="auto"/>
                    </w:rPr>
                  </w:pPr>
                  <w:r>
                    <w:rPr>
                      <w:rFonts w:hint="eastAsia"/>
                      <w:b/>
                      <w:bCs/>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restart"/>
                  <w:vAlign w:val="center"/>
                </w:tcPr>
                <w:p>
                  <w:pPr>
                    <w:pStyle w:val="68"/>
                    <w:rPr>
                      <w:color w:val="auto"/>
                    </w:rPr>
                  </w:pPr>
                  <w:r>
                    <w:rPr>
                      <w:rFonts w:hint="eastAsia"/>
                      <w:color w:val="auto"/>
                    </w:rPr>
                    <w:t>三、深入打好蓝天保卫战</w:t>
                  </w:r>
                </w:p>
              </w:tc>
              <w:tc>
                <w:tcPr>
                  <w:tcW w:w="2412" w:type="pct"/>
                  <w:shd w:val="clear" w:color="auto" w:fill="auto"/>
                  <w:vAlign w:val="center"/>
                </w:tcPr>
                <w:p>
                  <w:pPr>
                    <w:pStyle w:val="68"/>
                    <w:rPr>
                      <w:color w:val="auto"/>
                    </w:rPr>
                  </w:pPr>
                  <w:r>
                    <w:rPr>
                      <w:rFonts w:hint="eastAsia"/>
                      <w:color w:val="auto"/>
                      <w:lang w:val="en-US"/>
                    </w:rPr>
                    <w:t>（一）持续打好柴油货车污染治理攻坚战。深入开展清洁柴油车（机）行动，基本淘汰国三及以下排放标准汽车。加大清洁能源汽车推广力度，推动氢燃料电池汽车示范应用。以大宗货物运输“公转铁</w:t>
                  </w:r>
                  <w:r>
                    <w:rPr>
                      <w:rFonts w:hint="eastAsia"/>
                      <w:color w:val="auto"/>
                      <w:lang w:val="en-US" w:eastAsia="zh-CN"/>
                    </w:rPr>
                    <w:t>”“</w:t>
                  </w:r>
                  <w:r>
                    <w:rPr>
                      <w:rFonts w:hint="eastAsia"/>
                      <w:color w:val="auto"/>
                      <w:lang w:val="en-US"/>
                    </w:rPr>
                    <w:t>公转水”为重点推进运输结构调整。</w:t>
                  </w:r>
                </w:p>
              </w:tc>
              <w:tc>
                <w:tcPr>
                  <w:tcW w:w="1760" w:type="pct"/>
                  <w:shd w:val="clear" w:color="auto" w:fill="auto"/>
                  <w:vAlign w:val="center"/>
                </w:tcPr>
                <w:p>
                  <w:pPr>
                    <w:pStyle w:val="68"/>
                    <w:rPr>
                      <w:color w:val="auto"/>
                    </w:rPr>
                  </w:pPr>
                  <w:r>
                    <w:rPr>
                      <w:rFonts w:hint="eastAsia"/>
                      <w:color w:val="auto"/>
                      <w:lang w:eastAsia="zh-CN"/>
                    </w:rPr>
                    <w:t>本项目运营期使用符合国家排放要求的运输车辆，不使用</w:t>
                  </w:r>
                  <w:r>
                    <w:rPr>
                      <w:rFonts w:hint="eastAsia"/>
                      <w:color w:val="auto"/>
                      <w:lang w:val="en-US" w:eastAsia="zh-CN"/>
                    </w:rPr>
                    <w:t>国三及以下排放标准的淘汰车辆，项目运营期采用汽车运输方式。</w:t>
                  </w:r>
                </w:p>
              </w:tc>
              <w:tc>
                <w:tcPr>
                  <w:tcW w:w="411"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7" w:type="pct"/>
                  <w:vMerge w:val="continue"/>
                  <w:vAlign w:val="center"/>
                </w:tcPr>
                <w:p>
                  <w:pPr>
                    <w:pStyle w:val="68"/>
                    <w:rPr>
                      <w:color w:val="auto"/>
                    </w:rPr>
                  </w:pPr>
                </w:p>
              </w:tc>
              <w:tc>
                <w:tcPr>
                  <w:tcW w:w="2412" w:type="pct"/>
                  <w:shd w:val="clear" w:color="auto" w:fill="auto"/>
                  <w:vAlign w:val="center"/>
                </w:tcPr>
                <w:p>
                  <w:pPr>
                    <w:pStyle w:val="68"/>
                    <w:rPr>
                      <w:color w:val="auto"/>
                      <w:lang w:eastAsia="zh-CN"/>
                    </w:rPr>
                  </w:pPr>
                  <w:r>
                    <w:rPr>
                      <w:rFonts w:hint="eastAsia"/>
                      <w:color w:val="auto"/>
                      <w:lang w:val="en-US"/>
                    </w:rPr>
                    <w:t>（二）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1760" w:type="pct"/>
                  <w:shd w:val="clear" w:color="auto" w:fill="auto"/>
                  <w:vAlign w:val="center"/>
                </w:tcPr>
                <w:p>
                  <w:pPr>
                    <w:pStyle w:val="68"/>
                    <w:rPr>
                      <w:color w:val="auto"/>
                      <w:highlight w:val="yellow"/>
                      <w:lang w:eastAsia="zh-CN"/>
                    </w:rPr>
                  </w:pPr>
                  <w:r>
                    <w:rPr>
                      <w:rFonts w:hint="eastAsia"/>
                      <w:color w:val="auto"/>
                      <w:lang w:eastAsia="zh-CN"/>
                    </w:rPr>
                    <w:t>本项目施工期间不涉及土地的平整和开挖，现有场地已经进行了地面硬化处理，施工期运输车辆采用</w:t>
                  </w:r>
                  <w:r>
                    <w:rPr>
                      <w:rFonts w:hint="eastAsia"/>
                      <w:color w:val="auto"/>
                      <w:lang w:val="en-US" w:eastAsia="zh-CN"/>
                    </w:rPr>
                    <w:t>密闭运输措施，施工道路和场地定期洒水降尘。</w:t>
                  </w:r>
                </w:p>
              </w:tc>
              <w:tc>
                <w:tcPr>
                  <w:tcW w:w="411"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Merge w:val="continue"/>
                  <w:vAlign w:val="center"/>
                </w:tcPr>
                <w:p>
                  <w:pPr>
                    <w:pStyle w:val="68"/>
                    <w:rPr>
                      <w:color w:val="auto"/>
                    </w:rPr>
                  </w:pPr>
                </w:p>
              </w:tc>
              <w:tc>
                <w:tcPr>
                  <w:tcW w:w="2412" w:type="pct"/>
                  <w:shd w:val="clear" w:color="auto" w:fill="auto"/>
                  <w:vAlign w:val="center"/>
                </w:tcPr>
                <w:p>
                  <w:pPr>
                    <w:pStyle w:val="68"/>
                    <w:rPr>
                      <w:color w:val="auto"/>
                      <w:lang w:val="en-US"/>
                    </w:rPr>
                  </w:pPr>
                  <w:r>
                    <w:rPr>
                      <w:rFonts w:hint="eastAsia"/>
                      <w:color w:val="auto"/>
                      <w:lang w:val="en-US"/>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760" w:type="pct"/>
                  <w:shd w:val="clear" w:color="auto" w:fill="auto"/>
                  <w:vAlign w:val="center"/>
                </w:tcPr>
                <w:p>
                  <w:pPr>
                    <w:pStyle w:val="68"/>
                    <w:rPr>
                      <w:color w:val="auto"/>
                    </w:rPr>
                  </w:pPr>
                  <w:r>
                    <w:rPr>
                      <w:rFonts w:hint="eastAsia"/>
                      <w:color w:val="auto"/>
                      <w:lang w:val="en-US"/>
                    </w:rPr>
                    <w:t>本项目运营期噪声经过合理布局、隔声、减振等措施后，厂界噪声</w:t>
                  </w:r>
                  <w:r>
                    <w:rPr>
                      <w:rFonts w:hint="eastAsia"/>
                      <w:color w:val="auto"/>
                      <w:lang w:val="en-US" w:eastAsia="zh-CN"/>
                    </w:rPr>
                    <w:t>满足</w:t>
                  </w:r>
                  <w:r>
                    <w:rPr>
                      <w:rFonts w:hint="eastAsia"/>
                      <w:color w:val="auto"/>
                      <w:lang w:val="en-US"/>
                    </w:rPr>
                    <w:t>《工业企业厂界环境噪声排放标准》（GB12348-2008）中</w:t>
                  </w:r>
                  <w:r>
                    <w:rPr>
                      <w:color w:val="auto"/>
                      <w:lang w:val="en-US"/>
                    </w:rPr>
                    <w:t>2</w:t>
                  </w:r>
                  <w:r>
                    <w:rPr>
                      <w:rFonts w:hint="eastAsia"/>
                      <w:color w:val="auto"/>
                      <w:lang w:val="en-US"/>
                    </w:rPr>
                    <w:t>类标准，不会造成扰民现象</w:t>
                  </w:r>
                  <w:r>
                    <w:rPr>
                      <w:rFonts w:hint="eastAsia"/>
                      <w:color w:val="auto"/>
                      <w:lang w:val="en-US" w:eastAsia="zh-CN"/>
                    </w:rPr>
                    <w:t>；</w:t>
                  </w:r>
                  <w:r>
                    <w:rPr>
                      <w:rFonts w:hint="eastAsia"/>
                      <w:snapToGrid w:val="0"/>
                      <w:color w:val="auto"/>
                      <w:lang w:val="en-US" w:eastAsia="zh-CN"/>
                    </w:rPr>
                    <w:t>本项目处置车间恶臭通过微负压风机收集后采用生物洗涤塔处理，经1</w:t>
                  </w:r>
                  <w:r>
                    <w:rPr>
                      <w:snapToGrid w:val="0"/>
                      <w:color w:val="auto"/>
                      <w:lang w:val="en-US" w:eastAsia="zh-CN"/>
                    </w:rPr>
                    <w:t>5</w:t>
                  </w:r>
                  <w:r>
                    <w:rPr>
                      <w:rFonts w:hint="eastAsia"/>
                      <w:snapToGrid w:val="0"/>
                      <w:color w:val="auto"/>
                      <w:lang w:val="en-US" w:eastAsia="zh-CN"/>
                    </w:rPr>
                    <w:t>m高D</w:t>
                  </w:r>
                  <w:r>
                    <w:rPr>
                      <w:snapToGrid w:val="0"/>
                      <w:color w:val="auto"/>
                      <w:lang w:val="en-US" w:eastAsia="zh-CN"/>
                    </w:rPr>
                    <w:t>A001</w:t>
                  </w:r>
                  <w:r>
                    <w:rPr>
                      <w:rFonts w:hint="eastAsia"/>
                      <w:snapToGrid w:val="0"/>
                      <w:color w:val="auto"/>
                      <w:lang w:val="en-US" w:eastAsia="zh-CN"/>
                    </w:rPr>
                    <w:t>排气筒排放；</w:t>
                  </w:r>
                  <w:r>
                    <w:rPr>
                      <w:rFonts w:hint="eastAsia" w:ascii="Times New Roman" w:hAnsi="Times New Roman" w:eastAsia="宋体"/>
                      <w:snapToGrid w:val="0"/>
                      <w:color w:val="auto"/>
                      <w:sz w:val="21"/>
                      <w:szCs w:val="21"/>
                      <w:lang w:val="en-US" w:eastAsia="zh-CN"/>
                    </w:rPr>
                    <w:t>生物质锅炉燃烧废气通过</w:t>
                  </w:r>
                  <w:r>
                    <w:rPr>
                      <w:rFonts w:hint="eastAsia"/>
                      <w:snapToGrid w:val="0"/>
                      <w:color w:val="auto"/>
                      <w:sz w:val="21"/>
                      <w:szCs w:val="21"/>
                      <w:lang w:val="en-US" w:eastAsia="zh-CN"/>
                    </w:rPr>
                    <w:t>布袋除尘器</w:t>
                  </w:r>
                  <w:r>
                    <w:rPr>
                      <w:rFonts w:hint="eastAsia" w:ascii="Times New Roman" w:hAnsi="Times New Roman" w:eastAsia="宋体"/>
                      <w:snapToGrid w:val="0"/>
                      <w:color w:val="auto"/>
                      <w:sz w:val="21"/>
                      <w:szCs w:val="21"/>
                      <w:lang w:val="en-US" w:eastAsia="zh-CN"/>
                    </w:rPr>
                    <w:t>处理后经</w:t>
                  </w:r>
                  <w:r>
                    <w:rPr>
                      <w:rFonts w:hint="eastAsia"/>
                      <w:snapToGrid w:val="0"/>
                      <w:color w:val="auto"/>
                      <w:sz w:val="21"/>
                      <w:szCs w:val="21"/>
                      <w:lang w:val="en-US" w:eastAsia="zh-CN"/>
                    </w:rPr>
                    <w:t>30</w:t>
                  </w:r>
                  <w:r>
                    <w:rPr>
                      <w:rFonts w:hint="eastAsia" w:ascii="Times New Roman" w:hAnsi="Times New Roman" w:eastAsia="宋体"/>
                      <w:snapToGrid w:val="0"/>
                      <w:color w:val="auto"/>
                      <w:sz w:val="21"/>
                      <w:szCs w:val="21"/>
                      <w:lang w:val="en-US" w:eastAsia="zh-CN"/>
                    </w:rPr>
                    <w:t>m高DA002排气筒排放</w:t>
                  </w:r>
                  <w:r>
                    <w:rPr>
                      <w:rFonts w:hint="eastAsia"/>
                      <w:snapToGrid w:val="0"/>
                      <w:color w:val="auto"/>
                      <w:lang w:val="en-US" w:eastAsia="zh-CN"/>
                    </w:rPr>
                    <w:t>；经上述措施治理后，废气能达标排放</w:t>
                  </w:r>
                  <w:r>
                    <w:rPr>
                      <w:rFonts w:hint="eastAsia"/>
                      <w:color w:val="auto"/>
                      <w:lang w:val="en-US" w:eastAsia="zh-CN"/>
                    </w:rPr>
                    <w:t>。</w:t>
                  </w:r>
                </w:p>
              </w:tc>
              <w:tc>
                <w:tcPr>
                  <w:tcW w:w="411"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68"/>
                    <w:rPr>
                      <w:color w:val="auto"/>
                    </w:rPr>
                  </w:pPr>
                  <w:r>
                    <w:rPr>
                      <w:rFonts w:hint="eastAsia"/>
                      <w:color w:val="auto"/>
                    </w:rPr>
                    <w:t>四、深入打好碧水保卫战</w:t>
                  </w:r>
                </w:p>
              </w:tc>
              <w:tc>
                <w:tcPr>
                  <w:tcW w:w="2412" w:type="pct"/>
                  <w:shd w:val="clear" w:color="auto" w:fill="auto"/>
                  <w:vAlign w:val="center"/>
                </w:tcPr>
                <w:p>
                  <w:pPr>
                    <w:pStyle w:val="68"/>
                    <w:rPr>
                      <w:color w:val="auto"/>
                    </w:rPr>
                  </w:pPr>
                  <w:r>
                    <w:rPr>
                      <w:rFonts w:hint="eastAsia"/>
                      <w:color w:val="auto"/>
                      <w:lang w:val="en-US"/>
                    </w:rPr>
                    <w:t>（三）深入打好珠江流域（云南段）保护治理攻坚战。强化南盘江总磷超标治理，持续推进重金属行业企业排查整治。加强南盘江干流及重要支流水生态环境综合治理。</w:t>
                  </w:r>
                </w:p>
              </w:tc>
              <w:tc>
                <w:tcPr>
                  <w:tcW w:w="1760" w:type="pct"/>
                  <w:shd w:val="clear" w:color="auto" w:fill="auto"/>
                  <w:vAlign w:val="center"/>
                </w:tcPr>
                <w:p>
                  <w:pPr>
                    <w:pStyle w:val="68"/>
                    <w:rPr>
                      <w:color w:val="auto"/>
                    </w:rPr>
                  </w:pPr>
                  <w:r>
                    <w:rPr>
                      <w:rFonts w:hint="eastAsia"/>
                      <w:color w:val="auto"/>
                    </w:rPr>
                    <w:t>本项目</w:t>
                  </w:r>
                  <w:r>
                    <w:rPr>
                      <w:rFonts w:hint="eastAsia"/>
                      <w:color w:val="auto"/>
                      <w:lang w:eastAsia="zh-CN"/>
                    </w:rPr>
                    <w:t>生产废水经一体化污水处理站处理达标后暂存于污水池，定期通过罐车运送至师宗县彩云镇生活污水处理站进行处理，不排入周边地表水体；</w:t>
                  </w:r>
                  <w:r>
                    <w:rPr>
                      <w:color w:val="auto"/>
                      <w:lang w:val="en-US" w:eastAsia="zh-CN"/>
                    </w:rPr>
                    <w:t>生活污水进入化粪池处理后</w:t>
                  </w:r>
                  <w:r>
                    <w:rPr>
                      <w:rFonts w:hint="eastAsia"/>
                      <w:color w:val="auto"/>
                      <w:lang w:val="en-US" w:eastAsia="zh-CN"/>
                    </w:rPr>
                    <w:t>委托周边村民清</w:t>
                  </w:r>
                  <w:r>
                    <w:rPr>
                      <w:rFonts w:hint="eastAsia"/>
                      <w:color w:val="auto"/>
                      <w:shd w:val="clear" w:fill="FFFFFF"/>
                      <w:lang w:val="en-US" w:eastAsia="zh-CN"/>
                    </w:rPr>
                    <w:t>掏</w:t>
                  </w:r>
                  <w:r>
                    <w:rPr>
                      <w:rFonts w:hint="eastAsia"/>
                      <w:color w:val="auto"/>
                      <w:lang w:val="en-US" w:eastAsia="zh-CN"/>
                    </w:rPr>
                    <w:t>施肥。</w:t>
                  </w:r>
                </w:p>
              </w:tc>
              <w:tc>
                <w:tcPr>
                  <w:tcW w:w="411" w:type="pct"/>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68"/>
                    <w:rPr>
                      <w:color w:val="auto"/>
                    </w:rPr>
                  </w:pPr>
                  <w:r>
                    <w:rPr>
                      <w:rFonts w:hint="eastAsia"/>
                      <w:color w:val="auto"/>
                    </w:rPr>
                    <w:t>五、深入打好净土保卫战</w:t>
                  </w:r>
                </w:p>
              </w:tc>
              <w:tc>
                <w:tcPr>
                  <w:tcW w:w="2412" w:type="pct"/>
                  <w:shd w:val="clear" w:color="auto" w:fill="auto"/>
                  <w:vAlign w:val="center"/>
                </w:tcPr>
                <w:p>
                  <w:pPr>
                    <w:pStyle w:val="68"/>
                    <w:rPr>
                      <w:color w:val="auto"/>
                    </w:rPr>
                  </w:pPr>
                  <w:r>
                    <w:rPr>
                      <w:rFonts w:hint="eastAsia"/>
                      <w:color w:val="auto"/>
                      <w:lang w:val="en-US"/>
                    </w:rPr>
                    <w:t>（三）有效管控建设用地土壤污染风险。严格建设用地土壤污染风险管控和修复名录内地块的准入管理，从严管控农药、化工等行业的重度污染地块规划用途。</w:t>
                  </w:r>
                </w:p>
              </w:tc>
              <w:tc>
                <w:tcPr>
                  <w:tcW w:w="1760" w:type="pct"/>
                  <w:shd w:val="clear" w:color="auto" w:fill="auto"/>
                  <w:vAlign w:val="center"/>
                </w:tcPr>
                <w:p>
                  <w:pPr>
                    <w:pStyle w:val="68"/>
                    <w:rPr>
                      <w:color w:val="auto"/>
                    </w:rPr>
                  </w:pPr>
                  <w:r>
                    <w:rPr>
                      <w:rFonts w:hint="eastAsia"/>
                      <w:snapToGrid w:val="0"/>
                      <w:color w:val="auto"/>
                      <w:lang w:val="en-US" w:eastAsia="zh-CN"/>
                    </w:rPr>
                    <w:t>本项目主要进行餐厨废弃物资源综合利用</w:t>
                  </w:r>
                  <w:r>
                    <w:rPr>
                      <w:rFonts w:hint="eastAsia"/>
                      <w:color w:val="auto"/>
                      <w:lang w:val="en-US" w:eastAsia="zh-CN"/>
                    </w:rPr>
                    <w:t>，施工期对场地进行分区防渗，重点防渗区域采用土工布膜进行基础防渗，地面采用抗渗混凝土面进行硬化，一般防渗区域采用抗渗混凝土进行地面硬化，有效降低土壤污染风险。</w:t>
                  </w:r>
                </w:p>
              </w:tc>
              <w:tc>
                <w:tcPr>
                  <w:tcW w:w="411" w:type="pct"/>
                  <w:vAlign w:val="center"/>
                </w:tcPr>
                <w:p>
                  <w:pPr>
                    <w:pStyle w:val="68"/>
                    <w:rPr>
                      <w:color w:val="auto"/>
                    </w:rPr>
                  </w:pPr>
                  <w:r>
                    <w:rPr>
                      <w:rFonts w:hint="eastAsia"/>
                      <w:color w:val="auto"/>
                      <w:lang w:eastAsia="zh-CN"/>
                    </w:rPr>
                    <w:t>符合</w:t>
                  </w:r>
                </w:p>
              </w:tc>
            </w:tr>
          </w:tbl>
          <w:p>
            <w:pPr>
              <w:ind w:firstLine="480"/>
              <w:rPr>
                <w:color w:val="auto"/>
              </w:rPr>
            </w:pPr>
            <w:r>
              <w:rPr>
                <w:rFonts w:hint="eastAsia"/>
                <w:color w:val="auto"/>
              </w:rPr>
              <w:t>综上，项目建设符合中共云南省委、云南省人民政府关于深入打好污染防治攻坚战的实施意见有关要求。</w:t>
            </w:r>
          </w:p>
          <w:p>
            <w:pPr>
              <w:pStyle w:val="61"/>
              <w:spacing w:before="60" w:after="60"/>
              <w:rPr>
                <w:color w:val="auto"/>
              </w:rPr>
            </w:pPr>
            <w:r>
              <w:rPr>
                <w:rFonts w:hint="eastAsia"/>
                <w:color w:val="auto"/>
              </w:rPr>
              <w:t>1</w:t>
            </w:r>
            <w:r>
              <w:rPr>
                <w:color w:val="auto"/>
              </w:rPr>
              <w:t>.3.4</w:t>
            </w:r>
            <w:r>
              <w:rPr>
                <w:rFonts w:hint="eastAsia"/>
                <w:color w:val="auto"/>
                <w:lang w:val="en-US" w:eastAsia="zh-CN"/>
              </w:rPr>
              <w:t>项目</w:t>
            </w:r>
            <w:r>
              <w:rPr>
                <w:rFonts w:hint="eastAsia"/>
                <w:color w:val="auto"/>
              </w:rPr>
              <w:t>与《云南省长江经济带发展负面清单指南实施细则（试行，</w:t>
            </w:r>
            <w:r>
              <w:rPr>
                <w:color w:val="auto"/>
              </w:rPr>
              <w:t>2022</w:t>
            </w:r>
            <w:r>
              <w:rPr>
                <w:rFonts w:hint="eastAsia"/>
                <w:color w:val="auto"/>
              </w:rPr>
              <w:t>年版）》相符性分析</w:t>
            </w:r>
          </w:p>
          <w:p>
            <w:pPr>
              <w:ind w:firstLine="480"/>
              <w:rPr>
                <w:color w:val="auto"/>
              </w:rPr>
            </w:pPr>
            <w:r>
              <w:rPr>
                <w:color w:val="auto"/>
              </w:rPr>
              <w:t>为深入贯彻落实习近平总书记关于推动长江经济带发展的重要讲话和指示批示精神，认真落实长江保护法，根据《长江经济带发展负面清单指南（试行，2022年版）》</w:t>
            </w:r>
            <w:r>
              <w:rPr>
                <w:rFonts w:hint="eastAsia"/>
                <w:color w:val="auto"/>
                <w:lang w:eastAsia="zh-CN"/>
              </w:rPr>
              <w:t>（</w:t>
            </w:r>
            <w:r>
              <w:rPr>
                <w:rFonts w:hint="eastAsia"/>
                <w:color w:val="auto"/>
              </w:rPr>
              <w:t>长江办〔2022〕7号</w:t>
            </w:r>
            <w:r>
              <w:rPr>
                <w:rFonts w:hint="eastAsia"/>
                <w:color w:val="auto"/>
                <w:lang w:eastAsia="zh-CN"/>
              </w:rPr>
              <w:t>）</w:t>
            </w:r>
            <w:r>
              <w:rPr>
                <w:color w:val="auto"/>
              </w:rPr>
              <w:t>，结合云南实际，制定</w:t>
            </w:r>
            <w:r>
              <w:rPr>
                <w:rFonts w:hint="eastAsia"/>
                <w:color w:val="auto"/>
              </w:rPr>
              <w:t>云南省长江经济带发展负面清单指南实施细则</w:t>
            </w:r>
            <w:r>
              <w:rPr>
                <w:color w:val="auto"/>
              </w:rPr>
              <w:t>。</w:t>
            </w:r>
            <w:r>
              <w:rPr>
                <w:rFonts w:hint="eastAsia"/>
                <w:color w:val="auto"/>
              </w:rPr>
              <w:t>本项目与《云南省长江经济带发展负面清单指南实施细则（试行，</w:t>
            </w:r>
            <w:r>
              <w:rPr>
                <w:color w:val="auto"/>
              </w:rPr>
              <w:t>2022</w:t>
            </w:r>
            <w:r>
              <w:rPr>
                <w:rFonts w:hint="eastAsia"/>
                <w:color w:val="auto"/>
              </w:rPr>
              <w:t>年版）》（</w:t>
            </w:r>
            <w:r>
              <w:rPr>
                <w:color w:val="auto"/>
                <w:shd w:val="clear" w:fill="FFFFFF"/>
              </w:rPr>
              <w:t>云</w:t>
            </w:r>
            <w:r>
              <w:rPr>
                <w:color w:val="auto"/>
              </w:rPr>
              <w:t>发改基础〔</w:t>
            </w:r>
            <w:r>
              <w:rPr>
                <w:rFonts w:hint="eastAsia"/>
                <w:color w:val="auto"/>
              </w:rPr>
              <w:t>2022</w:t>
            </w:r>
            <w:r>
              <w:rPr>
                <w:color w:val="auto"/>
              </w:rPr>
              <w:t>〕</w:t>
            </w:r>
            <w:r>
              <w:rPr>
                <w:rFonts w:hint="eastAsia"/>
                <w:color w:val="auto"/>
              </w:rPr>
              <w:t>894</w:t>
            </w:r>
            <w:r>
              <w:rPr>
                <w:color w:val="auto"/>
              </w:rPr>
              <w:t>号</w:t>
            </w:r>
            <w:r>
              <w:rPr>
                <w:rFonts w:hint="eastAsia"/>
                <w:color w:val="auto"/>
              </w:rPr>
              <w:t>）相符性分析见下表。</w:t>
            </w:r>
          </w:p>
          <w:p>
            <w:pPr>
              <w:pStyle w:val="71"/>
              <w:rPr>
                <w:color w:val="auto"/>
              </w:rPr>
            </w:pPr>
            <w:r>
              <w:rPr>
                <w:rFonts w:hint="eastAsia"/>
                <w:color w:val="auto"/>
              </w:rPr>
              <w:t>表1</w:t>
            </w:r>
            <w:r>
              <w:rPr>
                <w:color w:val="auto"/>
              </w:rPr>
              <w:t xml:space="preserve">.3-4 </w:t>
            </w:r>
            <w:r>
              <w:rPr>
                <w:rFonts w:hint="eastAsia"/>
                <w:color w:val="auto"/>
              </w:rPr>
              <w:t>本项目与实施细则（与项目有关的）相符性分析一览表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8"/>
              <w:gridCol w:w="2682"/>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b/>
                      <w:bCs/>
                      <w:color w:val="auto"/>
                    </w:rPr>
                  </w:pPr>
                  <w:r>
                    <w:rPr>
                      <w:rFonts w:hint="eastAsia"/>
                      <w:b/>
                      <w:bCs/>
                      <w:color w:val="auto"/>
                    </w:rPr>
                    <w:t>实施细则要求</w:t>
                  </w:r>
                </w:p>
              </w:tc>
              <w:tc>
                <w:tcPr>
                  <w:tcW w:w="1654" w:type="pct"/>
                  <w:vAlign w:val="center"/>
                </w:tcPr>
                <w:p>
                  <w:pPr>
                    <w:pStyle w:val="68"/>
                    <w:rPr>
                      <w:b/>
                      <w:bCs/>
                      <w:color w:val="auto"/>
                    </w:rPr>
                  </w:pPr>
                  <w:r>
                    <w:rPr>
                      <w:rFonts w:hint="eastAsia"/>
                      <w:b/>
                      <w:bCs/>
                      <w:color w:val="auto"/>
                    </w:rPr>
                    <w:t>本项目情况</w:t>
                  </w:r>
                </w:p>
              </w:tc>
              <w:tc>
                <w:tcPr>
                  <w:tcW w:w="517" w:type="pct"/>
                  <w:vAlign w:val="center"/>
                </w:tcPr>
                <w:p>
                  <w:pPr>
                    <w:pStyle w:val="68"/>
                    <w:rPr>
                      <w:b/>
                      <w:bCs/>
                      <w:color w:val="auto"/>
                    </w:rPr>
                  </w:pPr>
                  <w:r>
                    <w:rPr>
                      <w:rFonts w:hint="eastAsia"/>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rPr>
                  </w:pPr>
                  <w:r>
                    <w:rPr>
                      <w:rFonts w:hint="eastAsia"/>
                      <w:color w:val="auto"/>
                      <w:lang w:val="en-US"/>
                    </w:rPr>
                    <w:t>第一</w:t>
                  </w:r>
                  <w:r>
                    <w:rPr>
                      <w:color w:val="auto"/>
                      <w:lang w:val="en-US"/>
                    </w:rPr>
                    <w:t>条 禁止新建、改建和扩建不符合《全国内河航道与港口布局规划》等全国港口规划和《昭通市港口码头岸线规划（金沙江</w:t>
                  </w:r>
                  <w:r>
                    <w:rPr>
                      <w:color w:val="auto"/>
                      <w:shd w:val="clear" w:fill="FFFFFF"/>
                      <w:lang w:val="en-US"/>
                    </w:rPr>
                    <w:t>段</w:t>
                  </w:r>
                  <w:r>
                    <w:rPr>
                      <w:rFonts w:hint="eastAsia"/>
                      <w:color w:val="auto"/>
                      <w:lang w:val="en-US"/>
                    </w:rPr>
                    <w:t>2019</w:t>
                  </w:r>
                  <w:r>
                    <w:rPr>
                      <w:color w:val="auto"/>
                      <w:lang w:val="en-US"/>
                    </w:rPr>
                    <w:t>年</w:t>
                  </w:r>
                  <w:r>
                    <w:rPr>
                      <w:rFonts w:hint="eastAsia"/>
                      <w:color w:val="auto"/>
                      <w:lang w:val="en-US" w:eastAsia="zh-CN"/>
                    </w:rPr>
                    <w:t>—</w:t>
                  </w:r>
                  <w:r>
                    <w:rPr>
                      <w:rFonts w:hint="eastAsia"/>
                      <w:color w:val="auto"/>
                      <w:lang w:val="en-US"/>
                    </w:rPr>
                    <w:t>2035</w:t>
                  </w:r>
                  <w:r>
                    <w:rPr>
                      <w:color w:val="auto"/>
                      <w:lang w:val="en-US"/>
                    </w:rPr>
                    <w:t>年）</w:t>
                  </w:r>
                  <w:r>
                    <w:rPr>
                      <w:rFonts w:hint="eastAsia"/>
                      <w:color w:val="auto"/>
                      <w:lang w:val="en-US" w:eastAsia="zh-CN"/>
                    </w:rPr>
                    <w:t>》《</w:t>
                  </w:r>
                  <w:r>
                    <w:rPr>
                      <w:color w:val="auto"/>
                      <w:lang w:val="en-US"/>
                    </w:rPr>
                    <w:t>景洪港总体规划（</w:t>
                  </w:r>
                  <w:r>
                    <w:rPr>
                      <w:rFonts w:hint="eastAsia"/>
                      <w:color w:val="auto"/>
                      <w:lang w:val="en-US"/>
                    </w:rPr>
                    <w:t>2019</w:t>
                  </w:r>
                  <w:r>
                    <w:rPr>
                      <w:rFonts w:hint="eastAsia"/>
                      <w:color w:val="auto"/>
                      <w:lang w:val="en-US" w:eastAsia="zh-CN"/>
                    </w:rPr>
                    <w:t>—</w:t>
                  </w:r>
                  <w:r>
                    <w:rPr>
                      <w:rFonts w:hint="eastAsia"/>
                      <w:color w:val="auto"/>
                      <w:lang w:val="en-US"/>
                    </w:rPr>
                    <w:t>2035</w:t>
                  </w:r>
                  <w:r>
                    <w:rPr>
                      <w:color w:val="auto"/>
                      <w:lang w:val="en-US"/>
                    </w:rPr>
                    <w:t>年）》等州（市）级以上港口布局规划以及港口总体规划的码头项目。</w:t>
                  </w:r>
                </w:p>
              </w:tc>
              <w:tc>
                <w:tcPr>
                  <w:tcW w:w="1654" w:type="pct"/>
                  <w:vAlign w:val="center"/>
                </w:tcPr>
                <w:p>
                  <w:pPr>
                    <w:pStyle w:val="68"/>
                    <w:rPr>
                      <w:color w:val="auto"/>
                    </w:rPr>
                  </w:pPr>
                  <w:r>
                    <w:rPr>
                      <w:rFonts w:hint="eastAsia"/>
                      <w:color w:val="auto"/>
                      <w:lang w:val="en-US"/>
                    </w:rPr>
                    <w:t>本项目不属于码头项目。</w:t>
                  </w:r>
                </w:p>
              </w:tc>
              <w:tc>
                <w:tcPr>
                  <w:tcW w:w="517"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rFonts w:hint="eastAsia"/>
                      <w:color w:val="auto"/>
                      <w:lang w:val="en-US"/>
                    </w:rPr>
                    <w:t xml:space="preserve">第二条 </w:t>
                  </w:r>
                  <w:r>
                    <w:rPr>
                      <w:color w:val="auto"/>
                      <w:lang w:val="en-US"/>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r>
                    <w:rPr>
                      <w:rFonts w:hint="eastAsia"/>
                      <w:color w:val="auto"/>
                      <w:lang w:val="en-US"/>
                    </w:rPr>
                    <w:t>。</w:t>
                  </w:r>
                </w:p>
              </w:tc>
              <w:tc>
                <w:tcPr>
                  <w:tcW w:w="1654" w:type="pct"/>
                  <w:vAlign w:val="center"/>
                </w:tcPr>
                <w:p>
                  <w:pPr>
                    <w:pStyle w:val="68"/>
                    <w:rPr>
                      <w:color w:val="auto"/>
                      <w:lang w:val="en-US"/>
                    </w:rPr>
                  </w:pPr>
                  <w:r>
                    <w:rPr>
                      <w:color w:val="auto"/>
                      <w:lang w:val="en-US"/>
                    </w:rPr>
                    <w:t>本项目</w:t>
                  </w:r>
                  <w:r>
                    <w:rPr>
                      <w:color w:val="auto"/>
                    </w:rPr>
                    <w:t>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lang w:val="en-US"/>
                    </w:rPr>
                    <w:t>，</w:t>
                  </w:r>
                  <w:r>
                    <w:rPr>
                      <w:rFonts w:hint="eastAsia"/>
                      <w:color w:val="auto"/>
                      <w:lang w:val="en-US" w:eastAsia="zh-CN"/>
                    </w:rPr>
                    <w:t>不涉及曲靖市、师宗县</w:t>
                  </w:r>
                  <w:r>
                    <w:rPr>
                      <w:color w:val="auto"/>
                      <w:lang w:val="en-US"/>
                    </w:rPr>
                    <w:t>自然保护区</w:t>
                  </w:r>
                  <w:r>
                    <w:rPr>
                      <w:rFonts w:hint="eastAsia"/>
                      <w:color w:val="auto"/>
                      <w:lang w:val="en-US"/>
                    </w:rPr>
                    <w:t>。</w:t>
                  </w:r>
                </w:p>
              </w:tc>
              <w:tc>
                <w:tcPr>
                  <w:tcW w:w="517"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rFonts w:hint="eastAsia"/>
                      <w:color w:val="auto"/>
                      <w:lang w:val="en-US"/>
                    </w:rPr>
                    <w:t xml:space="preserve">第三条 </w:t>
                  </w:r>
                  <w:r>
                    <w:rPr>
                      <w:color w:val="auto"/>
                      <w:lang w:val="en-US"/>
                    </w:rPr>
                    <w:t>禁止在风景名胜区核心景区的岸线和河段范围内 投资建设与风景名</w:t>
                  </w:r>
                  <w:r>
                    <w:rPr>
                      <w:color w:val="auto"/>
                      <w:shd w:val="clear" w:fill="FFFFFF"/>
                      <w:lang w:val="en-US"/>
                    </w:rPr>
                    <w:t>胜</w:t>
                  </w:r>
                  <w:r>
                    <w:rPr>
                      <w:color w:val="auto"/>
                      <w:lang w:val="en-US"/>
                    </w:rPr>
                    <w:t>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r>
                    <w:rPr>
                      <w:rFonts w:hint="eastAsia"/>
                      <w:color w:val="auto"/>
                      <w:lang w:val="en-US"/>
                    </w:rPr>
                    <w:t>。</w:t>
                  </w:r>
                </w:p>
              </w:tc>
              <w:tc>
                <w:tcPr>
                  <w:tcW w:w="1654" w:type="pct"/>
                  <w:vAlign w:val="center"/>
                </w:tcPr>
                <w:p>
                  <w:pPr>
                    <w:pStyle w:val="68"/>
                    <w:rPr>
                      <w:color w:val="auto"/>
                      <w:lang w:val="en-US"/>
                    </w:rPr>
                  </w:pPr>
                  <w:r>
                    <w:rPr>
                      <w:color w:val="auto"/>
                      <w:lang w:val="en-US"/>
                    </w:rPr>
                    <w:t>本项目</w:t>
                  </w:r>
                  <w:r>
                    <w:rPr>
                      <w:color w:val="auto"/>
                    </w:rPr>
                    <w:t>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lang w:val="en-US"/>
                    </w:rPr>
                    <w:t>，</w:t>
                  </w:r>
                  <w:r>
                    <w:rPr>
                      <w:rFonts w:hint="eastAsia"/>
                      <w:color w:val="auto"/>
                      <w:lang w:val="en-US" w:eastAsia="zh-CN"/>
                    </w:rPr>
                    <w:t>不涉及曲靖市、师宗县</w:t>
                  </w:r>
                  <w:r>
                    <w:rPr>
                      <w:color w:val="auto"/>
                      <w:lang w:val="en-US"/>
                    </w:rPr>
                    <w:t>风景名胜区</w:t>
                  </w:r>
                  <w:r>
                    <w:rPr>
                      <w:rFonts w:hint="eastAsia"/>
                      <w:color w:val="auto"/>
                      <w:lang w:val="en-US"/>
                    </w:rPr>
                    <w:t>。</w:t>
                  </w:r>
                </w:p>
              </w:tc>
              <w:tc>
                <w:tcPr>
                  <w:tcW w:w="517" w:type="pct"/>
                  <w:vAlign w:val="center"/>
                </w:tcPr>
                <w:p>
                  <w:pPr>
                    <w:pStyle w:val="68"/>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rFonts w:hint="eastAsia"/>
                      <w:color w:val="auto"/>
                      <w:lang w:val="en-US"/>
                    </w:rPr>
                    <w:t xml:space="preserve">第四条 </w:t>
                  </w:r>
                  <w:r>
                    <w:rPr>
                      <w:color w:val="auto"/>
                      <w:lang w:val="en-US"/>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r>
                    <w:rPr>
                      <w:rFonts w:hint="eastAsia"/>
                      <w:color w:val="auto"/>
                      <w:lang w:val="en-US"/>
                    </w:rPr>
                    <w:t>。</w:t>
                  </w:r>
                </w:p>
              </w:tc>
              <w:tc>
                <w:tcPr>
                  <w:tcW w:w="1654" w:type="pct"/>
                  <w:vAlign w:val="center"/>
                </w:tcPr>
                <w:p>
                  <w:pPr>
                    <w:pStyle w:val="68"/>
                    <w:rPr>
                      <w:color w:val="auto"/>
                      <w:lang w:val="en-US"/>
                    </w:rPr>
                  </w:pPr>
                  <w:r>
                    <w:rPr>
                      <w:color w:val="auto"/>
                      <w:lang w:val="en-US"/>
                    </w:rPr>
                    <w:t>本项目</w:t>
                  </w:r>
                  <w:r>
                    <w:rPr>
                      <w:color w:val="auto"/>
                    </w:rPr>
                    <w:t>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lang w:val="en-US"/>
                    </w:rPr>
                    <w:t>，</w:t>
                  </w:r>
                  <w:r>
                    <w:rPr>
                      <w:rFonts w:hint="eastAsia"/>
                      <w:color w:val="auto"/>
                      <w:lang w:val="en-US" w:eastAsia="zh-CN"/>
                    </w:rPr>
                    <w:t>不涉及曲靖市、师宗县</w:t>
                  </w:r>
                  <w:r>
                    <w:rPr>
                      <w:color w:val="auto"/>
                      <w:lang w:val="en-US"/>
                    </w:rPr>
                    <w:t>饮用水水源一级保护区</w:t>
                  </w:r>
                  <w:r>
                    <w:rPr>
                      <w:rFonts w:hint="eastAsia"/>
                      <w:color w:val="auto"/>
                      <w:lang w:val="en-US"/>
                    </w:rPr>
                    <w:t>、二级保护区。</w:t>
                  </w:r>
                </w:p>
              </w:tc>
              <w:tc>
                <w:tcPr>
                  <w:tcW w:w="517" w:type="pct"/>
                  <w:vAlign w:val="center"/>
                </w:tcPr>
                <w:p>
                  <w:pPr>
                    <w:pStyle w:val="68"/>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29" w:type="pct"/>
                  <w:vAlign w:val="center"/>
                </w:tcPr>
                <w:p>
                  <w:pPr>
                    <w:pStyle w:val="68"/>
                    <w:rPr>
                      <w:color w:val="auto"/>
                      <w:lang w:val="en-US"/>
                    </w:rPr>
                  </w:pPr>
                  <w:r>
                    <w:rPr>
                      <w:rFonts w:hint="eastAsia"/>
                      <w:color w:val="auto"/>
                      <w:lang w:val="en-US"/>
                    </w:rPr>
                    <w:t xml:space="preserve">第五条 </w:t>
                  </w:r>
                  <w:r>
                    <w:rPr>
                      <w:color w:val="auto"/>
                      <w:lang w:bidi="zh-CN"/>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54" w:type="pct"/>
                  <w:vAlign w:val="center"/>
                </w:tcPr>
                <w:p>
                  <w:pPr>
                    <w:pStyle w:val="68"/>
                    <w:rPr>
                      <w:color w:val="auto"/>
                      <w:lang w:val="en-US"/>
                    </w:rPr>
                  </w:pPr>
                  <w:r>
                    <w:rPr>
                      <w:rFonts w:hint="eastAsia"/>
                      <w:color w:val="auto"/>
                      <w:lang w:val="en-US"/>
                    </w:rPr>
                    <w:t>本项目</w:t>
                  </w:r>
                  <w:r>
                    <w:rPr>
                      <w:color w:val="auto"/>
                    </w:rPr>
                    <w:t>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lang w:val="en-US"/>
                    </w:rPr>
                    <w:t>，不涉及国家湿地公园，不属于</w:t>
                  </w:r>
                  <w:r>
                    <w:rPr>
                      <w:color w:val="auto"/>
                      <w:lang w:val="en-US"/>
                    </w:rPr>
                    <w:t>围湖造田、围湖造地或围填海等投资建设项目</w:t>
                  </w:r>
                  <w:r>
                    <w:rPr>
                      <w:rFonts w:hint="eastAsia"/>
                      <w:color w:val="auto"/>
                      <w:lang w:val="en-US"/>
                    </w:rPr>
                    <w:t>，也不属于</w:t>
                  </w:r>
                  <w:r>
                    <w:rPr>
                      <w:color w:val="auto"/>
                      <w:lang w:val="en-US"/>
                    </w:rPr>
                    <w:t>建设度假村、高尔夫球场等任何不符合主体功能定位的建设项目</w:t>
                  </w:r>
                  <w:r>
                    <w:rPr>
                      <w:rFonts w:hint="eastAsia"/>
                      <w:color w:val="auto"/>
                      <w:lang w:val="en-US"/>
                    </w:rPr>
                    <w:t>。</w:t>
                  </w:r>
                </w:p>
              </w:tc>
              <w:tc>
                <w:tcPr>
                  <w:tcW w:w="517" w:type="pct"/>
                  <w:vAlign w:val="center"/>
                </w:tcPr>
                <w:p>
                  <w:pPr>
                    <w:pStyle w:val="68"/>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color w:val="auto"/>
                      <w:lang w:val="en-US"/>
                    </w:rPr>
                    <w:t>第六条</w:t>
                  </w:r>
                  <w:r>
                    <w:rPr>
                      <w:rFonts w:hint="eastAsia"/>
                      <w:color w:val="auto"/>
                      <w:lang w:val="en-US"/>
                    </w:rPr>
                    <w:t xml:space="preserve"> </w:t>
                  </w:r>
                  <w:r>
                    <w:rPr>
                      <w:color w:val="auto"/>
                      <w:lang w:val="en-US"/>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54" w:type="pct"/>
                  <w:vAlign w:val="center"/>
                </w:tcPr>
                <w:p>
                  <w:pPr>
                    <w:pStyle w:val="68"/>
                    <w:rPr>
                      <w:color w:val="auto"/>
                      <w:lang w:val="en-US"/>
                    </w:rPr>
                  </w:pPr>
                  <w:r>
                    <w:rPr>
                      <w:rFonts w:hint="eastAsia"/>
                      <w:color w:val="auto"/>
                      <w:lang w:val="en-US"/>
                    </w:rPr>
                    <w:t>本项目</w:t>
                  </w:r>
                  <w:r>
                    <w:rPr>
                      <w:color w:val="auto"/>
                      <w:lang w:val="en-US"/>
                    </w:rPr>
                    <w:t>在</w:t>
                  </w:r>
                  <w:r>
                    <w:rPr>
                      <w:rFonts w:hint="eastAsia"/>
                      <w:color w:val="auto"/>
                      <w:lang w:val="en-US" w:eastAsia="zh-CN"/>
                    </w:rPr>
                    <w:t>周边地表水体红土</w:t>
                  </w:r>
                  <w:r>
                    <w:rPr>
                      <w:rFonts w:hint="eastAsia"/>
                      <w:color w:val="auto"/>
                      <w:shd w:val="clear" w:fill="FFFFFF"/>
                      <w:lang w:val="en-US" w:eastAsia="zh-CN"/>
                    </w:rPr>
                    <w:t>河</w:t>
                  </w:r>
                  <w:r>
                    <w:rPr>
                      <w:rFonts w:hint="eastAsia"/>
                      <w:color w:val="auto"/>
                      <w:lang w:val="en-US" w:eastAsia="zh-CN"/>
                    </w:rPr>
                    <w:t>属于南盘江流域，不在</w:t>
                  </w:r>
                  <w:r>
                    <w:rPr>
                      <w:color w:val="auto"/>
                      <w:lang w:val="en-US"/>
                    </w:rPr>
                    <w:t>金沙江</w:t>
                  </w:r>
                  <w:r>
                    <w:rPr>
                      <w:rFonts w:hint="eastAsia"/>
                      <w:color w:val="auto"/>
                      <w:lang w:val="en-US" w:eastAsia="zh-CN"/>
                    </w:rPr>
                    <w:t>流域内</w:t>
                  </w:r>
                  <w:r>
                    <w:rPr>
                      <w:rFonts w:hint="eastAsia"/>
                      <w:color w:val="auto"/>
                      <w:lang w:val="en-US"/>
                    </w:rPr>
                    <w:t>。</w:t>
                  </w:r>
                </w:p>
              </w:tc>
              <w:tc>
                <w:tcPr>
                  <w:tcW w:w="517" w:type="pct"/>
                  <w:vAlign w:val="center"/>
                </w:tcPr>
                <w:p>
                  <w:pPr>
                    <w:pStyle w:val="68"/>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rFonts w:hint="eastAsia"/>
                      <w:color w:val="auto"/>
                      <w:lang w:val="en-US"/>
                    </w:rPr>
                    <w:t xml:space="preserve">第七条 </w:t>
                  </w:r>
                  <w:r>
                    <w:rPr>
                      <w:color w:val="auto"/>
                      <w:lang w:val="en-US"/>
                    </w:rPr>
                    <w:t>禁止在金沙江干流、长江一级支流建设除党中央、国务院、国家投资主管部门、省级有关部门批复同意</w:t>
                  </w:r>
                  <w:r>
                    <w:rPr>
                      <w:rFonts w:hint="eastAsia"/>
                      <w:color w:val="auto"/>
                      <w:lang w:val="en-US" w:eastAsia="zh-CN"/>
                    </w:rPr>
                    <w:t>以外过</w:t>
                  </w:r>
                  <w:r>
                    <w:rPr>
                      <w:color w:val="auto"/>
                      <w:lang w:val="en-US"/>
                    </w:rPr>
                    <w:t>江基础设施项目；禁止未经许可在金沙江干流、长江一级支流、九大高原湖泊流域新设、改设或扩大排污口</w:t>
                  </w:r>
                  <w:r>
                    <w:rPr>
                      <w:rFonts w:hint="eastAsia"/>
                      <w:color w:val="auto"/>
                      <w:lang w:val="en-US"/>
                    </w:rPr>
                    <w:t>。</w:t>
                  </w:r>
                </w:p>
              </w:tc>
              <w:tc>
                <w:tcPr>
                  <w:tcW w:w="1654" w:type="pct"/>
                  <w:vAlign w:val="center"/>
                </w:tcPr>
                <w:p>
                  <w:pPr>
                    <w:pStyle w:val="68"/>
                    <w:rPr>
                      <w:color w:val="auto"/>
                      <w:lang w:val="en-US"/>
                    </w:rPr>
                  </w:pPr>
                  <w:r>
                    <w:rPr>
                      <w:rFonts w:hint="eastAsia"/>
                      <w:color w:val="auto"/>
                      <w:lang w:val="en-US"/>
                    </w:rPr>
                    <w:t>本项目</w:t>
                  </w:r>
                  <w:r>
                    <w:rPr>
                      <w:color w:val="auto"/>
                      <w:lang w:val="en-US"/>
                    </w:rPr>
                    <w:t>在</w:t>
                  </w:r>
                  <w:r>
                    <w:rPr>
                      <w:rFonts w:hint="eastAsia"/>
                      <w:color w:val="auto"/>
                      <w:lang w:val="en-US" w:eastAsia="zh-CN"/>
                    </w:rPr>
                    <w:t>周边地表水体红土</w:t>
                  </w:r>
                  <w:r>
                    <w:rPr>
                      <w:rFonts w:hint="eastAsia"/>
                      <w:color w:val="auto"/>
                      <w:shd w:val="clear" w:fill="FFFFFF"/>
                      <w:lang w:val="en-US" w:eastAsia="zh-CN"/>
                    </w:rPr>
                    <w:t>河</w:t>
                  </w:r>
                  <w:r>
                    <w:rPr>
                      <w:rFonts w:hint="eastAsia"/>
                      <w:color w:val="auto"/>
                      <w:lang w:val="en-US" w:eastAsia="zh-CN"/>
                    </w:rPr>
                    <w:t>属于南盘江流域，不在</w:t>
                  </w:r>
                  <w:r>
                    <w:rPr>
                      <w:color w:val="auto"/>
                      <w:lang w:val="en-US"/>
                    </w:rPr>
                    <w:t>金沙江</w:t>
                  </w:r>
                  <w:r>
                    <w:rPr>
                      <w:rFonts w:hint="eastAsia"/>
                      <w:color w:val="auto"/>
                      <w:lang w:val="en-US" w:eastAsia="zh-CN"/>
                    </w:rPr>
                    <w:t>流域内</w:t>
                  </w:r>
                  <w:r>
                    <w:rPr>
                      <w:rFonts w:hint="eastAsia"/>
                      <w:color w:val="auto"/>
                      <w:lang w:val="en-US"/>
                    </w:rPr>
                    <w:t>。</w:t>
                  </w:r>
                </w:p>
              </w:tc>
              <w:tc>
                <w:tcPr>
                  <w:tcW w:w="517" w:type="pct"/>
                  <w:vAlign w:val="center"/>
                </w:tcPr>
                <w:p>
                  <w:pPr>
                    <w:pStyle w:val="68"/>
                    <w:rPr>
                      <w:color w:val="auto"/>
                      <w:lang w:val="en-US"/>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rFonts w:hint="eastAsia"/>
                      <w:color w:val="auto"/>
                      <w:lang w:val="en-US"/>
                    </w:rPr>
                    <w:t xml:space="preserve">第八条 </w:t>
                  </w:r>
                  <w:r>
                    <w:rPr>
                      <w:color w:val="auto"/>
                      <w:lang w:val="en-US"/>
                    </w:rPr>
                    <w:t>禁止在金沙江干流、长江一级支流、水生生物保护区和长江流域禁捕水域开展天然渔业资源生产性捕捞。</w:t>
                  </w:r>
                </w:p>
              </w:tc>
              <w:tc>
                <w:tcPr>
                  <w:tcW w:w="1654" w:type="pct"/>
                  <w:vAlign w:val="center"/>
                </w:tcPr>
                <w:p>
                  <w:pPr>
                    <w:pStyle w:val="68"/>
                    <w:rPr>
                      <w:color w:val="auto"/>
                    </w:rPr>
                  </w:pPr>
                  <w:r>
                    <w:rPr>
                      <w:rFonts w:hint="eastAsia"/>
                      <w:color w:val="auto"/>
                      <w:lang w:val="en-US"/>
                    </w:rPr>
                    <w:t>本项目不涉及在</w:t>
                  </w:r>
                  <w:r>
                    <w:rPr>
                      <w:color w:val="auto"/>
                      <w:lang w:val="en-US"/>
                    </w:rPr>
                    <w:t>金沙江干流、长江一级支流、水生生物保护区和长江流域禁捕水域开展天然渔业资源生产性捕捞</w:t>
                  </w:r>
                  <w:r>
                    <w:rPr>
                      <w:rFonts w:hint="eastAsia"/>
                      <w:color w:val="auto"/>
                      <w:lang w:val="en-US"/>
                    </w:rPr>
                    <w:t>。</w:t>
                  </w:r>
                </w:p>
              </w:tc>
              <w:tc>
                <w:tcPr>
                  <w:tcW w:w="517"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color w:val="auto"/>
                      <w:lang w:val="en-US"/>
                    </w:rPr>
                    <w:t>第九条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54" w:type="pct"/>
                  <w:vAlign w:val="center"/>
                </w:tcPr>
                <w:p>
                  <w:pPr>
                    <w:pStyle w:val="68"/>
                    <w:rPr>
                      <w:color w:val="auto"/>
                    </w:rPr>
                  </w:pPr>
                  <w:r>
                    <w:rPr>
                      <w:rFonts w:hint="eastAsia"/>
                      <w:color w:val="auto"/>
                      <w:lang w:val="en-US"/>
                    </w:rPr>
                    <w:t>本项目不属于</w:t>
                  </w:r>
                  <w:r>
                    <w:rPr>
                      <w:color w:val="auto"/>
                      <w:lang w:val="en-US"/>
                    </w:rPr>
                    <w:t>尾矿库</w:t>
                  </w:r>
                  <w:r>
                    <w:rPr>
                      <w:rFonts w:hint="eastAsia"/>
                      <w:color w:val="auto"/>
                      <w:lang w:val="en-US"/>
                    </w:rPr>
                    <w:t>、冶炼渣库和磷石膏库</w:t>
                  </w:r>
                  <w:r>
                    <w:rPr>
                      <w:rFonts w:hint="eastAsia"/>
                      <w:color w:val="auto"/>
                      <w:shd w:val="clear" w:fill="FFFFFF"/>
                      <w:lang w:val="en-US"/>
                    </w:rPr>
                    <w:t>类</w:t>
                  </w:r>
                  <w:r>
                    <w:rPr>
                      <w:rFonts w:hint="eastAsia"/>
                      <w:color w:val="auto"/>
                      <w:lang w:val="en-US"/>
                    </w:rPr>
                    <w:t>建设项目，项目</w:t>
                  </w:r>
                  <w:r>
                    <w:rPr>
                      <w:rFonts w:hint="eastAsia"/>
                      <w:color w:val="auto"/>
                      <w:lang w:bidi="en-US"/>
                    </w:rPr>
                    <w:t>不在</w:t>
                  </w:r>
                  <w:r>
                    <w:rPr>
                      <w:color w:val="auto"/>
                      <w:lang w:bidi="en-US"/>
                    </w:rPr>
                    <w:t>金沙江干流，长江一级支流和九大高原湖泊岸线一公里范围内</w:t>
                  </w:r>
                  <w:r>
                    <w:rPr>
                      <w:rFonts w:hint="eastAsia"/>
                      <w:color w:val="auto"/>
                      <w:lang w:bidi="en-US"/>
                    </w:rPr>
                    <w:t>。</w:t>
                  </w:r>
                </w:p>
              </w:tc>
              <w:tc>
                <w:tcPr>
                  <w:tcW w:w="517" w:type="pct"/>
                  <w:vAlign w:val="center"/>
                </w:tcPr>
                <w:p>
                  <w:pPr>
                    <w:pStyle w:val="68"/>
                    <w:rPr>
                      <w:color w:val="auto"/>
                    </w:rPr>
                  </w:pPr>
                  <w:r>
                    <w:rPr>
                      <w:rFonts w:hint="eastAsia"/>
                      <w:color w:val="auto"/>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color w:val="auto"/>
                      <w:lang w:val="en-US"/>
                    </w:rPr>
                    <w:t>第十条</w:t>
                  </w:r>
                  <w:r>
                    <w:rPr>
                      <w:rFonts w:hint="eastAsia"/>
                      <w:color w:val="auto"/>
                      <w:lang w:val="en-US"/>
                    </w:rPr>
                    <w:t xml:space="preserve"> </w:t>
                  </w:r>
                  <w:r>
                    <w:rPr>
                      <w:color w:val="auto"/>
                      <w:lang w:val="en-US"/>
                    </w:rPr>
                    <w:t>禁止在合规园区外新建、扩建钢铁、石化、化工、焦化、建材、有色、制浆造纸行业中的高污染项目</w:t>
                  </w:r>
                  <w:r>
                    <w:rPr>
                      <w:rFonts w:hint="eastAsia"/>
                      <w:color w:val="auto"/>
                      <w:lang w:val="en-US"/>
                    </w:rPr>
                    <w:t>。</w:t>
                  </w:r>
                </w:p>
              </w:tc>
              <w:tc>
                <w:tcPr>
                  <w:tcW w:w="1654" w:type="pct"/>
                  <w:vAlign w:val="center"/>
                </w:tcPr>
                <w:p>
                  <w:pPr>
                    <w:pStyle w:val="68"/>
                    <w:rPr>
                      <w:color w:val="auto"/>
                    </w:rPr>
                  </w:pPr>
                  <w:r>
                    <w:rPr>
                      <w:rFonts w:hint="eastAsia"/>
                      <w:color w:val="auto"/>
                      <w:lang w:val="en-US"/>
                    </w:rPr>
                    <w:t>本项目</w:t>
                  </w:r>
                  <w:r>
                    <w:rPr>
                      <w:rFonts w:hint="eastAsia"/>
                      <w:color w:val="auto"/>
                      <w:lang w:val="en-US" w:eastAsia="zh-CN"/>
                    </w:rPr>
                    <w:t>属于餐厨废弃物资源回收利用项目，不涉及</w:t>
                  </w:r>
                  <w:r>
                    <w:rPr>
                      <w:color w:val="auto"/>
                      <w:lang w:val="en-US"/>
                    </w:rPr>
                    <w:t>新建、扩建钢铁、石化、化工、焦化、建材、有色、制浆造纸行业中的高污染项目</w:t>
                  </w:r>
                  <w:r>
                    <w:rPr>
                      <w:rFonts w:hint="eastAsia"/>
                      <w:color w:val="auto"/>
                      <w:lang w:val="en-US"/>
                    </w:rPr>
                    <w:t>。</w:t>
                  </w:r>
                </w:p>
              </w:tc>
              <w:tc>
                <w:tcPr>
                  <w:tcW w:w="517"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color w:val="auto"/>
                      <w:lang w:val="en-US"/>
                    </w:rPr>
                    <w:t>第十一条</w:t>
                  </w:r>
                  <w:r>
                    <w:rPr>
                      <w:rFonts w:hint="eastAsia"/>
                      <w:color w:val="auto"/>
                      <w:lang w:val="en-US"/>
                    </w:rPr>
                    <w:t xml:space="preserve"> </w:t>
                  </w:r>
                  <w:r>
                    <w:rPr>
                      <w:color w:val="auto"/>
                      <w:lang w:val="en-US"/>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54" w:type="pct"/>
                  <w:vAlign w:val="center"/>
                </w:tcPr>
                <w:p>
                  <w:pPr>
                    <w:pStyle w:val="68"/>
                    <w:rPr>
                      <w:color w:val="auto"/>
                      <w:lang w:eastAsia="zh-CN"/>
                    </w:rPr>
                  </w:pPr>
                  <w:r>
                    <w:rPr>
                      <w:rFonts w:hint="eastAsia"/>
                      <w:color w:val="auto"/>
                    </w:rPr>
                    <w:t>本项目</w:t>
                  </w:r>
                  <w:r>
                    <w:rPr>
                      <w:rFonts w:hint="eastAsia"/>
                      <w:color w:val="auto"/>
                      <w:lang w:eastAsia="zh-CN"/>
                    </w:rPr>
                    <w:t>不属于</w:t>
                  </w:r>
                  <w:r>
                    <w:rPr>
                      <w:color w:val="auto"/>
                      <w:lang w:val="en-US"/>
                    </w:rPr>
                    <w:t>国家石化、现代煤化工等产业布局规划的项目</w:t>
                  </w:r>
                  <w:r>
                    <w:rPr>
                      <w:rFonts w:hint="eastAsia"/>
                      <w:color w:val="auto"/>
                      <w:lang w:val="en-US" w:eastAsia="zh-CN"/>
                    </w:rPr>
                    <w:t>，也不在</w:t>
                  </w:r>
                  <w:r>
                    <w:rPr>
                      <w:color w:val="auto"/>
                      <w:lang w:val="en-US"/>
                    </w:rPr>
                    <w:t>《云南省城镇人口密集区危险化学品生产企业搬迁改造名单》的搬迁改造企业</w:t>
                  </w:r>
                  <w:r>
                    <w:rPr>
                      <w:rFonts w:hint="eastAsia"/>
                      <w:color w:val="auto"/>
                      <w:lang w:val="en-US" w:eastAsia="zh-CN"/>
                    </w:rPr>
                    <w:t>中。</w:t>
                  </w:r>
                </w:p>
              </w:tc>
              <w:tc>
                <w:tcPr>
                  <w:tcW w:w="517" w:type="pct"/>
                  <w:vAlign w:val="center"/>
                </w:tcPr>
                <w:p>
                  <w:pPr>
                    <w:pStyle w:val="68"/>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9" w:type="pct"/>
                  <w:vAlign w:val="center"/>
                </w:tcPr>
                <w:p>
                  <w:pPr>
                    <w:pStyle w:val="68"/>
                    <w:rPr>
                      <w:color w:val="auto"/>
                      <w:lang w:val="en-US"/>
                    </w:rPr>
                  </w:pPr>
                  <w:r>
                    <w:rPr>
                      <w:color w:val="auto"/>
                      <w:lang w:val="en-US"/>
                    </w:rPr>
                    <w:t>第十二条</w:t>
                  </w:r>
                  <w:r>
                    <w:rPr>
                      <w:rFonts w:hint="eastAsia"/>
                      <w:color w:val="auto"/>
                      <w:lang w:val="en-US"/>
                    </w:rPr>
                    <w:t xml:space="preserve"> </w:t>
                  </w:r>
                  <w:r>
                    <w:rPr>
                      <w:color w:val="auto"/>
                      <w:lang w:val="en-US"/>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654" w:type="pct"/>
                  <w:vAlign w:val="center"/>
                </w:tcPr>
                <w:p>
                  <w:pPr>
                    <w:pStyle w:val="68"/>
                    <w:rPr>
                      <w:color w:val="auto"/>
                    </w:rPr>
                  </w:pPr>
                  <w:r>
                    <w:rPr>
                      <w:rFonts w:hint="eastAsia"/>
                      <w:color w:val="auto"/>
                    </w:rPr>
                    <w:t>本项目不涉及</w:t>
                  </w:r>
                  <w:r>
                    <w:rPr>
                      <w:color w:val="auto"/>
                      <w:lang w:val="en-US"/>
                    </w:rPr>
                    <w:t>新建、扩建法律法规和相关政策明令禁止的落后产能项目</w:t>
                  </w:r>
                  <w:r>
                    <w:rPr>
                      <w:rFonts w:hint="eastAsia"/>
                      <w:color w:val="auto"/>
                      <w:lang w:val="en-US" w:eastAsia="zh-CN"/>
                    </w:rPr>
                    <w:t>，不涉及</w:t>
                  </w:r>
                  <w:r>
                    <w:rPr>
                      <w:color w:val="auto"/>
                      <w:lang w:val="en-US"/>
                    </w:rPr>
                    <w:t>高毒高残留以及对环境影响大的农药原药生产装置，</w:t>
                  </w:r>
                  <w:r>
                    <w:rPr>
                      <w:rFonts w:hint="eastAsia"/>
                      <w:color w:val="auto"/>
                      <w:lang w:val="en-US" w:eastAsia="zh-CN"/>
                    </w:rPr>
                    <w:t>不属于</w:t>
                  </w:r>
                  <w:r>
                    <w:rPr>
                      <w:color w:val="auto"/>
                      <w:lang w:val="en-US"/>
                    </w:rPr>
                    <w:t>尿素、磷铵、电石、焦炭、黄磷、烧碱、纯碱、聚氯乙烯等行业</w:t>
                  </w:r>
                  <w:r>
                    <w:rPr>
                      <w:rFonts w:hint="eastAsia"/>
                      <w:color w:val="auto"/>
                    </w:rPr>
                    <w:t>。</w:t>
                  </w:r>
                </w:p>
              </w:tc>
              <w:tc>
                <w:tcPr>
                  <w:tcW w:w="517" w:type="pct"/>
                  <w:vAlign w:val="center"/>
                </w:tcPr>
                <w:p>
                  <w:pPr>
                    <w:pStyle w:val="68"/>
                    <w:rPr>
                      <w:color w:val="auto"/>
                    </w:rPr>
                  </w:pPr>
                  <w:r>
                    <w:rPr>
                      <w:rFonts w:hint="eastAsia"/>
                      <w:color w:val="auto"/>
                    </w:rPr>
                    <w:t>符合</w:t>
                  </w:r>
                </w:p>
              </w:tc>
            </w:tr>
          </w:tbl>
          <w:p>
            <w:pPr>
              <w:ind w:firstLine="480"/>
              <w:rPr>
                <w:color w:val="auto"/>
              </w:rPr>
            </w:pPr>
            <w:r>
              <w:rPr>
                <w:rFonts w:hint="eastAsia"/>
                <w:color w:val="auto"/>
              </w:rPr>
              <w:t>综上，项目符合《云南省长江经济带发展负面清单指南实施细则（试行，</w:t>
            </w:r>
            <w:r>
              <w:rPr>
                <w:color w:val="auto"/>
              </w:rPr>
              <w:t>2022</w:t>
            </w:r>
            <w:r>
              <w:rPr>
                <w:rFonts w:hint="eastAsia"/>
                <w:color w:val="auto"/>
              </w:rPr>
              <w:t>年版）》（</w:t>
            </w:r>
            <w:r>
              <w:rPr>
                <w:color w:val="auto"/>
                <w:shd w:val="clear" w:fill="FFFFFF"/>
              </w:rPr>
              <w:t>云</w:t>
            </w:r>
            <w:r>
              <w:rPr>
                <w:color w:val="auto"/>
              </w:rPr>
              <w:t>发改基础〔</w:t>
            </w:r>
            <w:r>
              <w:rPr>
                <w:rFonts w:hint="eastAsia"/>
                <w:color w:val="auto"/>
              </w:rPr>
              <w:t>2022</w:t>
            </w:r>
            <w:r>
              <w:rPr>
                <w:color w:val="auto"/>
              </w:rPr>
              <w:t>〕</w:t>
            </w:r>
            <w:r>
              <w:rPr>
                <w:rFonts w:hint="eastAsia"/>
                <w:color w:val="auto"/>
              </w:rPr>
              <w:t>894</w:t>
            </w:r>
            <w:r>
              <w:rPr>
                <w:color w:val="auto"/>
              </w:rPr>
              <w:t>号</w:t>
            </w:r>
            <w:r>
              <w:rPr>
                <w:rFonts w:hint="eastAsia"/>
                <w:color w:val="auto"/>
              </w:rPr>
              <w:t>）相关要求。</w:t>
            </w:r>
          </w:p>
          <w:p>
            <w:pPr>
              <w:pStyle w:val="61"/>
              <w:spacing w:before="60" w:after="60"/>
              <w:rPr>
                <w:color w:val="auto"/>
              </w:rPr>
            </w:pPr>
            <w:r>
              <w:rPr>
                <w:rFonts w:hint="eastAsia"/>
                <w:color w:val="auto"/>
              </w:rPr>
              <w:t>1</w:t>
            </w:r>
            <w:r>
              <w:rPr>
                <w:color w:val="auto"/>
              </w:rPr>
              <w:t>.3.5</w:t>
            </w:r>
            <w:r>
              <w:rPr>
                <w:rFonts w:hint="eastAsia"/>
                <w:color w:val="auto"/>
                <w:lang w:val="en-US" w:eastAsia="zh-CN"/>
              </w:rPr>
              <w:t>项目</w:t>
            </w:r>
            <w:r>
              <w:rPr>
                <w:rFonts w:hint="eastAsia"/>
                <w:color w:val="auto"/>
              </w:rPr>
              <w:t>与《餐厨垃圾处理技术规范》（CJJ184-2012）符合性分析</w:t>
            </w:r>
          </w:p>
          <w:p>
            <w:pPr>
              <w:ind w:firstLine="480"/>
              <w:rPr>
                <w:color w:val="auto"/>
              </w:rPr>
            </w:pPr>
            <w:r>
              <w:rPr>
                <w:rFonts w:hint="eastAsia"/>
                <w:color w:val="auto"/>
              </w:rPr>
              <w:t>根据项目选址及建设内容对照《餐厨垃圾处理技术规范》（CJJ184-2012）中要求，符合性分析见下表：</w:t>
            </w:r>
          </w:p>
          <w:p>
            <w:pPr>
              <w:pStyle w:val="71"/>
              <w:rPr>
                <w:color w:val="auto"/>
              </w:rPr>
            </w:pPr>
            <w:r>
              <w:rPr>
                <w:rFonts w:hint="eastAsia"/>
                <w:color w:val="auto"/>
              </w:rPr>
              <w:t>表1</w:t>
            </w:r>
            <w:r>
              <w:rPr>
                <w:color w:val="auto"/>
              </w:rPr>
              <w:t xml:space="preserve">.3-5 </w:t>
            </w:r>
            <w:r>
              <w:rPr>
                <w:rFonts w:hint="eastAsia"/>
                <w:color w:val="auto"/>
              </w:rPr>
              <w:t>项目与《餐厨垃圾处理技术规范》符合性分析一览表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3269"/>
              <w:gridCol w:w="3251"/>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pStyle w:val="68"/>
                    <w:rPr>
                      <w:b/>
                      <w:bCs/>
                      <w:color w:val="auto"/>
                    </w:rPr>
                  </w:pPr>
                  <w:r>
                    <w:rPr>
                      <w:rFonts w:hint="eastAsia"/>
                      <w:b/>
                      <w:bCs/>
                      <w:color w:val="auto"/>
                    </w:rPr>
                    <w:t>规范条款</w:t>
                  </w:r>
                </w:p>
              </w:tc>
              <w:tc>
                <w:tcPr>
                  <w:tcW w:w="3269" w:type="dxa"/>
                  <w:vAlign w:val="center"/>
                </w:tcPr>
                <w:p>
                  <w:pPr>
                    <w:pStyle w:val="68"/>
                    <w:rPr>
                      <w:b/>
                      <w:bCs/>
                      <w:color w:val="auto"/>
                    </w:rPr>
                  </w:pPr>
                  <w:r>
                    <w:rPr>
                      <w:rFonts w:hint="eastAsia"/>
                      <w:b/>
                      <w:bCs/>
                      <w:color w:val="auto"/>
                    </w:rPr>
                    <w:t>规范</w:t>
                  </w:r>
                  <w:r>
                    <w:rPr>
                      <w:rFonts w:hint="eastAsia"/>
                      <w:b/>
                      <w:bCs/>
                      <w:color w:val="auto"/>
                      <w:lang w:eastAsia="zh-CN"/>
                    </w:rPr>
                    <w:t>要求</w:t>
                  </w:r>
                </w:p>
              </w:tc>
              <w:tc>
                <w:tcPr>
                  <w:tcW w:w="3251" w:type="dxa"/>
                  <w:vAlign w:val="center"/>
                </w:tcPr>
                <w:p>
                  <w:pPr>
                    <w:pStyle w:val="68"/>
                    <w:rPr>
                      <w:b/>
                      <w:bCs/>
                      <w:color w:val="auto"/>
                    </w:rPr>
                  </w:pPr>
                  <w:r>
                    <w:rPr>
                      <w:rFonts w:hint="eastAsia"/>
                      <w:b/>
                      <w:bCs/>
                      <w:color w:val="auto"/>
                      <w:lang w:eastAsia="zh-CN"/>
                    </w:rPr>
                    <w:t>本项目建设情况</w:t>
                  </w:r>
                </w:p>
              </w:tc>
              <w:tc>
                <w:tcPr>
                  <w:tcW w:w="804" w:type="dxa"/>
                  <w:vAlign w:val="center"/>
                </w:tcPr>
                <w:p>
                  <w:pPr>
                    <w:pStyle w:val="68"/>
                    <w:rPr>
                      <w:b/>
                      <w:bCs/>
                      <w:color w:val="auto"/>
                    </w:rPr>
                  </w:pPr>
                  <w:r>
                    <w:rPr>
                      <w:rFonts w:hint="eastAsia"/>
                      <w:b/>
                      <w:bCs/>
                      <w:color w:val="auto"/>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餐厨垃圾的收集与运输</w:t>
                  </w:r>
                </w:p>
              </w:tc>
              <w:tc>
                <w:tcPr>
                  <w:tcW w:w="3269" w:type="dxa"/>
                  <w:vAlign w:val="center"/>
                </w:tcPr>
                <w:p>
                  <w:pPr>
                    <w:pStyle w:val="68"/>
                    <w:rPr>
                      <w:color w:val="auto"/>
                    </w:rPr>
                  </w:pPr>
                  <w:r>
                    <w:rPr>
                      <w:rFonts w:hint="eastAsia"/>
                      <w:color w:val="auto"/>
                    </w:rPr>
                    <w:t>餐饮垃圾不得随意倾倒、堆放，不得排入雨水管道、污水排水管道、河道、公共厕所和生活垃圾收集设施中</w:t>
                  </w:r>
                </w:p>
              </w:tc>
              <w:tc>
                <w:tcPr>
                  <w:tcW w:w="3251" w:type="dxa"/>
                  <w:vAlign w:val="center"/>
                </w:tcPr>
                <w:p>
                  <w:pPr>
                    <w:pStyle w:val="68"/>
                    <w:rPr>
                      <w:rFonts w:hint="eastAsia" w:eastAsia="宋体"/>
                      <w:color w:val="auto"/>
                      <w:lang w:val="en-US" w:eastAsia="zh-CN"/>
                    </w:rPr>
                  </w:pPr>
                  <w:r>
                    <w:rPr>
                      <w:rFonts w:hint="eastAsia"/>
                      <w:color w:val="auto"/>
                      <w:lang w:eastAsia="zh-CN"/>
                    </w:rPr>
                    <w:t>本项目采用</w:t>
                  </w:r>
                  <w:r>
                    <w:rPr>
                      <w:rFonts w:hint="eastAsia"/>
                      <w:color w:val="auto"/>
                      <w:lang w:val="en-US" w:eastAsia="zh-CN"/>
                    </w:rPr>
                    <w:t>3</w:t>
                  </w:r>
                  <w:r>
                    <w:rPr>
                      <w:rFonts w:hint="eastAsia"/>
                      <w:color w:val="auto"/>
                      <w:lang w:eastAsia="zh-CN"/>
                    </w:rPr>
                    <w:t>辆专用餐厨垃圾运输车辆运输餐厨垃圾，运营过程中严格按照要求进行处置，不</w:t>
                  </w:r>
                  <w:r>
                    <w:rPr>
                      <w:rFonts w:hint="eastAsia"/>
                      <w:color w:val="auto"/>
                    </w:rPr>
                    <w:t>随意</w:t>
                  </w:r>
                  <w:r>
                    <w:rPr>
                      <w:rFonts w:hint="eastAsia"/>
                      <w:color w:val="auto"/>
                      <w:lang w:eastAsia="zh-CN"/>
                    </w:rPr>
                    <w:t>将餐厨垃圾</w:t>
                  </w:r>
                  <w:r>
                    <w:rPr>
                      <w:rFonts w:hint="eastAsia"/>
                      <w:color w:val="auto"/>
                    </w:rPr>
                    <w:t>倾倒、堆放</w:t>
                  </w:r>
                  <w:r>
                    <w:rPr>
                      <w:rFonts w:hint="eastAsia"/>
                      <w:color w:val="auto"/>
                      <w:lang w:eastAsia="zh-CN"/>
                    </w:rPr>
                    <w:t>、</w:t>
                  </w:r>
                  <w:r>
                    <w:rPr>
                      <w:rFonts w:hint="eastAsia"/>
                      <w:color w:val="auto"/>
                    </w:rPr>
                    <w:t>排入雨水管道、污水排水管道、河道、公共厕所和生活垃圾收集设施中</w:t>
                  </w:r>
                  <w:r>
                    <w:rPr>
                      <w:rFonts w:hint="eastAsia"/>
                      <w:color w:val="auto"/>
                      <w:lang w:eastAsia="zh-CN"/>
                    </w:rPr>
                    <w:t>。</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餐厨垃圾宜实施分类收集和分类运输</w:t>
                  </w:r>
                </w:p>
              </w:tc>
              <w:tc>
                <w:tcPr>
                  <w:tcW w:w="3251" w:type="dxa"/>
                  <w:vAlign w:val="center"/>
                </w:tcPr>
                <w:p>
                  <w:pPr>
                    <w:pStyle w:val="68"/>
                    <w:rPr>
                      <w:color w:val="auto"/>
                    </w:rPr>
                  </w:pPr>
                  <w:r>
                    <w:rPr>
                      <w:rFonts w:hint="eastAsia"/>
                      <w:color w:val="auto"/>
                      <w:lang w:eastAsia="zh-CN"/>
                    </w:rPr>
                    <w:t>本项目运营期主要收集食材废料、泔水、隔油池废油，其中食材废料和泔水属于</w:t>
                  </w:r>
                  <w:r>
                    <w:rPr>
                      <w:rFonts w:hint="eastAsia"/>
                      <w:color w:val="auto"/>
                    </w:rPr>
                    <w:t>CJJ184-2012</w:t>
                  </w:r>
                  <w:r>
                    <w:rPr>
                      <w:rFonts w:hint="eastAsia"/>
                      <w:color w:val="auto"/>
                      <w:lang w:eastAsia="zh-CN"/>
                    </w:rPr>
                    <w:t>中的餐厨垃圾，隔油池废油属于</w:t>
                  </w:r>
                  <w:r>
                    <w:rPr>
                      <w:rFonts w:hint="eastAsia"/>
                      <w:color w:val="auto"/>
                    </w:rPr>
                    <w:t>CJJ184-2012</w:t>
                  </w:r>
                  <w:r>
                    <w:rPr>
                      <w:rFonts w:hint="eastAsia"/>
                      <w:color w:val="auto"/>
                      <w:lang w:eastAsia="zh-CN"/>
                    </w:rPr>
                    <w:t>中的泔水油，因此食材废料和泔水采用1辆运输车转运，隔油池废油采用1辆运输车单独转运，不混装。</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餐厨垃圾应采用密闭、防腐专用容器盛装，采用密闭式专用收集车进行收集，专用收集车的装载机构应</w:t>
                  </w:r>
                  <w:r>
                    <w:rPr>
                      <w:rFonts w:hint="eastAsia"/>
                      <w:color w:val="auto"/>
                      <w:lang w:eastAsia="zh-CN"/>
                    </w:rPr>
                    <w:t>与</w:t>
                  </w:r>
                  <w:r>
                    <w:rPr>
                      <w:rFonts w:hint="eastAsia"/>
                      <w:color w:val="auto"/>
                    </w:rPr>
                    <w:t>垃圾盛装容器相匹配</w:t>
                  </w:r>
                </w:p>
              </w:tc>
              <w:tc>
                <w:tcPr>
                  <w:tcW w:w="3251" w:type="dxa"/>
                  <w:vAlign w:val="center"/>
                </w:tcPr>
                <w:p>
                  <w:pPr>
                    <w:pStyle w:val="68"/>
                    <w:rPr>
                      <w:color w:val="auto"/>
                    </w:rPr>
                  </w:pPr>
                  <w:r>
                    <w:rPr>
                      <w:rFonts w:hint="eastAsia"/>
                      <w:color w:val="auto"/>
                      <w:lang w:eastAsia="zh-CN"/>
                    </w:rPr>
                    <w:t>本项目采用</w:t>
                  </w:r>
                  <w:r>
                    <w:rPr>
                      <w:rFonts w:hint="eastAsia"/>
                      <w:color w:val="auto"/>
                      <w:lang w:val="en-US" w:eastAsia="zh-CN"/>
                    </w:rPr>
                    <w:t>3</w:t>
                  </w:r>
                  <w:r>
                    <w:rPr>
                      <w:rFonts w:hint="eastAsia"/>
                      <w:color w:val="auto"/>
                      <w:lang w:eastAsia="zh-CN"/>
                    </w:rPr>
                    <w:t>辆专用餐厨垃圾运输车辆运输，运输车配备专用密闭罐体。</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餐厨垃圾运输车辆在任何路面条件下不得泄露和</w:t>
                  </w:r>
                  <w:r>
                    <w:rPr>
                      <w:rFonts w:hint="eastAsia"/>
                      <w:color w:val="auto"/>
                      <w:shd w:val="clear" w:fill="FFFFFF"/>
                    </w:rPr>
                    <w:t>遗洒</w:t>
                  </w:r>
                </w:p>
              </w:tc>
              <w:tc>
                <w:tcPr>
                  <w:tcW w:w="3251" w:type="dxa"/>
                  <w:vAlign w:val="center"/>
                </w:tcPr>
                <w:p>
                  <w:pPr>
                    <w:pStyle w:val="68"/>
                    <w:rPr>
                      <w:color w:val="auto"/>
                    </w:rPr>
                  </w:pPr>
                  <w:r>
                    <w:rPr>
                      <w:rFonts w:hint="eastAsia"/>
                      <w:color w:val="auto"/>
                      <w:lang w:eastAsia="zh-CN"/>
                    </w:rPr>
                    <w:t>本项目采用专用餐厨垃圾运输车辆运输，运输车采用封闭式，运输过程中不会出现泄漏</w:t>
                  </w:r>
                  <w:r>
                    <w:rPr>
                      <w:rFonts w:hint="eastAsia"/>
                      <w:color w:val="auto"/>
                    </w:rPr>
                    <w:t>和遗洒</w:t>
                  </w:r>
                  <w:r>
                    <w:rPr>
                      <w:rFonts w:hint="eastAsia"/>
                      <w:color w:val="auto"/>
                      <w:lang w:eastAsia="zh-CN"/>
                    </w:rPr>
                    <w:t>的情况发生。</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餐厨垃圾宜直接从收集点运输至处理厂。产生量大、集中处理且运距较远时，可设餐厨垃圾转运站，转运站应采用非暴露式转运工艺</w:t>
                  </w:r>
                </w:p>
              </w:tc>
              <w:tc>
                <w:tcPr>
                  <w:tcW w:w="3251" w:type="dxa"/>
                  <w:vAlign w:val="center"/>
                </w:tcPr>
                <w:p>
                  <w:pPr>
                    <w:pStyle w:val="68"/>
                    <w:rPr>
                      <w:color w:val="auto"/>
                      <w:lang w:eastAsia="zh-CN"/>
                    </w:rPr>
                  </w:pPr>
                  <w:r>
                    <w:rPr>
                      <w:rFonts w:hint="eastAsia"/>
                      <w:color w:val="auto"/>
                      <w:lang w:eastAsia="zh-CN"/>
                    </w:rPr>
                    <w:t>本项目运营期收集师宗境内餐厨垃圾，综合车程在2h以内，不会出现长时间、远距离运输情况。</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餐厨垃圾运输车装、卸料</w:t>
                  </w:r>
                  <w:r>
                    <w:rPr>
                      <w:rFonts w:hint="eastAsia"/>
                      <w:color w:val="auto"/>
                      <w:lang w:eastAsia="zh-CN"/>
                    </w:rPr>
                    <w:t>均为</w:t>
                  </w:r>
                  <w:r>
                    <w:rPr>
                      <w:rFonts w:hint="eastAsia"/>
                      <w:color w:val="auto"/>
                    </w:rPr>
                    <w:t>机械操作</w:t>
                  </w:r>
                </w:p>
              </w:tc>
              <w:tc>
                <w:tcPr>
                  <w:tcW w:w="3251" w:type="dxa"/>
                  <w:vAlign w:val="center"/>
                </w:tcPr>
                <w:p>
                  <w:pPr>
                    <w:pStyle w:val="68"/>
                    <w:rPr>
                      <w:color w:val="auto"/>
                    </w:rPr>
                  </w:pPr>
                  <w:r>
                    <w:rPr>
                      <w:rFonts w:hint="eastAsia"/>
                      <w:color w:val="auto"/>
                      <w:lang w:eastAsia="zh-CN"/>
                    </w:rPr>
                    <w:t>本项目餐厨垃圾运输车卸料过程采用全机械操作。</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厂址选址</w:t>
                  </w:r>
                </w:p>
              </w:tc>
              <w:tc>
                <w:tcPr>
                  <w:tcW w:w="3269" w:type="dxa"/>
                  <w:vAlign w:val="center"/>
                </w:tcPr>
                <w:p>
                  <w:pPr>
                    <w:pStyle w:val="68"/>
                    <w:rPr>
                      <w:color w:val="auto"/>
                    </w:rPr>
                  </w:pPr>
                  <w:r>
                    <w:rPr>
                      <w:rFonts w:hint="eastAsia"/>
                      <w:color w:val="auto"/>
                    </w:rPr>
                    <w:t>餐厨垃圾处理厂的选址应符合当地城市总体规划，区域环境规划，城市环境卫生专业规划及相关规划的要求</w:t>
                  </w:r>
                </w:p>
              </w:tc>
              <w:tc>
                <w:tcPr>
                  <w:tcW w:w="3251" w:type="dxa"/>
                  <w:vAlign w:val="center"/>
                </w:tcPr>
                <w:p>
                  <w:pPr>
                    <w:pStyle w:val="68"/>
                    <w:rPr>
                      <w:color w:val="auto"/>
                    </w:rPr>
                  </w:pPr>
                  <w:r>
                    <w:rPr>
                      <w:rFonts w:hint="eastAsia"/>
                      <w:color w:val="auto"/>
                      <w:lang w:eastAsia="zh-CN"/>
                    </w:rPr>
                    <w:t>根据师宗县重点投资项目联合会商意见表（附件4），自然资源局、生态分局、林草局、水务局均同意项目选址。</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餐厨垃圾处理设施宜与其他固体废物处理设施和污水处理设施</w:t>
                  </w:r>
                  <w:r>
                    <w:rPr>
                      <w:rFonts w:hint="eastAsia"/>
                      <w:color w:val="auto"/>
                      <w:lang w:eastAsia="zh-CN"/>
                    </w:rPr>
                    <w:t>同时</w:t>
                  </w:r>
                  <w:r>
                    <w:rPr>
                      <w:rFonts w:hint="eastAsia"/>
                      <w:color w:val="auto"/>
                    </w:rPr>
                    <w:t>建设</w:t>
                  </w:r>
                </w:p>
              </w:tc>
              <w:tc>
                <w:tcPr>
                  <w:tcW w:w="3251" w:type="dxa"/>
                  <w:vAlign w:val="center"/>
                </w:tcPr>
                <w:p>
                  <w:pPr>
                    <w:pStyle w:val="68"/>
                    <w:rPr>
                      <w:color w:val="auto"/>
                    </w:rPr>
                  </w:pPr>
                  <w:r>
                    <w:rPr>
                      <w:rFonts w:hint="eastAsia"/>
                      <w:color w:val="auto"/>
                      <w:lang w:eastAsia="zh-CN"/>
                    </w:rPr>
                    <w:t>本项目施工期废水处理设施与主体工程同时建成，同时投入使用。</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厂址工程地质与水文地质条件应满足处理</w:t>
                  </w:r>
                  <w:r>
                    <w:rPr>
                      <w:rFonts w:hint="eastAsia"/>
                      <w:color w:val="auto"/>
                      <w:lang w:eastAsia="zh-CN"/>
                    </w:rPr>
                    <w:t>设施</w:t>
                  </w:r>
                  <w:r>
                    <w:rPr>
                      <w:rFonts w:hint="eastAsia"/>
                      <w:color w:val="auto"/>
                    </w:rPr>
                    <w:t>建设和运行的要求；应有良好的交通、电力、给水和排水条件；应避开环境敏感区、洪泛区、重点文物保护区等</w:t>
                  </w:r>
                </w:p>
              </w:tc>
              <w:tc>
                <w:tcPr>
                  <w:tcW w:w="3251" w:type="dxa"/>
                  <w:vAlign w:val="center"/>
                </w:tcPr>
                <w:p>
                  <w:pPr>
                    <w:pStyle w:val="68"/>
                    <w:rPr>
                      <w:color w:val="auto"/>
                      <w:lang w:eastAsia="zh-CN"/>
                    </w:rPr>
                  </w:pPr>
                  <w:r>
                    <w:rPr>
                      <w:rFonts w:hint="eastAsia"/>
                      <w:color w:val="auto"/>
                      <w:lang w:eastAsia="zh-CN"/>
                    </w:rPr>
                    <w:t>项目周边地势平坦，</w:t>
                  </w:r>
                  <w:r>
                    <w:rPr>
                      <w:rFonts w:hint="eastAsia"/>
                      <w:color w:val="auto"/>
                    </w:rPr>
                    <w:t>有良好的交通、电力、给水和排水条件；</w:t>
                  </w:r>
                  <w:r>
                    <w:rPr>
                      <w:rFonts w:hint="eastAsia"/>
                      <w:color w:val="auto"/>
                      <w:lang w:eastAsia="zh-CN"/>
                    </w:rPr>
                    <w:t>项目不在</w:t>
                  </w:r>
                  <w:r>
                    <w:rPr>
                      <w:rFonts w:hint="eastAsia"/>
                      <w:color w:val="auto"/>
                    </w:rPr>
                    <w:t>洪泛区、重点文物保护区等</w:t>
                  </w:r>
                  <w:r>
                    <w:rPr>
                      <w:rFonts w:hint="eastAsia"/>
                      <w:color w:val="auto"/>
                      <w:lang w:eastAsia="zh-CN"/>
                    </w:rPr>
                    <w:t>区域内，项目东侧分布1处散户，经预测分析，运营期废气对其造成的影响较小，建设单位已向项目东侧散户征求意见（详见附件1</w:t>
                  </w:r>
                  <w:r>
                    <w:rPr>
                      <w:color w:val="auto"/>
                      <w:lang w:eastAsia="zh-CN"/>
                    </w:rPr>
                    <w:t>3</w:t>
                  </w:r>
                  <w:r>
                    <w:rPr>
                      <w:rFonts w:hint="eastAsia"/>
                      <w:color w:val="auto"/>
                      <w:lang w:eastAsia="zh-CN"/>
                    </w:rPr>
                    <w:t>），东侧散户同意本项目建设。</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总体工艺设计</w:t>
                  </w:r>
                </w:p>
              </w:tc>
              <w:tc>
                <w:tcPr>
                  <w:tcW w:w="3269" w:type="dxa"/>
                  <w:vAlign w:val="center"/>
                </w:tcPr>
                <w:p>
                  <w:pPr>
                    <w:pStyle w:val="68"/>
                    <w:rPr>
                      <w:color w:val="auto"/>
                    </w:rPr>
                  </w:pPr>
                  <w:r>
                    <w:rPr>
                      <w:rFonts w:hint="eastAsia"/>
                      <w:color w:val="auto"/>
                    </w:rPr>
                    <w:t>餐厨垃圾处理主体工艺的选择应符合：技术成熟、设备可靠；资源化程度高、二次污染及能耗小；符合无害化处理要求</w:t>
                  </w:r>
                </w:p>
              </w:tc>
              <w:tc>
                <w:tcPr>
                  <w:tcW w:w="3251" w:type="dxa"/>
                  <w:vAlign w:val="center"/>
                </w:tcPr>
                <w:p>
                  <w:pPr>
                    <w:pStyle w:val="68"/>
                    <w:rPr>
                      <w:color w:val="auto"/>
                      <w:lang w:eastAsia="zh-CN"/>
                    </w:rPr>
                  </w:pPr>
                  <w:r>
                    <w:rPr>
                      <w:rFonts w:hint="eastAsia"/>
                      <w:color w:val="auto"/>
                      <w:lang w:eastAsia="zh-CN"/>
                    </w:rPr>
                    <w:t>本项目选用的设备是市面上专用的餐厨垃圾处置设备，具有技</w:t>
                  </w:r>
                  <w:r>
                    <w:rPr>
                      <w:rFonts w:hint="eastAsia"/>
                      <w:color w:val="auto"/>
                    </w:rPr>
                    <w:t>术成熟、设备可靠</w:t>
                  </w:r>
                  <w:r>
                    <w:rPr>
                      <w:rFonts w:hint="eastAsia"/>
                      <w:color w:val="auto"/>
                      <w:lang w:eastAsia="zh-CN"/>
                    </w:rPr>
                    <w:t>、</w:t>
                  </w:r>
                  <w:r>
                    <w:rPr>
                      <w:rFonts w:hint="eastAsia"/>
                      <w:color w:val="auto"/>
                    </w:rPr>
                    <w:t>资源化程度高、二次污染及能耗小</w:t>
                  </w:r>
                  <w:r>
                    <w:rPr>
                      <w:rFonts w:hint="eastAsia"/>
                      <w:color w:val="auto"/>
                      <w:lang w:eastAsia="zh-CN"/>
                    </w:rPr>
                    <w:t>等特点。</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生产线工艺流程的设计应满足餐厨垃圾资源化、无害化处理的需要，做到工艺完善、流程合理、环保达标，各中间环节和单体设备应可靠</w:t>
                  </w:r>
                </w:p>
              </w:tc>
              <w:tc>
                <w:tcPr>
                  <w:tcW w:w="3251" w:type="dxa"/>
                  <w:vAlign w:val="center"/>
                </w:tcPr>
                <w:p>
                  <w:pPr>
                    <w:pStyle w:val="68"/>
                    <w:rPr>
                      <w:color w:val="auto"/>
                      <w:lang w:eastAsia="zh-CN"/>
                    </w:rPr>
                  </w:pPr>
                  <w:r>
                    <w:rPr>
                      <w:rFonts w:hint="eastAsia"/>
                      <w:color w:val="auto"/>
                      <w:lang w:eastAsia="zh-CN"/>
                    </w:rPr>
                    <w:t>本项目结合师宗县餐厨垃圾特点，按照</w:t>
                  </w:r>
                  <w:r>
                    <w:rPr>
                      <w:rFonts w:hint="eastAsia"/>
                      <w:color w:val="auto"/>
                    </w:rPr>
                    <w:t>餐厨垃圾资源化、无害化处理的</w:t>
                  </w:r>
                  <w:r>
                    <w:rPr>
                      <w:rFonts w:hint="eastAsia"/>
                      <w:color w:val="auto"/>
                      <w:lang w:eastAsia="zh-CN"/>
                    </w:rPr>
                    <w:t>原则</w:t>
                  </w:r>
                  <w:r>
                    <w:rPr>
                      <w:rFonts w:hint="eastAsia"/>
                      <w:color w:val="auto"/>
                    </w:rPr>
                    <w:t>，</w:t>
                  </w:r>
                  <w:r>
                    <w:rPr>
                      <w:rFonts w:hint="eastAsia"/>
                      <w:color w:val="auto"/>
                      <w:lang w:eastAsia="zh-CN"/>
                    </w:rPr>
                    <w:t>将处置设备设置在全封闭的车间内，通过设置微负压收集系统，尽量收集处置过程中产生的废气，通过对餐厨垃圾进行预处理，去除部分水分和废餐盒、塑料等，通过三相分离后，</w:t>
                  </w:r>
                  <w:r>
                    <w:rPr>
                      <w:rFonts w:hint="eastAsia"/>
                      <w:color w:val="auto"/>
                      <w:shd w:val="clear" w:fill="FFFFFF"/>
                      <w:lang w:eastAsia="zh-CN"/>
                    </w:rPr>
                    <w:t>固废</w:t>
                  </w:r>
                  <w:r>
                    <w:rPr>
                      <w:rFonts w:hint="eastAsia"/>
                      <w:color w:val="auto"/>
                      <w:lang w:eastAsia="zh-CN"/>
                    </w:rPr>
                    <w:t>用于好氧发酵制成有机肥原料，废水通过污水处理站处理达标后进入彩云污水处理站，粗油脂通过成品油罐暂存，定期外售，本项目处置车间生产</w:t>
                  </w:r>
                  <w:r>
                    <w:rPr>
                      <w:rFonts w:hint="eastAsia"/>
                      <w:color w:val="auto"/>
                    </w:rPr>
                    <w:t>流程合理</w:t>
                  </w:r>
                  <w:r>
                    <w:rPr>
                      <w:rFonts w:hint="eastAsia"/>
                      <w:color w:val="auto"/>
                      <w:lang w:eastAsia="zh-CN"/>
                    </w:rPr>
                    <w:t>，废水、废气可以达标排放。</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餐厨垃圾处理车间设备布置应符合下列规定：物质流顺畅，各工段不相互干扰；应留有足够的设备检修空间；进料和预处理工段应与主处理工段分开；应有利于车间全面通风的气流组织优化和环境维护</w:t>
                  </w:r>
                </w:p>
              </w:tc>
              <w:tc>
                <w:tcPr>
                  <w:tcW w:w="3251" w:type="dxa"/>
                  <w:vAlign w:val="center"/>
                </w:tcPr>
                <w:p>
                  <w:pPr>
                    <w:pStyle w:val="68"/>
                    <w:rPr>
                      <w:color w:val="auto"/>
                    </w:rPr>
                  </w:pPr>
                  <w:r>
                    <w:rPr>
                      <w:rFonts w:hint="eastAsia"/>
                      <w:color w:val="auto"/>
                      <w:lang w:eastAsia="zh-CN"/>
                    </w:rPr>
                    <w:t>本项目卸料、固液分离、三相分离、好氧发酵均采用独立的设备，互不干扰，在各设备一侧预留足够的检修空间，便于对设备定期进行检修，</w:t>
                  </w:r>
                  <w:r>
                    <w:rPr>
                      <w:rFonts w:hint="eastAsia"/>
                      <w:color w:val="auto"/>
                    </w:rPr>
                    <w:t>餐厨垃圾处理车间</w:t>
                  </w:r>
                  <w:r>
                    <w:rPr>
                      <w:rFonts w:hint="eastAsia"/>
                      <w:color w:val="auto"/>
                      <w:lang w:eastAsia="zh-CN"/>
                    </w:rPr>
                    <w:t>设置成全封闭式，只留车间进出口，车辆进出口采用卷帘门进行密闭，采用微负压通风，在微负压风机作用下，车间换气次数为6次/h，通过换气风机与外界形成空气交换，避免车间内的恶臭逸散到外界环境，具备良好的车间全面通风条件。</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总图设计</w:t>
                  </w:r>
                </w:p>
              </w:tc>
              <w:tc>
                <w:tcPr>
                  <w:tcW w:w="3269" w:type="dxa"/>
                  <w:vAlign w:val="center"/>
                </w:tcPr>
                <w:p>
                  <w:pPr>
                    <w:pStyle w:val="68"/>
                    <w:rPr>
                      <w:color w:val="auto"/>
                    </w:rPr>
                  </w:pPr>
                  <w:r>
                    <w:rPr>
                      <w:rFonts w:hint="eastAsia"/>
                      <w:color w:val="auto"/>
                    </w:rPr>
                    <w:t>餐厨垃圾处理厂总图布置应满足餐厨垃圾处理工艺流程的要求，各工序衔接顺畅，平面和竖向布置合理，建构筑物间距符合安全要求</w:t>
                  </w:r>
                </w:p>
              </w:tc>
              <w:tc>
                <w:tcPr>
                  <w:tcW w:w="3251" w:type="dxa"/>
                  <w:vAlign w:val="center"/>
                </w:tcPr>
                <w:p>
                  <w:pPr>
                    <w:pStyle w:val="68"/>
                    <w:rPr>
                      <w:rFonts w:hint="eastAsia" w:eastAsia="宋体"/>
                      <w:color w:val="auto"/>
                      <w:lang w:eastAsia="zh-CN"/>
                    </w:rPr>
                  </w:pPr>
                  <w:r>
                    <w:rPr>
                      <w:rFonts w:hint="eastAsia"/>
                      <w:color w:val="auto"/>
                      <w:lang w:eastAsia="zh-CN"/>
                    </w:rPr>
                    <w:t>本项目总图布置按照车辆运输进场→卸料→固液分离→三相分离→好氧发酵的顺序进行设计，尽量保障</w:t>
                  </w:r>
                  <w:r>
                    <w:rPr>
                      <w:rFonts w:hint="eastAsia"/>
                      <w:color w:val="auto"/>
                    </w:rPr>
                    <w:t>各工序衔接顺畅，平面和竖向布置合理，建构筑物间距符合安全要求</w:t>
                  </w:r>
                  <w:r>
                    <w:rPr>
                      <w:rFonts w:hint="eastAsia"/>
                      <w:color w:val="auto"/>
                      <w:lang w:eastAsia="zh-CN"/>
                    </w:rPr>
                    <w:t>。</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餐厨垃圾处理厂各项用地指标应符合国家有关规定及当地土地、规划等行政主管部门的要求</w:t>
                  </w:r>
                </w:p>
              </w:tc>
              <w:tc>
                <w:tcPr>
                  <w:tcW w:w="3251" w:type="dxa"/>
                  <w:vAlign w:val="center"/>
                </w:tcPr>
                <w:p>
                  <w:pPr>
                    <w:pStyle w:val="68"/>
                    <w:rPr>
                      <w:color w:val="auto"/>
                      <w:lang w:eastAsia="zh-CN"/>
                    </w:rPr>
                  </w:pPr>
                  <w:r>
                    <w:rPr>
                      <w:rFonts w:hint="eastAsia"/>
                      <w:color w:val="auto"/>
                      <w:lang w:eastAsia="zh-CN"/>
                    </w:rPr>
                    <w:t>本项目用地</w:t>
                  </w:r>
                  <w:r>
                    <w:rPr>
                      <w:rFonts w:hint="eastAsia"/>
                      <w:color w:val="auto"/>
                      <w:shd w:val="clear" w:fill="FFFFFF"/>
                      <w:lang w:eastAsia="zh-CN"/>
                    </w:rPr>
                    <w:t>由</w:t>
                  </w:r>
                  <w:r>
                    <w:rPr>
                      <w:rFonts w:hint="eastAsia"/>
                      <w:color w:val="auto"/>
                      <w:lang w:eastAsia="zh-CN"/>
                    </w:rPr>
                    <w:t>彩云镇人民政府免费提供，根据自然资源局意见，项目不涉及生态红线，基本农田，不在城镇开发边界内，满足规划要求。</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厂</w:t>
                  </w:r>
                  <w:r>
                    <w:rPr>
                      <w:rFonts w:hint="eastAsia"/>
                      <w:color w:val="auto"/>
                      <w:lang w:eastAsia="zh-CN"/>
                    </w:rPr>
                    <w:t>区内</w:t>
                  </w:r>
                  <w:r>
                    <w:rPr>
                      <w:rFonts w:hint="eastAsia"/>
                      <w:color w:val="auto"/>
                    </w:rPr>
                    <w:t>道路的设置，应满足交通运输和消防的需求，并应与厂区竖向设计、绿化及管线敷设相协调</w:t>
                  </w:r>
                </w:p>
              </w:tc>
              <w:tc>
                <w:tcPr>
                  <w:tcW w:w="3251" w:type="dxa"/>
                  <w:vAlign w:val="center"/>
                </w:tcPr>
                <w:p>
                  <w:pPr>
                    <w:pStyle w:val="68"/>
                    <w:rPr>
                      <w:rFonts w:hint="eastAsia" w:eastAsia="宋体"/>
                      <w:color w:val="auto"/>
                      <w:lang w:eastAsia="zh-CN"/>
                    </w:rPr>
                  </w:pPr>
                  <w:r>
                    <w:rPr>
                      <w:rFonts w:hint="eastAsia"/>
                      <w:color w:val="auto"/>
                    </w:rPr>
                    <w:t>厂</w:t>
                  </w:r>
                  <w:r>
                    <w:rPr>
                      <w:rFonts w:hint="eastAsia"/>
                      <w:color w:val="auto"/>
                      <w:lang w:eastAsia="zh-CN"/>
                    </w:rPr>
                    <w:t>区内</w:t>
                  </w:r>
                  <w:r>
                    <w:rPr>
                      <w:rFonts w:hint="eastAsia"/>
                      <w:color w:val="auto"/>
                    </w:rPr>
                    <w:t>道路的设置满足交通运输和消防的需求，与厂区竖向设计、管线敷设相协调</w:t>
                  </w:r>
                  <w:r>
                    <w:rPr>
                      <w:rFonts w:hint="eastAsia"/>
                      <w:color w:val="auto"/>
                      <w:lang w:eastAsia="zh-CN"/>
                    </w:rPr>
                    <w:t>。</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餐厨垃圾计量、接收与输</w:t>
                  </w:r>
                  <w:r>
                    <w:rPr>
                      <w:rFonts w:hint="eastAsia"/>
                      <w:color w:val="auto"/>
                      <w:lang w:eastAsia="zh-CN"/>
                    </w:rPr>
                    <w:t>送</w:t>
                  </w:r>
                </w:p>
              </w:tc>
              <w:tc>
                <w:tcPr>
                  <w:tcW w:w="3269" w:type="dxa"/>
                  <w:vAlign w:val="center"/>
                </w:tcPr>
                <w:p>
                  <w:pPr>
                    <w:pStyle w:val="68"/>
                    <w:rPr>
                      <w:color w:val="auto"/>
                    </w:rPr>
                  </w:pPr>
                  <w:r>
                    <w:rPr>
                      <w:rFonts w:hint="eastAsia"/>
                      <w:color w:val="auto"/>
                    </w:rPr>
                    <w:t>餐厨垃圾处理厂应设置计量设施，计量设施应具有称重、记录、打印与数据处理、传输功能</w:t>
                  </w:r>
                </w:p>
              </w:tc>
              <w:tc>
                <w:tcPr>
                  <w:tcW w:w="3251" w:type="dxa"/>
                  <w:vAlign w:val="center"/>
                </w:tcPr>
                <w:p>
                  <w:pPr>
                    <w:pStyle w:val="68"/>
                    <w:rPr>
                      <w:color w:val="auto"/>
                    </w:rPr>
                  </w:pPr>
                  <w:r>
                    <w:rPr>
                      <w:rFonts w:hint="eastAsia"/>
                      <w:color w:val="auto"/>
                      <w:lang w:eastAsia="zh-CN"/>
                    </w:rPr>
                    <w:t>本项目入口处设置有地磅秤和值班室，值班室设置有称重记录系统，自动计量称重数据。</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餐厨垃圾卸料间应封闭，垃圾车卸料平台尺寸应满足最大餐厨垃圾收集车卸料作业</w:t>
                  </w:r>
                </w:p>
              </w:tc>
              <w:tc>
                <w:tcPr>
                  <w:tcW w:w="3251" w:type="dxa"/>
                  <w:vAlign w:val="center"/>
                </w:tcPr>
                <w:p>
                  <w:pPr>
                    <w:pStyle w:val="68"/>
                    <w:rPr>
                      <w:color w:val="auto"/>
                    </w:rPr>
                  </w:pPr>
                  <w:r>
                    <w:rPr>
                      <w:rFonts w:hint="eastAsia"/>
                      <w:color w:val="auto"/>
                      <w:lang w:eastAsia="zh-CN"/>
                    </w:rPr>
                    <w:t>本项目餐厨垃圾处理车间全封闭，只留车辆进出口，车辆进出口设置卷帘门进行密闭，在车辆进出时，打开卷帘门，其余时间卷帘门均关闭，卸料全部在封闭车间内进行。</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卸料间受料槽应设置局部排风罩，排风罩设计风量应满足卸料时控制臭味外</w:t>
                  </w:r>
                  <w:r>
                    <w:rPr>
                      <w:rFonts w:hint="eastAsia"/>
                      <w:color w:val="auto"/>
                      <w:lang w:eastAsia="zh-CN"/>
                    </w:rPr>
                    <w:t>溢</w:t>
                  </w:r>
                  <w:r>
                    <w:rPr>
                      <w:rFonts w:hint="eastAsia"/>
                      <w:color w:val="auto"/>
                    </w:rPr>
                    <w:t>的需要，卸料间的通风换气次数不应小于3次/小时</w:t>
                  </w:r>
                </w:p>
              </w:tc>
              <w:tc>
                <w:tcPr>
                  <w:tcW w:w="3251" w:type="dxa"/>
                  <w:vAlign w:val="center"/>
                </w:tcPr>
                <w:p>
                  <w:pPr>
                    <w:pStyle w:val="68"/>
                    <w:rPr>
                      <w:color w:val="auto"/>
                    </w:rPr>
                  </w:pPr>
                  <w:r>
                    <w:rPr>
                      <w:rFonts w:hint="eastAsia"/>
                      <w:color w:val="auto"/>
                      <w:lang w:eastAsia="zh-CN"/>
                    </w:rPr>
                    <w:t>本项目餐厨垃圾处理车间全封闭，废气采用微负压风机进行收集，根据工程分析，本项目处置车间换气次数为6次/h。</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餐厨垃圾卸料间应设置地面和设备冲洗设施及冲洗水排放系统</w:t>
                  </w:r>
                </w:p>
              </w:tc>
              <w:tc>
                <w:tcPr>
                  <w:tcW w:w="3251" w:type="dxa"/>
                  <w:vAlign w:val="center"/>
                </w:tcPr>
                <w:p>
                  <w:pPr>
                    <w:pStyle w:val="68"/>
                    <w:rPr>
                      <w:color w:val="auto"/>
                    </w:rPr>
                  </w:pPr>
                  <w:r>
                    <w:rPr>
                      <w:rFonts w:hint="eastAsia"/>
                      <w:color w:val="auto"/>
                      <w:lang w:eastAsia="zh-CN"/>
                    </w:rPr>
                    <w:t>本项目定期对处置车间、运输车辆、设备进行清洗，处置车间和运输车辆采用高压水枪冲洗，设备自带冲洗设施，车间内设有污水管网，清洗废水通过D</w:t>
                  </w:r>
                  <w:r>
                    <w:rPr>
                      <w:color w:val="auto"/>
                      <w:lang w:eastAsia="zh-CN"/>
                    </w:rPr>
                    <w:t>N150</w:t>
                  </w:r>
                  <w:r>
                    <w:rPr>
                      <w:rFonts w:hint="eastAsia"/>
                      <w:color w:val="auto"/>
                      <w:lang w:eastAsia="zh-CN"/>
                    </w:rPr>
                    <w:t>污水管送入一体化污水站进行处置</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餐厨垃圾输送和卸料</w:t>
                  </w:r>
                  <w:r>
                    <w:rPr>
                      <w:rFonts w:hint="eastAsia"/>
                      <w:color w:val="auto"/>
                      <w:shd w:val="clear" w:fill="FFFFFF"/>
                    </w:rPr>
                    <w:t>倒</w:t>
                  </w:r>
                  <w:r>
                    <w:rPr>
                      <w:rFonts w:hint="eastAsia"/>
                      <w:color w:val="auto"/>
                    </w:rPr>
                    <w:t>料过程中应避免飞溅和</w:t>
                  </w:r>
                  <w:r>
                    <w:rPr>
                      <w:rFonts w:hint="eastAsia"/>
                      <w:color w:val="auto"/>
                      <w:shd w:val="clear" w:fill="FFFFFF"/>
                    </w:rPr>
                    <w:t>逸洒</w:t>
                  </w:r>
                </w:p>
              </w:tc>
              <w:tc>
                <w:tcPr>
                  <w:tcW w:w="3251" w:type="dxa"/>
                  <w:vAlign w:val="center"/>
                </w:tcPr>
                <w:p>
                  <w:pPr>
                    <w:pStyle w:val="68"/>
                    <w:rPr>
                      <w:rFonts w:hint="eastAsia" w:eastAsia="宋体"/>
                      <w:color w:val="auto"/>
                      <w:lang w:eastAsia="zh-CN"/>
                    </w:rPr>
                  </w:pPr>
                  <w:r>
                    <w:rPr>
                      <w:rFonts w:hint="eastAsia"/>
                      <w:color w:val="auto"/>
                      <w:lang w:eastAsia="zh-CN"/>
                    </w:rPr>
                    <w:t>操作工人严格按照要求操作，</w:t>
                  </w:r>
                  <w:r>
                    <w:rPr>
                      <w:rFonts w:hint="eastAsia"/>
                      <w:color w:val="auto"/>
                    </w:rPr>
                    <w:t>避免飞溅和</w:t>
                  </w:r>
                  <w:r>
                    <w:rPr>
                      <w:rFonts w:hint="eastAsia"/>
                      <w:color w:val="auto"/>
                      <w:shd w:val="clear" w:fill="FFFFFF"/>
                    </w:rPr>
                    <w:t>逸洒</w:t>
                  </w:r>
                  <w:r>
                    <w:rPr>
                      <w:rFonts w:hint="eastAsia"/>
                      <w:color w:val="auto"/>
                      <w:lang w:eastAsia="zh-CN"/>
                    </w:rPr>
                    <w:t>。</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采用螺旋输送机输送餐厨垃圾时，应符合下列规定：螺旋输送机的转速应能调节；螺旋输送机应具有防硬物卡死的功能；应具有自</w:t>
                  </w:r>
                  <w:r>
                    <w:rPr>
                      <w:rFonts w:hint="eastAsia"/>
                      <w:color w:val="auto"/>
                      <w:lang w:eastAsia="zh-CN"/>
                    </w:rPr>
                    <w:t>动</w:t>
                  </w:r>
                  <w:r>
                    <w:rPr>
                      <w:rFonts w:hint="eastAsia"/>
                      <w:color w:val="auto"/>
                    </w:rPr>
                    <w:t>清洗功能</w:t>
                  </w:r>
                </w:p>
              </w:tc>
              <w:tc>
                <w:tcPr>
                  <w:tcW w:w="3251" w:type="dxa"/>
                  <w:vAlign w:val="center"/>
                </w:tcPr>
                <w:p>
                  <w:pPr>
                    <w:pStyle w:val="68"/>
                    <w:rPr>
                      <w:rFonts w:hint="eastAsia" w:eastAsia="宋体"/>
                      <w:color w:val="auto"/>
                      <w:lang w:eastAsia="zh-CN"/>
                    </w:rPr>
                  </w:pPr>
                  <w:r>
                    <w:rPr>
                      <w:rFonts w:hint="eastAsia"/>
                      <w:color w:val="auto"/>
                      <w:lang w:eastAsia="zh-CN"/>
                    </w:rPr>
                    <w:t>本项目</w:t>
                  </w:r>
                  <w:r>
                    <w:rPr>
                      <w:rFonts w:hint="eastAsia"/>
                      <w:color w:val="auto"/>
                    </w:rPr>
                    <w:t>螺旋输送机的转速能</w:t>
                  </w:r>
                  <w:r>
                    <w:rPr>
                      <w:rFonts w:hint="eastAsia"/>
                      <w:color w:val="auto"/>
                      <w:lang w:eastAsia="zh-CN"/>
                    </w:rPr>
                    <w:t>自动</w:t>
                  </w:r>
                  <w:r>
                    <w:rPr>
                      <w:rFonts w:hint="eastAsia"/>
                      <w:color w:val="auto"/>
                    </w:rPr>
                    <w:t>调节；螺旋输送机具有防硬物卡死的功能；具有自</w:t>
                  </w:r>
                  <w:r>
                    <w:rPr>
                      <w:rFonts w:hint="eastAsia"/>
                      <w:color w:val="auto"/>
                      <w:lang w:eastAsia="zh-CN"/>
                    </w:rPr>
                    <w:t>动</w:t>
                  </w:r>
                  <w:r>
                    <w:rPr>
                      <w:rFonts w:hint="eastAsia"/>
                      <w:color w:val="auto"/>
                    </w:rPr>
                    <w:t>清洗功能</w:t>
                  </w:r>
                  <w:r>
                    <w:rPr>
                      <w:rFonts w:hint="eastAsia"/>
                      <w:color w:val="auto"/>
                      <w:lang w:eastAsia="zh-CN"/>
                    </w:rPr>
                    <w:t>。</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pPr>
                    <w:pStyle w:val="68"/>
                    <w:rPr>
                      <w:color w:val="auto"/>
                    </w:rPr>
                  </w:pPr>
                  <w:r>
                    <w:rPr>
                      <w:rFonts w:hint="eastAsia"/>
                      <w:color w:val="auto"/>
                    </w:rPr>
                    <w:t>餐厨垃圾处理工艺</w:t>
                  </w:r>
                </w:p>
              </w:tc>
              <w:tc>
                <w:tcPr>
                  <w:tcW w:w="3269" w:type="dxa"/>
                  <w:vAlign w:val="center"/>
                </w:tcPr>
                <w:p>
                  <w:pPr>
                    <w:pStyle w:val="68"/>
                    <w:rPr>
                      <w:color w:val="auto"/>
                    </w:rPr>
                  </w:pPr>
                  <w:r>
                    <w:rPr>
                      <w:rFonts w:hint="eastAsia"/>
                      <w:color w:val="auto"/>
                    </w:rPr>
                    <w:t>泔水油的分离应符合下列规定：</w:t>
                  </w:r>
                </w:p>
                <w:p>
                  <w:pPr>
                    <w:pStyle w:val="68"/>
                    <w:rPr>
                      <w:color w:val="auto"/>
                    </w:rPr>
                  </w:pPr>
                  <w:r>
                    <w:rPr>
                      <w:rFonts w:hint="eastAsia"/>
                      <w:color w:val="auto"/>
                    </w:rPr>
                    <w:t>应根据餐厨垃圾处理主体工艺的要求确定油脂分离及油脂分离工艺；餐厨垃圾液相油脂分离收集率应大于90%；餐厨垃圾液相油脂进行妥善处理和利用</w:t>
                  </w:r>
                </w:p>
              </w:tc>
              <w:tc>
                <w:tcPr>
                  <w:tcW w:w="3251" w:type="dxa"/>
                  <w:vAlign w:val="center"/>
                </w:tcPr>
                <w:p>
                  <w:pPr>
                    <w:pStyle w:val="68"/>
                    <w:rPr>
                      <w:color w:val="auto"/>
                    </w:rPr>
                  </w:pPr>
                  <w:r>
                    <w:rPr>
                      <w:rFonts w:hint="eastAsia"/>
                      <w:color w:val="auto"/>
                      <w:lang w:eastAsia="zh-CN"/>
                    </w:rPr>
                    <w:t>本项目采用三相分离工艺分类油脂、废水、干</w:t>
                  </w:r>
                  <w:r>
                    <w:rPr>
                      <w:rFonts w:hint="eastAsia"/>
                      <w:color w:val="auto"/>
                      <w:shd w:val="clear" w:fill="FFFFFF"/>
                      <w:lang w:eastAsia="zh-CN"/>
                    </w:rPr>
                    <w:t>渣</w:t>
                  </w:r>
                  <w:r>
                    <w:rPr>
                      <w:rFonts w:hint="eastAsia"/>
                      <w:color w:val="auto"/>
                      <w:lang w:eastAsia="zh-CN"/>
                    </w:rPr>
                    <w:t>，根据设计，粗油脂含水率控制在</w:t>
                  </w:r>
                  <w:r>
                    <w:rPr>
                      <w:color w:val="auto"/>
                      <w:lang w:eastAsia="zh-CN"/>
                    </w:rPr>
                    <w:t>5%</w:t>
                  </w:r>
                  <w:r>
                    <w:rPr>
                      <w:rFonts w:hint="eastAsia"/>
                      <w:color w:val="auto"/>
                      <w:lang w:eastAsia="zh-CN"/>
                    </w:rPr>
                    <w:t>，即含油率9</w:t>
                  </w:r>
                  <w:r>
                    <w:rPr>
                      <w:color w:val="auto"/>
                      <w:lang w:eastAsia="zh-CN"/>
                    </w:rPr>
                    <w:t>5%</w:t>
                  </w:r>
                  <w:r>
                    <w:rPr>
                      <w:rFonts w:hint="eastAsia"/>
                      <w:color w:val="auto"/>
                      <w:lang w:eastAsia="zh-CN"/>
                    </w:rPr>
                    <w:t>，粗油脂</w:t>
                  </w:r>
                  <w:r>
                    <w:rPr>
                      <w:rFonts w:hint="eastAsia"/>
                      <w:color w:val="auto"/>
                      <w:shd w:val="clear" w:fill="FFFFFF"/>
                      <w:lang w:eastAsia="zh-CN"/>
                    </w:rPr>
                    <w:t>外售</w:t>
                  </w:r>
                  <w:r>
                    <w:rPr>
                      <w:color w:val="auto"/>
                      <w:lang w:eastAsia="zh-CN"/>
                    </w:rPr>
                    <w:t>四川蓝邦新能源科技有限公司</w:t>
                  </w:r>
                  <w:r>
                    <w:rPr>
                      <w:rFonts w:hint="eastAsia"/>
                      <w:color w:val="auto"/>
                      <w:lang w:eastAsia="zh-CN"/>
                    </w:rPr>
                    <w:t>作为生物柴油原料使用。</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lang w:eastAsia="zh-CN"/>
                    </w:rPr>
                  </w:pPr>
                  <w:r>
                    <w:rPr>
                      <w:rFonts w:hint="eastAsia"/>
                      <w:color w:val="auto"/>
                      <w:lang w:eastAsia="zh-CN"/>
                    </w:rPr>
                    <w:t>利用湿热处理方法对餐厨垃圾进行预处理时，湿热处理温度宜为1</w:t>
                  </w:r>
                  <w:r>
                    <w:rPr>
                      <w:color w:val="auto"/>
                      <w:lang w:eastAsia="zh-CN"/>
                    </w:rPr>
                    <w:t>20</w:t>
                  </w:r>
                  <w:r>
                    <w:rPr>
                      <w:rFonts w:hint="eastAsia"/>
                      <w:color w:val="auto"/>
                      <w:lang w:eastAsia="zh-CN"/>
                    </w:rPr>
                    <w:t>℃</w:t>
                  </w:r>
                  <w:r>
                    <w:rPr>
                      <w:color w:val="auto"/>
                      <w:lang w:eastAsia="zh-CN"/>
                    </w:rPr>
                    <w:t>~160</w:t>
                  </w:r>
                  <w:r>
                    <w:rPr>
                      <w:rFonts w:hint="eastAsia"/>
                      <w:color w:val="auto"/>
                      <w:lang w:eastAsia="zh-CN"/>
                    </w:rPr>
                    <w:t>℃，处理时间不应小于2</w:t>
                  </w:r>
                  <w:r>
                    <w:rPr>
                      <w:color w:val="auto"/>
                      <w:lang w:eastAsia="zh-CN"/>
                    </w:rPr>
                    <w:t>0</w:t>
                  </w:r>
                  <w:r>
                    <w:rPr>
                      <w:rFonts w:hint="eastAsia"/>
                      <w:color w:val="auto"/>
                      <w:lang w:eastAsia="zh-CN"/>
                    </w:rPr>
                    <w:t>min</w:t>
                  </w:r>
                </w:p>
              </w:tc>
              <w:tc>
                <w:tcPr>
                  <w:tcW w:w="3251" w:type="dxa"/>
                  <w:vAlign w:val="center"/>
                </w:tcPr>
                <w:p>
                  <w:pPr>
                    <w:pStyle w:val="68"/>
                    <w:rPr>
                      <w:color w:val="auto"/>
                      <w:lang w:eastAsia="zh-CN"/>
                    </w:rPr>
                  </w:pPr>
                  <w:r>
                    <w:rPr>
                      <w:rFonts w:hint="eastAsia"/>
                      <w:color w:val="auto"/>
                      <w:lang w:eastAsia="zh-CN"/>
                    </w:rPr>
                    <w:t>本项目三相分离设备采用特种钢材制成，具有耐高温的特性，本项目对餐厨垃圾进行湿热处理温度设置为1</w:t>
                  </w:r>
                  <w:r>
                    <w:rPr>
                      <w:color w:val="auto"/>
                      <w:lang w:eastAsia="zh-CN"/>
                    </w:rPr>
                    <w:t>20</w:t>
                  </w:r>
                  <w:r>
                    <w:rPr>
                      <w:rFonts w:hint="eastAsia"/>
                      <w:color w:val="auto"/>
                      <w:lang w:eastAsia="zh-CN"/>
                    </w:rPr>
                    <w:t>℃，单次处理时间为2</w:t>
                  </w:r>
                  <w:r>
                    <w:rPr>
                      <w:color w:val="auto"/>
                      <w:lang w:eastAsia="zh-CN"/>
                    </w:rPr>
                    <w:t>5</w:t>
                  </w:r>
                  <w:r>
                    <w:rPr>
                      <w:rFonts w:hint="eastAsia"/>
                      <w:color w:val="auto"/>
                      <w:lang w:eastAsia="zh-CN"/>
                    </w:rPr>
                    <w:t>min。</w:t>
                  </w:r>
                </w:p>
              </w:tc>
              <w:tc>
                <w:tcPr>
                  <w:tcW w:w="804" w:type="dxa"/>
                  <w:vAlign w:val="center"/>
                </w:tcPr>
                <w:p>
                  <w:pPr>
                    <w:pStyle w:val="68"/>
                    <w:rPr>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lang w:eastAsia="zh-CN"/>
                    </w:rPr>
                  </w:pPr>
                  <w:r>
                    <w:rPr>
                      <w:rFonts w:hint="eastAsia"/>
                      <w:color w:val="auto"/>
                      <w:lang w:eastAsia="zh-CN"/>
                    </w:rPr>
                    <w:t>餐厨垃圾采用好氧堆肥方式处理时，应对餐厨垃圾进行水分调节、盐分调节、脱油、碳氮比调节等处理，物料粒径应控制在50mm以内，含水率宜为45%～65%，碳氮比宜为（20~30）：1</w:t>
                  </w:r>
                </w:p>
              </w:tc>
              <w:tc>
                <w:tcPr>
                  <w:tcW w:w="3251" w:type="dxa"/>
                  <w:vAlign w:val="center"/>
                </w:tcPr>
                <w:p>
                  <w:pPr>
                    <w:pStyle w:val="68"/>
                    <w:rPr>
                      <w:color w:val="auto"/>
                      <w:lang w:eastAsia="zh-CN"/>
                    </w:rPr>
                  </w:pPr>
                  <w:r>
                    <w:rPr>
                      <w:rFonts w:hint="eastAsia"/>
                      <w:color w:val="auto"/>
                      <w:lang w:eastAsia="zh-CN"/>
                    </w:rPr>
                    <w:t>本项目三相分离后的固</w:t>
                  </w:r>
                  <w:r>
                    <w:rPr>
                      <w:rFonts w:hint="eastAsia"/>
                      <w:color w:val="auto"/>
                      <w:shd w:val="clear" w:fill="FFFFFF"/>
                      <w:lang w:eastAsia="zh-CN"/>
                    </w:rPr>
                    <w:t>废</w:t>
                  </w:r>
                  <w:r>
                    <w:rPr>
                      <w:rFonts w:hint="eastAsia"/>
                      <w:color w:val="auto"/>
                      <w:lang w:eastAsia="zh-CN"/>
                    </w:rPr>
                    <w:t>采用好氧发酵仓制备成有机肥原料，通过投入微生物发酵菌剂调节碳氮比，由于本项目收集的餐厨垃圾主要为食材废料、泔水、隔油池废油等，很少有大块的餐厨垃圾，其粒径在50mm以内，好氧发酵含水率控制在5</w:t>
                  </w:r>
                  <w:r>
                    <w:rPr>
                      <w:color w:val="auto"/>
                      <w:lang w:eastAsia="zh-CN"/>
                    </w:rPr>
                    <w:t>5%</w:t>
                  </w:r>
                  <w:r>
                    <w:rPr>
                      <w:rFonts w:hint="eastAsia"/>
                      <w:color w:val="auto"/>
                      <w:lang w:eastAsia="zh-CN"/>
                    </w:rPr>
                    <w:t>左右，碳氮比控制在2</w:t>
                  </w:r>
                  <w:r>
                    <w:rPr>
                      <w:color w:val="auto"/>
                      <w:lang w:eastAsia="zh-CN"/>
                    </w:rPr>
                    <w:t>5</w:t>
                  </w:r>
                  <w:r>
                    <w:rPr>
                      <w:rFonts w:hint="eastAsia"/>
                      <w:color w:val="auto"/>
                      <w:lang w:eastAsia="zh-CN"/>
                    </w:rPr>
                    <w:t>:1左右。</w:t>
                  </w:r>
                </w:p>
              </w:tc>
              <w:tc>
                <w:tcPr>
                  <w:tcW w:w="804" w:type="dxa"/>
                  <w:vAlign w:val="center"/>
                </w:tcPr>
                <w:p>
                  <w:pPr>
                    <w:pStyle w:val="68"/>
                    <w:rPr>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餐厨垃圾的输送、处理各环节应做到密闭，并应设置臭味收集、处理设施，不能密闭的部位应设置局部排风除臭装置</w:t>
                  </w:r>
                </w:p>
              </w:tc>
              <w:tc>
                <w:tcPr>
                  <w:tcW w:w="3251" w:type="dxa"/>
                  <w:vAlign w:val="center"/>
                </w:tcPr>
                <w:p>
                  <w:pPr>
                    <w:pStyle w:val="68"/>
                    <w:rPr>
                      <w:color w:val="auto"/>
                    </w:rPr>
                  </w:pPr>
                  <w:r>
                    <w:rPr>
                      <w:rFonts w:hint="eastAsia"/>
                      <w:snapToGrid w:val="0"/>
                      <w:color w:val="auto"/>
                      <w:lang w:val="en-US" w:eastAsia="zh-CN"/>
                    </w:rPr>
                    <w:t>本项目处置车间设置为</w:t>
                  </w:r>
                  <w:r>
                    <w:rPr>
                      <w:rFonts w:hint="eastAsia"/>
                      <w:color w:val="auto"/>
                      <w:lang w:eastAsia="zh-CN"/>
                    </w:rPr>
                    <w:t>全封闭，只留车辆进出口，车辆进出口设置卷帘门进行密闭，在车辆进出时，打开卷帘门，其余时间卷帘门均关闭，</w:t>
                  </w:r>
                  <w:r>
                    <w:rPr>
                      <w:rFonts w:hint="eastAsia"/>
                      <w:snapToGrid w:val="0"/>
                      <w:color w:val="auto"/>
                      <w:lang w:val="en-US" w:eastAsia="zh-CN"/>
                    </w:rPr>
                    <w:t>恶臭通过微负压风机收集后采用生物洗涤塔处理，经1</w:t>
                  </w:r>
                  <w:r>
                    <w:rPr>
                      <w:snapToGrid w:val="0"/>
                      <w:color w:val="auto"/>
                      <w:lang w:val="en-US" w:eastAsia="zh-CN"/>
                    </w:rPr>
                    <w:t>5</w:t>
                  </w:r>
                  <w:r>
                    <w:rPr>
                      <w:rFonts w:hint="eastAsia"/>
                      <w:snapToGrid w:val="0"/>
                      <w:color w:val="auto"/>
                      <w:lang w:val="en-US" w:eastAsia="zh-CN"/>
                    </w:rPr>
                    <w:t>m高D</w:t>
                  </w:r>
                  <w:r>
                    <w:rPr>
                      <w:snapToGrid w:val="0"/>
                      <w:color w:val="auto"/>
                      <w:lang w:val="en-US" w:eastAsia="zh-CN"/>
                    </w:rPr>
                    <w:t>A001</w:t>
                  </w:r>
                  <w:r>
                    <w:rPr>
                      <w:rFonts w:hint="eastAsia"/>
                      <w:snapToGrid w:val="0"/>
                      <w:color w:val="auto"/>
                      <w:lang w:val="en-US" w:eastAsia="zh-CN"/>
                    </w:rPr>
                    <w:t>排气筒排放。</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车间内粉尘及有害气体浓度应符合现行国家标准《工业企业设计卫生标准》GBZ1 的有关规定，集中排放气体和</w:t>
                  </w:r>
                  <w:r>
                    <w:rPr>
                      <w:rFonts w:hint="eastAsia"/>
                      <w:color w:val="auto"/>
                      <w:shd w:val="clear" w:fill="FFFFFF"/>
                    </w:rPr>
                    <w:t>厂</w:t>
                  </w:r>
                  <w:r>
                    <w:rPr>
                      <w:rFonts w:hint="eastAsia"/>
                      <w:color w:val="auto"/>
                    </w:rPr>
                    <w:t>界大气的恶臭气体浓度应符合现行国家标准《恶臭污染物排放标准》GB14554 的有关规定</w:t>
                  </w:r>
                </w:p>
              </w:tc>
              <w:tc>
                <w:tcPr>
                  <w:tcW w:w="3251" w:type="dxa"/>
                  <w:vAlign w:val="center"/>
                </w:tcPr>
                <w:p>
                  <w:pPr>
                    <w:pStyle w:val="68"/>
                    <w:rPr>
                      <w:color w:val="auto"/>
                    </w:rPr>
                  </w:pPr>
                  <w:r>
                    <w:rPr>
                      <w:rFonts w:hint="eastAsia"/>
                      <w:snapToGrid w:val="0"/>
                      <w:color w:val="auto"/>
                      <w:lang w:val="en-US" w:eastAsia="zh-CN"/>
                    </w:rPr>
                    <w:t>本项目处置车间恶臭通过微负压风机收集后采用生物洗涤塔处理，经1</w:t>
                  </w:r>
                  <w:r>
                    <w:rPr>
                      <w:snapToGrid w:val="0"/>
                      <w:color w:val="auto"/>
                      <w:lang w:val="en-US" w:eastAsia="zh-CN"/>
                    </w:rPr>
                    <w:t>5</w:t>
                  </w:r>
                  <w:r>
                    <w:rPr>
                      <w:rFonts w:hint="eastAsia"/>
                      <w:snapToGrid w:val="0"/>
                      <w:color w:val="auto"/>
                      <w:lang w:val="en-US" w:eastAsia="zh-CN"/>
                    </w:rPr>
                    <w:t>m高D</w:t>
                  </w:r>
                  <w:r>
                    <w:rPr>
                      <w:snapToGrid w:val="0"/>
                      <w:color w:val="auto"/>
                      <w:lang w:val="en-US" w:eastAsia="zh-CN"/>
                    </w:rPr>
                    <w:t>A001</w:t>
                  </w:r>
                  <w:r>
                    <w:rPr>
                      <w:rFonts w:hint="eastAsia"/>
                      <w:snapToGrid w:val="0"/>
                      <w:color w:val="auto"/>
                      <w:lang w:val="en-US" w:eastAsia="zh-CN"/>
                    </w:rPr>
                    <w:t>排气筒排放，本项目处置车间内不涉及粉尘的排放。</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餐厨垃圾处理过程中产生的污水应得到有效收集和妥善处理，不得污染环境</w:t>
                  </w:r>
                </w:p>
              </w:tc>
              <w:tc>
                <w:tcPr>
                  <w:tcW w:w="3251" w:type="dxa"/>
                  <w:vAlign w:val="center"/>
                </w:tcPr>
                <w:p>
                  <w:pPr>
                    <w:pStyle w:val="68"/>
                    <w:rPr>
                      <w:color w:val="auto"/>
                      <w:lang w:eastAsia="zh-CN"/>
                    </w:rPr>
                  </w:pPr>
                  <w:r>
                    <w:rPr>
                      <w:rFonts w:hint="eastAsia"/>
                      <w:color w:val="auto"/>
                      <w:lang w:eastAsia="zh-CN"/>
                    </w:rPr>
                    <w:t>本项目生产废水经一体化污水处理后暂存于污水池，定期采用罐车输送至彩云镇生活污水处理站进行处置。</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餐厨垃圾处理过程中产生的废渣应得到无害化处理</w:t>
                  </w:r>
                </w:p>
              </w:tc>
              <w:tc>
                <w:tcPr>
                  <w:tcW w:w="3251" w:type="dxa"/>
                  <w:vAlign w:val="center"/>
                </w:tcPr>
                <w:p>
                  <w:pPr>
                    <w:pStyle w:val="68"/>
                    <w:rPr>
                      <w:color w:val="auto"/>
                    </w:rPr>
                  </w:pPr>
                  <w:r>
                    <w:rPr>
                      <w:rFonts w:hint="eastAsia"/>
                      <w:color w:val="auto"/>
                      <w:lang w:val="en-US" w:eastAsia="zh-CN"/>
                    </w:rPr>
                    <w:t>本项目废渣经好氧发酵成有机肥原料后，外</w:t>
                  </w:r>
                  <w:r>
                    <w:rPr>
                      <w:rFonts w:hint="eastAsia"/>
                      <w:color w:val="auto"/>
                      <w:shd w:val="clear" w:fill="FFFFFF"/>
                      <w:lang w:val="en-US" w:eastAsia="zh-CN"/>
                    </w:rPr>
                    <w:t>售</w:t>
                  </w:r>
                  <w:r>
                    <w:rPr>
                      <w:rFonts w:hint="eastAsia"/>
                      <w:color w:val="auto"/>
                      <w:shd w:val="clear" w:fill="FFFFFF"/>
                      <w:lang w:val="en-US"/>
                    </w:rPr>
                    <w:t>至</w:t>
                  </w:r>
                  <w:r>
                    <w:rPr>
                      <w:rFonts w:hint="eastAsia"/>
                      <w:color w:val="auto"/>
                      <w:lang w:val="en-US" w:eastAsia="zh-CN"/>
                    </w:rPr>
                    <w:t>师宗县周边有机肥厂家。</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噪声大的设备应采取隔声、吸声、降噪等措施。作业区的噪声应符合现行国家标准《工业企业设计卫生标准》GBZ1 的规定，厂界噪声应符合《工业企业厂界环境噪声排放标准》（GB12348-2008）的规定</w:t>
                  </w:r>
                </w:p>
              </w:tc>
              <w:tc>
                <w:tcPr>
                  <w:tcW w:w="3251" w:type="dxa"/>
                  <w:vAlign w:val="center"/>
                </w:tcPr>
                <w:p>
                  <w:pPr>
                    <w:pStyle w:val="68"/>
                    <w:rPr>
                      <w:color w:val="auto"/>
                      <w:lang w:eastAsia="zh-CN"/>
                    </w:rPr>
                  </w:pPr>
                  <w:r>
                    <w:rPr>
                      <w:rFonts w:hint="eastAsia"/>
                      <w:color w:val="auto"/>
                      <w:lang w:eastAsia="zh-CN"/>
                    </w:rPr>
                    <w:t>根据预测分析，运营期厂界噪声满足</w:t>
                  </w:r>
                  <w:r>
                    <w:rPr>
                      <w:rFonts w:hint="eastAsia"/>
                      <w:color w:val="auto"/>
                    </w:rPr>
                    <w:t>《工业企业厂界环境噪声排放标准》（GB12348-2008）</w:t>
                  </w:r>
                  <w:r>
                    <w:rPr>
                      <w:rFonts w:hint="eastAsia"/>
                      <w:color w:val="auto"/>
                      <w:lang w:eastAsia="zh-CN"/>
                    </w:rPr>
                    <w:t>2类标准限值。</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餐厨垃圾处理厂应具备常规的</w:t>
                  </w:r>
                  <w:r>
                    <w:rPr>
                      <w:rFonts w:hint="eastAsia"/>
                      <w:color w:val="auto"/>
                      <w:lang w:val="en-US" w:eastAsia="zh-CN"/>
                    </w:rPr>
                    <w:t>监</w:t>
                  </w:r>
                  <w:r>
                    <w:rPr>
                      <w:rFonts w:hint="eastAsia"/>
                      <w:color w:val="auto"/>
                    </w:rPr>
                    <w:t>测设施和设备，并应定期对工作</w:t>
                  </w:r>
                </w:p>
                <w:p>
                  <w:pPr>
                    <w:pStyle w:val="68"/>
                    <w:rPr>
                      <w:color w:val="auto"/>
                    </w:rPr>
                  </w:pPr>
                  <w:r>
                    <w:rPr>
                      <w:rFonts w:hint="eastAsia"/>
                      <w:color w:val="auto"/>
                    </w:rPr>
                    <w:t>场所和</w:t>
                  </w:r>
                  <w:r>
                    <w:rPr>
                      <w:rFonts w:hint="eastAsia"/>
                      <w:color w:val="auto"/>
                      <w:shd w:val="clear" w:fill="FFFFFF"/>
                    </w:rPr>
                    <w:t>厂界</w:t>
                  </w:r>
                  <w:r>
                    <w:rPr>
                      <w:rFonts w:hint="eastAsia"/>
                      <w:color w:val="auto"/>
                    </w:rPr>
                    <w:t>进行环境监测</w:t>
                  </w:r>
                </w:p>
              </w:tc>
              <w:tc>
                <w:tcPr>
                  <w:tcW w:w="3251" w:type="dxa"/>
                  <w:vAlign w:val="center"/>
                </w:tcPr>
                <w:p>
                  <w:pPr>
                    <w:pStyle w:val="68"/>
                    <w:rPr>
                      <w:color w:val="auto"/>
                    </w:rPr>
                  </w:pPr>
                  <w:r>
                    <w:rPr>
                      <w:rFonts w:hint="eastAsia"/>
                      <w:color w:val="auto"/>
                      <w:lang w:eastAsia="zh-CN"/>
                    </w:rPr>
                    <w:t>项目投入运营后委托第三方检测机构，定期开展自行监测。</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pPr>
                    <w:pStyle w:val="68"/>
                    <w:rPr>
                      <w:color w:val="auto"/>
                    </w:rPr>
                  </w:pPr>
                </w:p>
              </w:tc>
              <w:tc>
                <w:tcPr>
                  <w:tcW w:w="3269" w:type="dxa"/>
                  <w:vAlign w:val="center"/>
                </w:tcPr>
                <w:p>
                  <w:pPr>
                    <w:pStyle w:val="68"/>
                    <w:rPr>
                      <w:color w:val="auto"/>
                    </w:rPr>
                  </w:pPr>
                  <w:r>
                    <w:rPr>
                      <w:rFonts w:hint="eastAsia"/>
                      <w:color w:val="auto"/>
                    </w:rPr>
                    <w:t>餐厨垃圾处理厂工作场所环境监测内容应包括：</w:t>
                  </w:r>
                </w:p>
                <w:p>
                  <w:pPr>
                    <w:pStyle w:val="68"/>
                    <w:rPr>
                      <w:color w:val="auto"/>
                    </w:rPr>
                  </w:pPr>
                  <w:r>
                    <w:rPr>
                      <w:rFonts w:hint="eastAsia"/>
                      <w:color w:val="auto"/>
                    </w:rPr>
                    <w:t>噪声、粉尘、有害气体（H</w:t>
                  </w:r>
                  <w:r>
                    <w:rPr>
                      <w:rFonts w:hint="eastAsia"/>
                      <w:color w:val="auto"/>
                      <w:vertAlign w:val="subscript"/>
                    </w:rPr>
                    <w:t>2</w:t>
                  </w:r>
                  <w:r>
                    <w:rPr>
                      <w:rFonts w:hint="eastAsia"/>
                      <w:color w:val="auto"/>
                    </w:rPr>
                    <w:t>S、NH</w:t>
                  </w:r>
                  <w:r>
                    <w:rPr>
                      <w:rFonts w:hint="eastAsia"/>
                      <w:color w:val="auto"/>
                      <w:vertAlign w:val="subscript"/>
                    </w:rPr>
                    <w:t>3</w:t>
                  </w:r>
                  <w:r>
                    <w:rPr>
                      <w:rFonts w:hint="eastAsia"/>
                      <w:color w:val="auto"/>
                    </w:rPr>
                    <w:t>等）、空气中细菌总数、苍蝇密度等。排气口监测内容包括：粉尘、有害气体（H</w:t>
                  </w:r>
                  <w:r>
                    <w:rPr>
                      <w:rFonts w:hint="eastAsia"/>
                      <w:color w:val="auto"/>
                      <w:vertAlign w:val="subscript"/>
                    </w:rPr>
                    <w:t>2</w:t>
                  </w:r>
                  <w:r>
                    <w:rPr>
                      <w:rFonts w:hint="eastAsia"/>
                      <w:color w:val="auto"/>
                    </w:rPr>
                    <w:t>S、SO</w:t>
                  </w:r>
                  <w:r>
                    <w:rPr>
                      <w:rFonts w:hint="eastAsia"/>
                      <w:color w:val="auto"/>
                      <w:vertAlign w:val="subscript"/>
                    </w:rPr>
                    <w:t>2</w:t>
                  </w:r>
                  <w:r>
                    <w:rPr>
                      <w:rFonts w:hint="eastAsia"/>
                      <w:color w:val="auto"/>
                    </w:rPr>
                    <w:t>、NH</w:t>
                  </w:r>
                  <w:r>
                    <w:rPr>
                      <w:rFonts w:hint="eastAsia"/>
                      <w:color w:val="auto"/>
                      <w:vertAlign w:val="subscript"/>
                    </w:rPr>
                    <w:t>3</w:t>
                  </w:r>
                  <w:r>
                    <w:rPr>
                      <w:rFonts w:hint="eastAsia"/>
                      <w:color w:val="auto"/>
                    </w:rPr>
                    <w:t>等）。</w:t>
                  </w:r>
                  <w:r>
                    <w:rPr>
                      <w:rFonts w:hint="eastAsia"/>
                      <w:color w:val="auto"/>
                      <w:shd w:val="clear" w:fill="FFFFFF"/>
                    </w:rPr>
                    <w:t>厂</w:t>
                  </w:r>
                  <w:r>
                    <w:rPr>
                      <w:rFonts w:hint="eastAsia"/>
                      <w:color w:val="auto"/>
                    </w:rPr>
                    <w:t>界环境监测内容应包括：噪声、总悬浮颗粒物TSP、有害气体（H</w:t>
                  </w:r>
                  <w:r>
                    <w:rPr>
                      <w:rFonts w:hint="eastAsia"/>
                      <w:color w:val="auto"/>
                      <w:vertAlign w:val="subscript"/>
                    </w:rPr>
                    <w:t>2</w:t>
                  </w:r>
                  <w:r>
                    <w:rPr>
                      <w:rFonts w:hint="eastAsia"/>
                      <w:color w:val="auto"/>
                    </w:rPr>
                    <w:t>S、SO</w:t>
                  </w:r>
                  <w:r>
                    <w:rPr>
                      <w:rFonts w:hint="eastAsia"/>
                      <w:color w:val="auto"/>
                      <w:vertAlign w:val="subscript"/>
                    </w:rPr>
                    <w:t>2</w:t>
                  </w:r>
                  <w:r>
                    <w:rPr>
                      <w:rFonts w:hint="eastAsia"/>
                      <w:color w:val="auto"/>
                    </w:rPr>
                    <w:t>、NH</w:t>
                  </w:r>
                  <w:r>
                    <w:rPr>
                      <w:rFonts w:hint="eastAsia"/>
                      <w:color w:val="auto"/>
                      <w:vertAlign w:val="subscript"/>
                    </w:rPr>
                    <w:t>3</w:t>
                  </w:r>
                  <w:r>
                    <w:rPr>
                      <w:rFonts w:hint="eastAsia"/>
                      <w:color w:val="auto"/>
                    </w:rPr>
                    <w:t xml:space="preserve"> 等）、苍蝇密度、排放污水水质指标（BOD</w:t>
                  </w:r>
                  <w:r>
                    <w:rPr>
                      <w:rFonts w:hint="eastAsia"/>
                      <w:color w:val="auto"/>
                      <w:vertAlign w:val="subscript"/>
                    </w:rPr>
                    <w:t>5</w:t>
                  </w:r>
                  <w:r>
                    <w:rPr>
                      <w:rFonts w:hint="eastAsia"/>
                      <w:color w:val="auto"/>
                    </w:rPr>
                    <w:t>、</w:t>
                  </w:r>
                  <w:r>
                    <w:rPr>
                      <w:rFonts w:hint="eastAsia"/>
                      <w:color w:val="auto"/>
                      <w:shd w:val="clear" w:fill="FFFFFF"/>
                    </w:rPr>
                    <w:t>CODcr</w:t>
                  </w:r>
                  <w:r>
                    <w:rPr>
                      <w:rFonts w:hint="eastAsia"/>
                      <w:color w:val="auto"/>
                    </w:rPr>
                    <w:t>、氨氮等）</w:t>
                  </w:r>
                </w:p>
              </w:tc>
              <w:tc>
                <w:tcPr>
                  <w:tcW w:w="3251" w:type="dxa"/>
                  <w:vAlign w:val="center"/>
                </w:tcPr>
                <w:p>
                  <w:pPr>
                    <w:pStyle w:val="68"/>
                    <w:rPr>
                      <w:color w:val="auto"/>
                    </w:rPr>
                  </w:pPr>
                  <w:r>
                    <w:rPr>
                      <w:rFonts w:hint="eastAsia"/>
                      <w:color w:val="auto"/>
                      <w:lang w:eastAsia="zh-CN"/>
                    </w:rPr>
                    <w:t>本项目运营期严格按照《排污许可证申请与核发技术规范 环境卫生管理业》（H1106-2020）要求开展自行监测。</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pPr>
                    <w:pStyle w:val="68"/>
                    <w:rPr>
                      <w:color w:val="auto"/>
                    </w:rPr>
                  </w:pPr>
                  <w:r>
                    <w:rPr>
                      <w:rFonts w:hint="eastAsia"/>
                      <w:color w:val="auto"/>
                      <w:lang w:eastAsia="zh-CN"/>
                    </w:rPr>
                    <w:t>采</w:t>
                  </w:r>
                  <w:r>
                    <w:rPr>
                      <w:rFonts w:hint="eastAsia"/>
                      <w:color w:val="auto"/>
                    </w:rPr>
                    <w:t>暖、通风与空调</w:t>
                  </w:r>
                </w:p>
              </w:tc>
              <w:tc>
                <w:tcPr>
                  <w:tcW w:w="3269" w:type="dxa"/>
                  <w:vAlign w:val="center"/>
                </w:tcPr>
                <w:p>
                  <w:pPr>
                    <w:pStyle w:val="68"/>
                    <w:rPr>
                      <w:color w:val="auto"/>
                    </w:rPr>
                  </w:pPr>
                  <w:r>
                    <w:rPr>
                      <w:rFonts w:hint="eastAsia"/>
                      <w:color w:val="auto"/>
                    </w:rPr>
                    <w:t>易产生挥发气体和臭味的部位应设置通风除臭设施。散发少量挥发性气体和恶臭的部位或房间，可采用全面通风工艺，全面通风换气次数不宜</w:t>
                  </w:r>
                  <w:r>
                    <w:rPr>
                      <w:rFonts w:hint="eastAsia"/>
                      <w:color w:val="auto"/>
                      <w:shd w:val="clear" w:fill="FFFFFF"/>
                    </w:rPr>
                    <w:t>小于</w:t>
                  </w:r>
                  <w:r>
                    <w:rPr>
                      <w:rFonts w:hint="eastAsia"/>
                      <w:color w:val="auto"/>
                    </w:rPr>
                    <w:t>3次/h。散发较多挥发性气体和臭味的部位或房间，应采用局部机械排风除臭的通风工艺</w:t>
                  </w:r>
                </w:p>
              </w:tc>
              <w:tc>
                <w:tcPr>
                  <w:tcW w:w="3251" w:type="dxa"/>
                  <w:vAlign w:val="center"/>
                </w:tcPr>
                <w:p>
                  <w:pPr>
                    <w:pStyle w:val="68"/>
                    <w:rPr>
                      <w:color w:val="auto"/>
                    </w:rPr>
                  </w:pPr>
                  <w:r>
                    <w:rPr>
                      <w:rFonts w:hint="eastAsia"/>
                      <w:snapToGrid w:val="0"/>
                      <w:color w:val="auto"/>
                      <w:lang w:val="en-US" w:eastAsia="zh-CN"/>
                    </w:rPr>
                    <w:t>本项目处置车间恶臭通过微负压风机收集后采用生物洗涤塔处理，经1</w:t>
                  </w:r>
                  <w:r>
                    <w:rPr>
                      <w:snapToGrid w:val="0"/>
                      <w:color w:val="auto"/>
                      <w:lang w:val="en-US" w:eastAsia="zh-CN"/>
                    </w:rPr>
                    <w:t>5</w:t>
                  </w:r>
                  <w:r>
                    <w:rPr>
                      <w:rFonts w:hint="eastAsia"/>
                      <w:snapToGrid w:val="0"/>
                      <w:color w:val="auto"/>
                      <w:lang w:val="en-US" w:eastAsia="zh-CN"/>
                    </w:rPr>
                    <w:t>m高D</w:t>
                  </w:r>
                  <w:r>
                    <w:rPr>
                      <w:snapToGrid w:val="0"/>
                      <w:color w:val="auto"/>
                      <w:lang w:val="en-US" w:eastAsia="zh-CN"/>
                    </w:rPr>
                    <w:t>A001</w:t>
                  </w:r>
                  <w:r>
                    <w:rPr>
                      <w:rFonts w:hint="eastAsia"/>
                      <w:snapToGrid w:val="0"/>
                      <w:color w:val="auto"/>
                      <w:lang w:val="en-US" w:eastAsia="zh-CN"/>
                    </w:rPr>
                    <w:t>排气筒排放，本项目微负压换气次数为6次/h。</w:t>
                  </w:r>
                </w:p>
              </w:tc>
              <w:tc>
                <w:tcPr>
                  <w:tcW w:w="804" w:type="dxa"/>
                  <w:vAlign w:val="center"/>
                </w:tcPr>
                <w:p>
                  <w:pPr>
                    <w:pStyle w:val="68"/>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pPr>
                    <w:pStyle w:val="68"/>
                    <w:rPr>
                      <w:color w:val="auto"/>
                    </w:rPr>
                  </w:pPr>
                  <w:r>
                    <w:rPr>
                      <w:rFonts w:hint="eastAsia"/>
                      <w:color w:val="auto"/>
                    </w:rPr>
                    <w:t>工程竣工及验收</w:t>
                  </w:r>
                </w:p>
              </w:tc>
              <w:tc>
                <w:tcPr>
                  <w:tcW w:w="3269" w:type="dxa"/>
                  <w:vAlign w:val="center"/>
                </w:tcPr>
                <w:p>
                  <w:pPr>
                    <w:pStyle w:val="68"/>
                    <w:rPr>
                      <w:color w:val="auto"/>
                    </w:rPr>
                  </w:pPr>
                  <w:r>
                    <w:rPr>
                      <w:rFonts w:hint="eastAsia"/>
                      <w:color w:val="auto"/>
                    </w:rPr>
                    <w:t>餐厨垃圾处理厂竣工验收前，严禁处理生产线投入使用</w:t>
                  </w:r>
                </w:p>
              </w:tc>
              <w:tc>
                <w:tcPr>
                  <w:tcW w:w="3251" w:type="dxa"/>
                  <w:vAlign w:val="center"/>
                </w:tcPr>
                <w:p>
                  <w:pPr>
                    <w:pStyle w:val="68"/>
                    <w:rPr>
                      <w:color w:val="auto"/>
                      <w:lang w:eastAsia="zh-CN"/>
                    </w:rPr>
                  </w:pPr>
                  <w:r>
                    <w:rPr>
                      <w:rFonts w:hint="eastAsia"/>
                      <w:color w:val="auto"/>
                      <w:lang w:eastAsia="zh-CN"/>
                    </w:rPr>
                    <w:t>本项目建成后，严格按照要求开展竣工环境保护自主验收。</w:t>
                  </w:r>
                </w:p>
              </w:tc>
              <w:tc>
                <w:tcPr>
                  <w:tcW w:w="804" w:type="dxa"/>
                  <w:vAlign w:val="center"/>
                </w:tcPr>
                <w:p>
                  <w:pPr>
                    <w:pStyle w:val="68"/>
                    <w:rPr>
                      <w:color w:val="auto"/>
                    </w:rPr>
                  </w:pPr>
                  <w:r>
                    <w:rPr>
                      <w:rFonts w:hint="eastAsia"/>
                      <w:color w:val="auto"/>
                      <w:lang w:eastAsia="zh-CN"/>
                    </w:rPr>
                    <w:t>符合</w:t>
                  </w:r>
                </w:p>
              </w:tc>
            </w:tr>
          </w:tbl>
          <w:p>
            <w:pPr>
              <w:ind w:firstLine="480"/>
              <w:rPr>
                <w:color w:val="auto"/>
              </w:rPr>
            </w:pPr>
            <w:r>
              <w:rPr>
                <w:rFonts w:hint="eastAsia"/>
                <w:color w:val="auto"/>
              </w:rPr>
              <w:t>综上，本项目的建设符合《餐厨垃圾处理技术规范》（CJJ184-2012）有关要求。</w:t>
            </w:r>
          </w:p>
          <w:p>
            <w:pPr>
              <w:pStyle w:val="61"/>
              <w:spacing w:before="60" w:after="60"/>
              <w:rPr>
                <w:color w:val="auto"/>
              </w:rPr>
            </w:pPr>
            <w:r>
              <w:rPr>
                <w:rFonts w:hint="eastAsia"/>
                <w:color w:val="auto"/>
              </w:rPr>
              <w:t>1</w:t>
            </w:r>
            <w:r>
              <w:rPr>
                <w:color w:val="auto"/>
              </w:rPr>
              <w:t>.3.6</w:t>
            </w:r>
            <w:r>
              <w:rPr>
                <w:rFonts w:hint="eastAsia"/>
                <w:color w:val="auto"/>
                <w:lang w:val="en-US" w:eastAsia="zh-CN"/>
              </w:rPr>
              <w:t>项目</w:t>
            </w:r>
            <w:r>
              <w:rPr>
                <w:rFonts w:hint="eastAsia"/>
                <w:color w:val="auto"/>
              </w:rPr>
              <w:t>与《云南省城镇生活垃圾分类和处理设施建设</w:t>
            </w:r>
            <w:r>
              <w:rPr>
                <w:rFonts w:hint="eastAsia"/>
                <w:color w:val="auto"/>
                <w:lang w:eastAsia="zh-CN"/>
              </w:rPr>
              <w:t>“十四五”规划</w:t>
            </w:r>
            <w:r>
              <w:rPr>
                <w:rFonts w:hint="eastAsia"/>
                <w:color w:val="auto"/>
              </w:rPr>
              <w:t>》（</w:t>
            </w:r>
            <w:r>
              <w:rPr>
                <w:rFonts w:hint="eastAsia"/>
                <w:color w:val="auto"/>
                <w:shd w:val="clear" w:fill="FFFFFF"/>
              </w:rPr>
              <w:t>云建执</w:t>
            </w:r>
            <w:r>
              <w:rPr>
                <w:rFonts w:hint="eastAsia" w:ascii="宋体" w:hAnsi="宋体"/>
                <w:color w:val="auto"/>
              </w:rPr>
              <w:t>〔</w:t>
            </w:r>
            <w:r>
              <w:rPr>
                <w:rFonts w:hint="eastAsia"/>
                <w:color w:val="auto"/>
              </w:rPr>
              <w:t>2021</w:t>
            </w:r>
            <w:r>
              <w:rPr>
                <w:rFonts w:hint="eastAsia" w:ascii="宋体" w:hAnsi="宋体"/>
                <w:color w:val="auto"/>
              </w:rPr>
              <w:t>〕</w:t>
            </w:r>
            <w:r>
              <w:rPr>
                <w:rFonts w:hint="eastAsia"/>
                <w:color w:val="auto"/>
              </w:rPr>
              <w:t>164号）符合性分析</w:t>
            </w:r>
          </w:p>
          <w:p>
            <w:pPr>
              <w:ind w:firstLine="480"/>
              <w:rPr>
                <w:color w:val="auto"/>
              </w:rPr>
            </w:pPr>
            <w:r>
              <w:rPr>
                <w:rFonts w:hint="eastAsia"/>
                <w:color w:val="auto"/>
              </w:rPr>
              <w:t>云南省住房和</w:t>
            </w:r>
            <w:r>
              <w:rPr>
                <w:rFonts w:hint="eastAsia"/>
                <w:color w:val="auto"/>
                <w:shd w:val="clear" w:fill="FFFFFF"/>
              </w:rPr>
              <w:t>城乡建设厅</w:t>
            </w:r>
            <w:r>
              <w:rPr>
                <w:rFonts w:hint="eastAsia"/>
                <w:color w:val="auto"/>
              </w:rPr>
              <w:t>于2021年11月15日印发了《关于印发云南省城镇生活垃圾分类和处理设施建设</w:t>
            </w:r>
            <w:r>
              <w:rPr>
                <w:rFonts w:hint="eastAsia"/>
                <w:color w:val="auto"/>
                <w:shd w:val="clear" w:fill="FFFFFF"/>
                <w:lang w:eastAsia="zh-CN"/>
              </w:rPr>
              <w:t>“十四五”规划</w:t>
            </w:r>
            <w:r>
              <w:rPr>
                <w:rFonts w:hint="eastAsia"/>
                <w:color w:val="auto"/>
              </w:rPr>
              <w:t>的通知》（</w:t>
            </w:r>
            <w:r>
              <w:rPr>
                <w:rFonts w:hint="eastAsia"/>
                <w:color w:val="auto"/>
                <w:shd w:val="clear" w:fill="FFFFFF"/>
              </w:rPr>
              <w:t>云建执</w:t>
            </w:r>
            <w:r>
              <w:rPr>
                <w:rFonts w:hint="eastAsia" w:ascii="宋体" w:hAnsi="宋体"/>
                <w:color w:val="auto"/>
              </w:rPr>
              <w:t>〔</w:t>
            </w:r>
            <w:r>
              <w:rPr>
                <w:rFonts w:hint="eastAsia"/>
                <w:color w:val="auto"/>
              </w:rPr>
              <w:t>2021</w:t>
            </w:r>
            <w:r>
              <w:rPr>
                <w:rFonts w:hint="eastAsia" w:ascii="宋体" w:hAnsi="宋体"/>
                <w:color w:val="auto"/>
              </w:rPr>
              <w:t>〕</w:t>
            </w:r>
            <w:r>
              <w:rPr>
                <w:rFonts w:hint="eastAsia"/>
                <w:color w:val="auto"/>
              </w:rPr>
              <w:t>164号），通知要求：有序开展厨余垃圾处理设施建设，建设要求主要包括以下三个方面内容：</w:t>
            </w:r>
          </w:p>
          <w:p>
            <w:pPr>
              <w:ind w:firstLine="480"/>
              <w:rPr>
                <w:color w:val="auto"/>
              </w:rPr>
            </w:pPr>
            <w:r>
              <w:rPr>
                <w:rFonts w:hint="eastAsia"/>
                <w:color w:val="auto"/>
              </w:rPr>
              <w:t>（1）因地制宜选择处理技术路线。各地要根据厨余垃圾分类收集情况、厨余垃圾特征、人口规模、设施终端产品及副产物消纳情况等因素，科学选择适宜技术路线和处理方式。积极推广厨余垃圾资源化利用技术，合理利用厨余垃圾生产生物柴油、沼气、土壤改良剂、生物蛋白等产品。</w:t>
            </w:r>
          </w:p>
          <w:p>
            <w:pPr>
              <w:ind w:firstLine="480"/>
              <w:rPr>
                <w:color w:val="auto"/>
              </w:rPr>
            </w:pPr>
            <w:r>
              <w:rPr>
                <w:rFonts w:hint="eastAsia"/>
                <w:color w:val="auto"/>
              </w:rPr>
              <w:t>（2）大力推进厨余垃圾处理设施建设。8个地级城市以集中处理为主，分散处理为辅，加快推进厨余垃圾处理设施能力建设。鼓励其余地区，按照“循序渐进，先试点后推广”的原则，分步实施。</w:t>
            </w:r>
          </w:p>
          <w:p>
            <w:pPr>
              <w:ind w:firstLine="480"/>
              <w:rPr>
                <w:color w:val="auto"/>
              </w:rPr>
            </w:pPr>
            <w:r>
              <w:rPr>
                <w:rFonts w:hint="eastAsia"/>
                <w:color w:val="auto"/>
              </w:rPr>
              <w:t>（3）积极探索多元化可持续运营模式。及时总结推广城市厨余垃圾处理设施运营管理典型经验，推动建立责任明确、多方共赢的长效治理机制。探索建立市场化的建设和运行模式，建立厨余垃圾全链条、整体性处置利用体系。鼓励社会专业公司参与运营，不断提升厨余垃圾处理市场化水平。</w:t>
            </w:r>
          </w:p>
          <w:p>
            <w:pPr>
              <w:ind w:firstLine="480"/>
              <w:rPr>
                <w:color w:val="auto"/>
              </w:rPr>
            </w:pPr>
            <w:r>
              <w:rPr>
                <w:rFonts w:hint="eastAsia"/>
                <w:color w:val="auto"/>
              </w:rPr>
              <w:t>建设任务为：“十四五”期间，全省力争新增厨余垃圾处理能力1710吨/日。</w:t>
            </w:r>
          </w:p>
          <w:p>
            <w:pPr>
              <w:ind w:firstLine="480"/>
              <w:rPr>
                <w:color w:val="auto"/>
              </w:rPr>
            </w:pPr>
            <w:r>
              <w:rPr>
                <w:rFonts w:hint="eastAsia"/>
                <w:color w:val="auto"/>
              </w:rPr>
              <w:t>本项目属于餐厨垃圾处理项目，建设规模为</w:t>
            </w:r>
            <w:r>
              <w:rPr>
                <w:color w:val="auto"/>
              </w:rPr>
              <w:t>30</w:t>
            </w:r>
            <w:r>
              <w:rPr>
                <w:rFonts w:hint="eastAsia"/>
                <w:color w:val="auto"/>
              </w:rPr>
              <w:t>吨/日，《云南省城镇生活垃圾分类和处理设施建设</w:t>
            </w:r>
            <w:r>
              <w:rPr>
                <w:rFonts w:hint="eastAsia"/>
                <w:color w:val="auto"/>
                <w:lang w:eastAsia="zh-CN"/>
              </w:rPr>
              <w:t>“十四五”规划</w:t>
            </w:r>
            <w:r>
              <w:rPr>
                <w:rFonts w:hint="eastAsia"/>
                <w:color w:val="auto"/>
              </w:rPr>
              <w:t>》列出的各项清单投资是指政府投资，资金主要来源于转债、中央专项资金等。并且规划对厨余垃圾的总体要求是：到2025年底，全省新增厨余垃圾处理能力力争满足生活垃圾分类后餐厨垃圾处理需求。本项目处理规模越大，越能满足厨余垃圾处理需求，且没有使用国家资金，是企业自主投资行为。项目与《云南省城镇生活垃圾分类和处理设施建设</w:t>
            </w:r>
            <w:r>
              <w:rPr>
                <w:rFonts w:hint="eastAsia"/>
                <w:color w:val="auto"/>
                <w:lang w:eastAsia="zh-CN"/>
              </w:rPr>
              <w:t>“十四五”规划</w:t>
            </w:r>
            <w:r>
              <w:rPr>
                <w:rFonts w:hint="eastAsia"/>
                <w:color w:val="auto"/>
              </w:rPr>
              <w:t>》</w:t>
            </w:r>
            <w:r>
              <w:rPr>
                <w:rFonts w:hint="eastAsia"/>
                <w:color w:val="auto"/>
                <w:lang w:eastAsia="zh-CN"/>
              </w:rPr>
              <w:t>（</w:t>
            </w:r>
            <w:r>
              <w:rPr>
                <w:rFonts w:hint="eastAsia"/>
                <w:color w:val="auto"/>
                <w:shd w:val="clear" w:fill="FFFFFF"/>
              </w:rPr>
              <w:t>云建执</w:t>
            </w:r>
            <w:r>
              <w:rPr>
                <w:rFonts w:hint="eastAsia" w:ascii="宋体" w:hAnsi="宋体" w:eastAsia="宋体" w:cs="宋体"/>
                <w:color w:val="auto"/>
              </w:rPr>
              <w:t>〔</w:t>
            </w:r>
            <w:r>
              <w:rPr>
                <w:rFonts w:hint="eastAsia"/>
                <w:color w:val="auto"/>
              </w:rPr>
              <w:t>2021</w:t>
            </w:r>
            <w:r>
              <w:rPr>
                <w:rFonts w:hint="eastAsia" w:ascii="宋体" w:hAnsi="宋体" w:eastAsia="宋体" w:cs="宋体"/>
                <w:color w:val="auto"/>
              </w:rPr>
              <w:t>〕</w:t>
            </w:r>
            <w:r>
              <w:rPr>
                <w:rFonts w:hint="eastAsia"/>
                <w:color w:val="auto"/>
              </w:rPr>
              <w:t>164号</w:t>
            </w:r>
            <w:r>
              <w:rPr>
                <w:rFonts w:hint="eastAsia"/>
                <w:color w:val="auto"/>
                <w:lang w:eastAsia="zh-CN"/>
              </w:rPr>
              <w:t>）</w:t>
            </w:r>
            <w:r>
              <w:rPr>
                <w:rFonts w:hint="eastAsia"/>
                <w:color w:val="auto"/>
              </w:rPr>
              <w:t>中曲靖市师宗县5t/a</w:t>
            </w:r>
            <w:r>
              <w:rPr>
                <w:rFonts w:hint="eastAsia"/>
                <w:color w:val="auto"/>
                <w:lang w:val="en-US" w:eastAsia="zh-CN"/>
              </w:rPr>
              <w:t>的处理</w:t>
            </w:r>
            <w:r>
              <w:rPr>
                <w:rFonts w:hint="eastAsia"/>
                <w:color w:val="auto"/>
              </w:rPr>
              <w:t>规模</w:t>
            </w:r>
            <w:r>
              <w:rPr>
                <w:rFonts w:hint="eastAsia"/>
                <w:color w:val="auto"/>
                <w:lang w:val="en-US" w:eastAsia="zh-CN"/>
              </w:rPr>
              <w:t>不冲突</w:t>
            </w:r>
            <w:r>
              <w:rPr>
                <w:rFonts w:hint="eastAsia"/>
                <w:color w:val="auto"/>
              </w:rPr>
              <w:t>。</w:t>
            </w:r>
          </w:p>
          <w:p>
            <w:pPr>
              <w:pStyle w:val="61"/>
              <w:spacing w:before="60" w:after="60"/>
              <w:rPr>
                <w:rFonts w:hint="eastAsia"/>
                <w:color w:val="auto"/>
                <w:lang w:val="en-US" w:eastAsia="zh-CN"/>
              </w:rPr>
            </w:pPr>
            <w:r>
              <w:rPr>
                <w:rFonts w:hint="eastAsia"/>
                <w:color w:val="auto"/>
              </w:rPr>
              <w:t>1</w:t>
            </w:r>
            <w:r>
              <w:rPr>
                <w:color w:val="auto"/>
              </w:rPr>
              <w:t>.3.7</w:t>
            </w:r>
            <w:r>
              <w:rPr>
                <w:rFonts w:hint="eastAsia"/>
                <w:color w:val="auto"/>
                <w:lang w:val="en-US" w:eastAsia="zh-CN"/>
              </w:rPr>
              <w:t>项目与《餐厨垃圾收运技术规程》的符合性分析</w:t>
            </w:r>
          </w:p>
          <w:p>
            <w:pPr>
              <w:bidi w:val="0"/>
              <w:rPr>
                <w:rFonts w:hint="eastAsia"/>
                <w:color w:val="auto"/>
                <w:lang w:val="en-US" w:eastAsia="zh-CN"/>
              </w:rPr>
            </w:pPr>
            <w:r>
              <w:rPr>
                <w:rFonts w:hint="eastAsia"/>
                <w:color w:val="auto"/>
                <w:lang w:val="en-US" w:eastAsia="zh-CN"/>
              </w:rPr>
              <w:t>项目与《餐厨垃圾收运技术规程》的符合性详见下表1.3-6所示。</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表1.3-6  项目与《餐厨垃圾收运技术规程》符合性分析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3371"/>
              <w:gridCol w:w="319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《餐厨垃圾收运技术规程》要求</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项目情况</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3.0.2餐厨垃圾收运作业单位应满足以下管理要求：</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1、建立健全组织机构和管理制度，明确岗位职责，明确作业流程；</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2、设有专职管理人员，负责生产作业的检查和监督管理工作；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3、配置专职质检人员，负责质量与安全检查和日常监督工作；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4、实行全员管理，每台收运车辆定岗定人，对作业人员进行收运车辆性能、结构、安全操作、维护要求等方面的教育，并进行实操培训</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sz w:val="21"/>
                      <w:szCs w:val="21"/>
                      <w:vertAlign w:val="baseline"/>
                      <w:lang w:val="en-US" w:eastAsia="zh-CN"/>
                    </w:rPr>
                    <w:t>项目</w:t>
                  </w:r>
                  <w:r>
                    <w:rPr>
                      <w:rFonts w:hint="default" w:ascii="Times New Roman" w:hAnsi="Times New Roman" w:cs="Times New Roman"/>
                      <w:b w:val="0"/>
                      <w:bCs w:val="0"/>
                      <w:color w:val="auto"/>
                      <w:sz w:val="21"/>
                      <w:szCs w:val="21"/>
                      <w:lang w:val="en-US" w:eastAsia="zh-CN"/>
                    </w:rPr>
                    <w:t>餐厨垃圾收运作业按照以下管理要求运营：</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1、建立健全组织机构和管理制度，明确岗位职责，明确作业流程；</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2、设有专职管理人员，负责生产作业的检查和监督管理工作；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3、配置专职质检人员，负责质量与安全检查和日常监督工作；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4、实行全员管理，每台收运车辆定岗定人，对作业人员进行收运车辆性能、结构、安全操作、维护要求等方面的教育，并进行实操培训</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3.0.3收运作业人员应掌握以下专业知识和技能：</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1、熟悉餐厨垃圾基本特性；</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2、了解国家有关垃圾分类与垃圾收运的政策法规和标准；</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3、遵守垃圾分类收运的有关规定及要求；</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4、熟悉餐厨垃圾收运作业路线和上下游设施布局情况；</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5、转运站作业人员应遵守转运站管理规章制度</w:t>
                  </w:r>
                  <w:r>
                    <w:rPr>
                      <w:rFonts w:hint="eastAsia" w:cs="Times New Roman"/>
                      <w:b w:val="0"/>
                      <w:bCs w:val="0"/>
                      <w:color w:val="auto"/>
                      <w:sz w:val="21"/>
                      <w:szCs w:val="21"/>
                      <w:lang w:val="en-US" w:eastAsia="zh-CN"/>
                    </w:rPr>
                    <w:t>；</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6、熟练使用作业设备、车辆及工具，严禁违规操作。</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sz w:val="21"/>
                      <w:szCs w:val="21"/>
                      <w:vertAlign w:val="baseline"/>
                      <w:lang w:val="en-US" w:eastAsia="zh-CN"/>
                    </w:rPr>
                    <w:t>项目</w:t>
                  </w:r>
                  <w:r>
                    <w:rPr>
                      <w:rFonts w:hint="default" w:ascii="Times New Roman" w:hAnsi="Times New Roman" w:cs="Times New Roman"/>
                      <w:b w:val="0"/>
                      <w:bCs w:val="0"/>
                      <w:color w:val="auto"/>
                      <w:sz w:val="21"/>
                      <w:szCs w:val="21"/>
                      <w:shd w:val="clear" w:fill="FFFFFF"/>
                      <w:lang w:val="en-US" w:eastAsia="zh-CN"/>
                    </w:rPr>
                    <w:t>收</w:t>
                  </w:r>
                  <w:r>
                    <w:rPr>
                      <w:rFonts w:hint="default" w:ascii="Times New Roman" w:hAnsi="Times New Roman" w:cs="Times New Roman"/>
                      <w:b w:val="0"/>
                      <w:bCs w:val="0"/>
                      <w:color w:val="auto"/>
                      <w:sz w:val="21"/>
                      <w:szCs w:val="21"/>
                      <w:lang w:val="en-US" w:eastAsia="zh-CN"/>
                    </w:rPr>
                    <w:t>运作业人员按照以下专业知识和技能管理要求运营：</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1、熟悉餐厨垃圾基本特性；</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2、了解国家有关垃圾分类与垃圾收运的政策法规和标准；</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3、遵守垃圾分类收运的有关规定及要求；</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4、熟悉餐厨垃圾收运作业路线和上下游设施布局情况；</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5、转运站作业人员应遵守转运站管理规章制度</w:t>
                  </w:r>
                  <w:r>
                    <w:rPr>
                      <w:rFonts w:hint="eastAsia" w:cs="Times New Roman"/>
                      <w:b w:val="0"/>
                      <w:bCs w:val="0"/>
                      <w:color w:val="auto"/>
                      <w:sz w:val="21"/>
                      <w:szCs w:val="21"/>
                      <w:lang w:val="en-US" w:eastAsia="zh-CN"/>
                    </w:rPr>
                    <w:t>；</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6、熟练使用作业设备、车辆及工具，严禁违规操作。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3.0.4收运作业人员应做好班前准备工作：</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r>
                    <w:rPr>
                      <w:rFonts w:hint="eastAsia" w:cs="Times New Roman"/>
                      <w:b w:val="0"/>
                      <w:bCs w:val="0"/>
                      <w:color w:val="auto"/>
                      <w:sz w:val="21"/>
                      <w:szCs w:val="21"/>
                      <w:lang w:val="en-US" w:eastAsia="zh-CN"/>
                    </w:rPr>
                    <w:t>应该</w:t>
                  </w:r>
                  <w:r>
                    <w:rPr>
                      <w:rFonts w:hint="default" w:ascii="Times New Roman" w:hAnsi="Times New Roman" w:cs="Times New Roman"/>
                      <w:b w:val="0"/>
                      <w:bCs w:val="0"/>
                      <w:color w:val="auto"/>
                      <w:sz w:val="21"/>
                      <w:szCs w:val="21"/>
                      <w:lang w:val="en-US" w:eastAsia="zh-CN"/>
                    </w:rPr>
                    <w:t>根据当班垃圾收运任务规划收运路线；</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2、应持证上岗，穿戴工作服和劳动防护用品；</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3、每日出车、出勤等应有详尽真实记录。</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w:t>
                  </w:r>
                  <w:r>
                    <w:rPr>
                      <w:rFonts w:hint="default" w:ascii="Times New Roman" w:hAnsi="Times New Roman" w:cs="Times New Roman"/>
                      <w:b w:val="0"/>
                      <w:bCs w:val="0"/>
                      <w:color w:val="auto"/>
                      <w:sz w:val="21"/>
                      <w:szCs w:val="21"/>
                      <w:lang w:val="en-US" w:eastAsia="zh-CN"/>
                    </w:rPr>
                    <w:t>收运作业人员按照《餐厨垃圾收运技术规程》要求</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3.0.5餐厨垃圾收集容器应符合以下规定：</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1、与收集车装载设备相匹配，保证装卸过程中餐厨垃圾不溢</w:t>
                  </w:r>
                  <w:r>
                    <w:rPr>
                      <w:rFonts w:hint="default" w:ascii="Times New Roman" w:hAnsi="Times New Roman" w:cs="Times New Roman"/>
                      <w:b w:val="0"/>
                      <w:bCs w:val="0"/>
                      <w:color w:val="auto"/>
                      <w:sz w:val="21"/>
                      <w:szCs w:val="21"/>
                      <w:shd w:val="clear" w:fill="FFFFFF"/>
                      <w:lang w:val="en-US" w:eastAsia="zh-CN"/>
                    </w:rPr>
                    <w:t>洒</w:t>
                  </w:r>
                  <w:r>
                    <w:rPr>
                      <w:rFonts w:hint="default" w:ascii="Times New Roman" w:hAnsi="Times New Roman" w:cs="Times New Roman"/>
                      <w:b w:val="0"/>
                      <w:bCs w:val="0"/>
                      <w:color w:val="auto"/>
                      <w:sz w:val="21"/>
                      <w:szCs w:val="21"/>
                      <w:lang w:val="en-US" w:eastAsia="zh-CN"/>
                    </w:rPr>
                    <w:t>、不遗漏；</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2、具备防腐、防潮、可移动、密闭等功能；</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3、无破损、无缺失，干净整洁；</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4、收集容器上应有明确规范的标识标志，包括环卫标志、编码、</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使用单位名称和监督电话等信息；</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5、宜选择120标准垃圾桶</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其他尺寸</w:t>
                  </w:r>
                  <w:r>
                    <w:rPr>
                      <w:rFonts w:hint="default" w:ascii="Times New Roman" w:hAnsi="Times New Roman" w:cs="Times New Roman"/>
                      <w:b w:val="0"/>
                      <w:bCs w:val="0"/>
                      <w:color w:val="auto"/>
                      <w:sz w:val="21"/>
                      <w:szCs w:val="21"/>
                      <w:shd w:val="clear" w:fill="FFFFFF"/>
                      <w:lang w:val="en-US" w:eastAsia="zh-CN"/>
                    </w:rPr>
                    <w:t>视收运</w:t>
                  </w:r>
                  <w:r>
                    <w:rPr>
                      <w:rFonts w:hint="default" w:ascii="Times New Roman" w:hAnsi="Times New Roman" w:cs="Times New Roman"/>
                      <w:b w:val="0"/>
                      <w:bCs w:val="0"/>
                      <w:color w:val="auto"/>
                      <w:sz w:val="21"/>
                      <w:szCs w:val="21"/>
                      <w:lang w:val="en-US" w:eastAsia="zh-CN"/>
                    </w:rPr>
                    <w:t>现状适当调配</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w:t>
                  </w:r>
                  <w:r>
                    <w:rPr>
                      <w:rFonts w:hint="default" w:ascii="Times New Roman" w:hAnsi="Times New Roman" w:cs="Times New Roman"/>
                      <w:b w:val="0"/>
                      <w:bCs w:val="0"/>
                      <w:color w:val="auto"/>
                      <w:sz w:val="21"/>
                      <w:szCs w:val="21"/>
                      <w:shd w:val="clear" w:fill="FFFFFF"/>
                      <w:lang w:val="en-US" w:eastAsia="zh-CN"/>
                    </w:rPr>
                    <w:t>桶</w:t>
                  </w:r>
                  <w:r>
                    <w:rPr>
                      <w:rFonts w:hint="default" w:ascii="Times New Roman" w:hAnsi="Times New Roman" w:cs="Times New Roman"/>
                      <w:b w:val="0"/>
                      <w:bCs w:val="0"/>
                      <w:color w:val="auto"/>
                      <w:sz w:val="21"/>
                      <w:szCs w:val="21"/>
                      <w:lang w:val="en-US" w:eastAsia="zh-CN"/>
                    </w:rPr>
                    <w:t>提升</w:t>
                  </w:r>
                  <w:r>
                    <w:rPr>
                      <w:rFonts w:hint="default" w:ascii="Times New Roman" w:hAnsi="Times New Roman" w:cs="Times New Roman"/>
                      <w:b w:val="0"/>
                      <w:bCs w:val="0"/>
                      <w:color w:val="auto"/>
                      <w:sz w:val="21"/>
                      <w:szCs w:val="21"/>
                      <w:shd w:val="clear" w:fill="FFFFFF"/>
                      <w:lang w:val="en-US" w:eastAsia="zh-CN"/>
                    </w:rPr>
                    <w:t>处</w:t>
                  </w:r>
                  <w:r>
                    <w:rPr>
                      <w:rFonts w:hint="default" w:ascii="Times New Roman" w:hAnsi="Times New Roman" w:cs="Times New Roman"/>
                      <w:b w:val="0"/>
                      <w:bCs w:val="0"/>
                      <w:color w:val="auto"/>
                      <w:sz w:val="21"/>
                      <w:szCs w:val="21"/>
                      <w:lang w:val="en-US" w:eastAsia="zh-CN"/>
                    </w:rPr>
                    <w:t>卡口背脊宜做加强设计或使用加强材料</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w:t>
                  </w:r>
                  <w:r>
                    <w:rPr>
                      <w:rFonts w:hint="default" w:ascii="Times New Roman" w:hAnsi="Times New Roman" w:cs="Times New Roman"/>
                      <w:b w:val="0"/>
                      <w:bCs w:val="0"/>
                      <w:color w:val="auto"/>
                      <w:sz w:val="21"/>
                      <w:szCs w:val="21"/>
                      <w:lang w:val="en-US" w:eastAsia="zh-CN"/>
                    </w:rPr>
                    <w:t>餐厨垃圾收集容器按照《餐厨垃圾收运技术规程》设置</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3.0.6餐厨垃圾收运模式的选择应以餐厨垃圾无堆积、无腐烂发臭适时收集运输为前提，并兼顾高效率、低成本要求</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w:t>
                  </w:r>
                  <w:r>
                    <w:rPr>
                      <w:rFonts w:hint="default" w:ascii="Times New Roman" w:hAnsi="Times New Roman" w:cs="Times New Roman"/>
                      <w:b w:val="0"/>
                      <w:bCs w:val="0"/>
                      <w:color w:val="auto"/>
                      <w:sz w:val="21"/>
                      <w:szCs w:val="21"/>
                      <w:lang w:val="en-US" w:eastAsia="zh-CN"/>
                    </w:rPr>
                    <w:t>餐厨垃圾收运模式按照《餐厨垃圾收运技术规程》设置</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3.0.10餐厨垃圾收集点、集散站</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点</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和转运站应按不同功能区或位置设置规范的标识标志，设施、设备及容器上的标志设置应符合《图形符号安全色和安全标志第1部分</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安全标志和安全标记的设计原则》GB/T 2893.1和《环境卫生图形符号标准》CJJ/T125的有关规定。</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w:t>
                  </w:r>
                  <w:r>
                    <w:rPr>
                      <w:rFonts w:hint="default" w:ascii="Times New Roman" w:hAnsi="Times New Roman" w:cs="Times New Roman"/>
                      <w:b w:val="0"/>
                      <w:bCs w:val="0"/>
                      <w:color w:val="auto"/>
                      <w:sz w:val="21"/>
                      <w:szCs w:val="21"/>
                      <w:lang w:val="en-US" w:eastAsia="zh-CN"/>
                    </w:rPr>
                    <w:t>按不同功能区或位置设置规范的标识标志，设施、设备及容器上的标志设置应符合《图形符号安全色和安全标志第1部分</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安全标志和安全标记的设计原则》GB/T 2893.1和《环境卫生图形符号标准》CJJ/T125的有关规定</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3.0.12建立完善的台账制度，包括生产作业台账制度、设施设备及</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车辆台账制度以及安全管理台账制度等</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w:t>
                  </w:r>
                  <w:r>
                    <w:rPr>
                      <w:rFonts w:hint="default" w:ascii="Times New Roman" w:hAnsi="Times New Roman" w:cs="Times New Roman"/>
                      <w:b w:val="0"/>
                      <w:bCs w:val="0"/>
                      <w:color w:val="auto"/>
                      <w:sz w:val="21"/>
                      <w:szCs w:val="21"/>
                      <w:lang w:val="en-US" w:eastAsia="zh-CN"/>
                    </w:rPr>
                    <w:t>建立完善的台账制度，包括生产作业台账制度、设施设备及车辆台账制度以及安全管理台账制度等</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8</w:t>
                  </w:r>
                </w:p>
              </w:tc>
              <w:tc>
                <w:tcPr>
                  <w:tcW w:w="3371"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《餐厨垃圾收运技术规程》</w:t>
                  </w:r>
                  <w:r>
                    <w:rPr>
                      <w:rFonts w:hint="default" w:ascii="Times New Roman" w:hAnsi="Times New Roman" w:cs="Times New Roman"/>
                      <w:b w:val="0"/>
                      <w:bCs w:val="0"/>
                      <w:color w:val="auto"/>
                      <w:sz w:val="21"/>
                      <w:szCs w:val="21"/>
                      <w:lang w:val="en-US" w:eastAsia="zh-CN"/>
                    </w:rPr>
                    <w:t>管理要求</w:t>
                  </w:r>
                </w:p>
              </w:tc>
              <w:tc>
                <w:tcPr>
                  <w:tcW w:w="3199"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项目运营期按照</w:t>
                  </w:r>
                  <w:r>
                    <w:rPr>
                      <w:rFonts w:hint="default" w:ascii="Times New Roman" w:hAnsi="Times New Roman" w:cs="Times New Roman"/>
                      <w:color w:val="auto"/>
                      <w:sz w:val="21"/>
                      <w:szCs w:val="21"/>
                      <w:lang w:val="en-US" w:eastAsia="zh-CN"/>
                    </w:rPr>
                    <w:t>《餐厨垃圾收运技术规程》</w:t>
                  </w:r>
                  <w:r>
                    <w:rPr>
                      <w:rFonts w:hint="default" w:ascii="Times New Roman" w:hAnsi="Times New Roman" w:cs="Times New Roman"/>
                      <w:b w:val="0"/>
                      <w:bCs w:val="0"/>
                      <w:color w:val="auto"/>
                      <w:sz w:val="21"/>
                      <w:szCs w:val="21"/>
                      <w:lang w:val="en-US" w:eastAsia="zh-CN"/>
                    </w:rPr>
                    <w:t>管理要求进行运行</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pPr>
              <w:pStyle w:val="61"/>
              <w:spacing w:before="60" w:after="60"/>
              <w:rPr>
                <w:rFonts w:hint="eastAsia" w:ascii="Times New Roman" w:hAnsi="Times New Roman"/>
                <w:color w:val="auto"/>
                <w:lang w:val="en-US" w:eastAsia="zh-CN"/>
              </w:rPr>
            </w:pPr>
            <w:r>
              <w:rPr>
                <w:rFonts w:hint="eastAsia" w:ascii="Times New Roman" w:hAnsi="Times New Roman"/>
                <w:color w:val="auto"/>
                <w:lang w:val="en-US" w:eastAsia="zh-CN"/>
              </w:rPr>
              <w:t>1.3.8项目与《城市环境卫生设施规划标准》符合性分析</w:t>
            </w:r>
          </w:p>
          <w:p>
            <w:pPr>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项目与《城市环境卫生设施规划标准》（GB/T50337-2018）的符合性详见下表1.3-</w:t>
            </w:r>
            <w:r>
              <w:rPr>
                <w:rFonts w:hint="eastAsia" w:cs="Times New Roman"/>
                <w:color w:val="auto"/>
                <w:lang w:val="en-US" w:eastAsia="zh-CN"/>
              </w:rPr>
              <w:t>7</w:t>
            </w:r>
            <w:r>
              <w:rPr>
                <w:rFonts w:hint="eastAsia" w:ascii="Times New Roman" w:hAnsi="Times New Roman" w:cs="Times New Roman"/>
                <w:color w:val="auto"/>
                <w:lang w:val="en-US" w:eastAsia="zh-CN"/>
              </w:rPr>
              <w:t>所示。</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表1.3-7  项目与《城市环境卫生设施规划标准》符合性分析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146"/>
              <w:gridCol w:w="330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序号</w:t>
                  </w:r>
                </w:p>
              </w:tc>
              <w:tc>
                <w:tcPr>
                  <w:tcW w:w="314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《城市环境卫生设施规划标准》要求</w:t>
                  </w:r>
                </w:p>
              </w:tc>
              <w:tc>
                <w:tcPr>
                  <w:tcW w:w="3305"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项目情况</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ascii="Times New Roman" w:hAnsi="Times New Roman" w:cs="Times New Roman"/>
                      <w:b w:val="0"/>
                      <w:bCs w:val="0"/>
                      <w:color w:val="auto"/>
                      <w:sz w:val="21"/>
                      <w:szCs w:val="21"/>
                      <w:lang w:val="en-US" w:eastAsia="zh-CN"/>
                    </w:rPr>
                    <w:t>1</w:t>
                  </w:r>
                </w:p>
              </w:tc>
              <w:tc>
                <w:tcPr>
                  <w:tcW w:w="314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vertAlign w:val="baseline"/>
                      <w:lang w:val="en-US" w:eastAsia="zh-CN"/>
                    </w:rPr>
                  </w:pPr>
                  <w:r>
                    <w:rPr>
                      <w:rFonts w:hint="default" w:ascii="Times New Roman" w:hAnsi="Times New Roman" w:cs="Times New Roman"/>
                      <w:b w:val="0"/>
                      <w:bCs w:val="0"/>
                      <w:color w:val="auto"/>
                      <w:sz w:val="21"/>
                      <w:szCs w:val="21"/>
                      <w:lang w:val="en-US" w:eastAsia="zh-CN"/>
                    </w:rPr>
                    <w:t>6.5.1餐厨垃圾应在源头进行单独分类、收集并密闭运输，餐厨垃圾集中处理设施宜与生活垃圾处理设施或污水处理设施集中布局。</w:t>
                  </w:r>
                </w:p>
              </w:tc>
              <w:tc>
                <w:tcPr>
                  <w:tcW w:w="3305" w:type="dxa"/>
                  <w:vMerge w:val="restart"/>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b w:val="0"/>
                      <w:bCs w:val="0"/>
                      <w:color w:val="auto"/>
                      <w:sz w:val="21"/>
                      <w:szCs w:val="21"/>
                      <w:vertAlign w:val="baseline"/>
                      <w:lang w:val="en-US" w:eastAsia="zh-CN"/>
                    </w:rPr>
                    <w:t>根据《师宗县自然资源局关于</w:t>
                  </w:r>
                  <w:r>
                    <w:rPr>
                      <w:rFonts w:hint="eastAsia" w:asciiTheme="majorEastAsia" w:hAnsiTheme="majorEastAsia" w:eastAsiaTheme="majorEastAsia"/>
                      <w:b w:val="0"/>
                      <w:bCs w:val="0"/>
                      <w:color w:val="auto"/>
                      <w:sz w:val="21"/>
                      <w:szCs w:val="21"/>
                      <w:lang w:eastAsia="zh-CN"/>
                    </w:rPr>
                    <w:t>师宗县餐厨废弃油脂回收综合利用项</w:t>
                  </w:r>
                  <w:r>
                    <w:rPr>
                      <w:rFonts w:hint="eastAsia" w:asciiTheme="majorEastAsia" w:hAnsiTheme="majorEastAsia" w:eastAsiaTheme="majorEastAsia"/>
                      <w:b w:val="0"/>
                      <w:bCs w:val="0"/>
                      <w:color w:val="auto"/>
                      <w:sz w:val="21"/>
                      <w:szCs w:val="21"/>
                      <w:lang w:val="en-US" w:eastAsia="zh-CN"/>
                    </w:rPr>
                    <w:t>目“三区三线”查询结果的告知函</w:t>
                  </w:r>
                  <w:r>
                    <w:rPr>
                      <w:rFonts w:hint="eastAsia"/>
                      <w:b w:val="0"/>
                      <w:bCs w:val="0"/>
                      <w:color w:val="auto"/>
                      <w:sz w:val="21"/>
                      <w:szCs w:val="21"/>
                      <w:vertAlign w:val="baseline"/>
                      <w:lang w:val="en-US" w:eastAsia="zh-CN"/>
                    </w:rPr>
                    <w:t>》，项目用地范围不涉及永久基本农田，不涉及生态环境保护红线，不涉及城镇开发边界，本项目主要进行餐厨废弃物资源综合利用，</w:t>
                  </w:r>
                  <w:r>
                    <w:rPr>
                      <w:rFonts w:hint="eastAsia"/>
                      <w:b w:val="0"/>
                      <w:bCs w:val="0"/>
                      <w:color w:val="auto"/>
                      <w:sz w:val="21"/>
                      <w:szCs w:val="21"/>
                      <w:lang w:val="en-US" w:eastAsia="zh-CN"/>
                    </w:rPr>
                    <w:t>《城市环境卫生设施规划标准》适用于各层次城市规划中环境卫生设施规划的编制，以及区域重大环境卫生设施布局，本项目不属于区域重大环境卫生设施，项目不在《城市环境卫生设施规划标准》适用范围内，不进行相符性分析</w:t>
                  </w: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vertAlign w:val="baseline"/>
                      <w:lang w:val="en-US" w:eastAsia="zh-CN"/>
                    </w:rPr>
                  </w:pPr>
                  <w:r>
                    <w:rPr>
                      <w:rFonts w:hint="eastAsia" w:ascii="Times New Roman" w:hAnsi="Times New Roman" w:cs="Times New Roman"/>
                      <w:b w:val="0"/>
                      <w:bCs w:val="0"/>
                      <w:color w:val="auto"/>
                      <w:sz w:val="21"/>
                      <w:szCs w:val="21"/>
                      <w:lang w:val="en-US" w:eastAsia="zh-CN"/>
                    </w:rPr>
                    <w:t>2</w:t>
                  </w:r>
                </w:p>
              </w:tc>
              <w:tc>
                <w:tcPr>
                  <w:tcW w:w="314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ascii="Times New Roman" w:hAnsi="Times New Roman" w:cs="Times New Roman"/>
                      <w:b w:val="0"/>
                      <w:bCs w:val="0"/>
                      <w:color w:val="auto"/>
                      <w:sz w:val="21"/>
                      <w:szCs w:val="21"/>
                      <w:lang w:val="en-US" w:eastAsia="zh-CN"/>
                    </w:rPr>
                    <w:t>6.5.2餐厨垃圾集中处理设施用地边界距城乡居住用地等区域不应小于0.5km。</w:t>
                  </w:r>
                </w:p>
              </w:tc>
              <w:tc>
                <w:tcPr>
                  <w:tcW w:w="3305" w:type="dxa"/>
                  <w:vMerge w:val="continue"/>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314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6.5.3 餐厨垃圾集中处理设施综合用地指标不宜小于85m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t·d</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并</w:t>
                  </w:r>
                  <w:r>
                    <w:rPr>
                      <w:rFonts w:hint="eastAsia" w:cs="Times New Roman"/>
                      <w:b w:val="0"/>
                      <w:bCs w:val="0"/>
                      <w:color w:val="auto"/>
                      <w:sz w:val="21"/>
                      <w:szCs w:val="21"/>
                      <w:lang w:val="en-US" w:eastAsia="zh-CN"/>
                    </w:rPr>
                    <w:t>不宜</w:t>
                  </w:r>
                  <w:r>
                    <w:rPr>
                      <w:rFonts w:hint="default" w:ascii="Times New Roman" w:hAnsi="Times New Roman" w:cs="Times New Roman"/>
                      <w:b w:val="0"/>
                      <w:bCs w:val="0"/>
                      <w:color w:val="auto"/>
                      <w:sz w:val="21"/>
                      <w:szCs w:val="21"/>
                      <w:lang w:val="en-US" w:eastAsia="zh-CN"/>
                    </w:rPr>
                    <w:t>大于130m</w:t>
                  </w:r>
                  <w:r>
                    <w:rPr>
                      <w:rFonts w:hint="eastAsia"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t·d</w:t>
                  </w:r>
                  <w:r>
                    <w:rPr>
                      <w:rFonts w:hint="eastAsia"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w:t>
                  </w:r>
                </w:p>
              </w:tc>
              <w:tc>
                <w:tcPr>
                  <w:tcW w:w="3305" w:type="dxa"/>
                  <w:vMerge w:val="continue"/>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3146"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6.5.4餐厨垃圾集中处理设施在单独设置时，用地内沿边界应设置宽度不小于10m 的绿化隔离带</w:t>
                  </w:r>
                </w:p>
              </w:tc>
              <w:tc>
                <w:tcPr>
                  <w:tcW w:w="3305" w:type="dxa"/>
                  <w:vMerge w:val="continue"/>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882" w:type="dxa"/>
                  <w:vAlign w:val="center"/>
                </w:tcPr>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bl>
          <w:p>
            <w:pPr>
              <w:bidi w:val="0"/>
              <w:rPr>
                <w:rFonts w:hint="default" w:ascii="Times New Roman" w:hAnsi="Times New Roman" w:cs="Times New Roman"/>
                <w:color w:val="auto"/>
                <w:lang w:val="en-US" w:eastAsia="zh-CN"/>
              </w:rPr>
            </w:pPr>
            <w:r>
              <w:rPr>
                <w:rFonts w:hint="eastAsia" w:ascii="Times New Roman" w:hAnsi="Times New Roman" w:cs="Times New Roman"/>
                <w:color w:val="auto"/>
                <w:shd w:val="clear" w:fill="FFFFFF"/>
                <w:lang w:val="en-US" w:eastAsia="zh-CN"/>
              </w:rPr>
              <w:t>经</w:t>
            </w:r>
            <w:r>
              <w:rPr>
                <w:rFonts w:hint="eastAsia" w:ascii="Times New Roman" w:hAnsi="Times New Roman" w:cs="Times New Roman"/>
                <w:color w:val="auto"/>
                <w:lang w:val="en-US" w:eastAsia="zh-CN"/>
              </w:rPr>
              <w:t>上表分析：项目与《城市环境卫生设施规划标准》（GB/T50337-2018）</w:t>
            </w:r>
            <w:r>
              <w:rPr>
                <w:rFonts w:hint="eastAsia" w:cs="Times New Roman"/>
                <w:color w:val="auto"/>
                <w:lang w:val="en-US" w:eastAsia="zh-CN"/>
              </w:rPr>
              <w:t>不冲突</w:t>
            </w:r>
            <w:r>
              <w:rPr>
                <w:rFonts w:hint="eastAsia" w:ascii="Times New Roman" w:hAnsi="Times New Roman" w:cs="Times New Roman"/>
                <w:color w:val="auto"/>
                <w:lang w:val="en-US" w:eastAsia="zh-CN"/>
              </w:rPr>
              <w:t>。</w:t>
            </w:r>
          </w:p>
          <w:p>
            <w:pPr>
              <w:pStyle w:val="61"/>
              <w:spacing w:before="60" w:after="60"/>
              <w:rPr>
                <w:rFonts w:hint="eastAsia" w:ascii="Times New Roman" w:hAnsi="Times New Roman"/>
                <w:color w:val="auto"/>
                <w:szCs w:val="21"/>
                <w:lang w:val="en-US" w:eastAsia="zh-CN"/>
              </w:rPr>
            </w:pPr>
            <w:r>
              <w:rPr>
                <w:rFonts w:hint="eastAsia" w:ascii="Times New Roman" w:hAnsi="Times New Roman"/>
                <w:color w:val="auto"/>
                <w:lang w:val="en-US" w:eastAsia="zh-CN"/>
              </w:rPr>
              <w:t>1.3.9项目与</w:t>
            </w:r>
            <w:r>
              <w:rPr>
                <w:rFonts w:hint="eastAsia" w:ascii="Times New Roman" w:hAnsi="Times New Roman"/>
                <w:color w:val="auto"/>
                <w:szCs w:val="21"/>
              </w:rPr>
              <w:t>《师宗县彩云镇总体规划》</w:t>
            </w:r>
            <w:r>
              <w:rPr>
                <w:rFonts w:hint="eastAsia" w:ascii="Times New Roman" w:hAnsi="Times New Roman"/>
                <w:color w:val="auto"/>
                <w:szCs w:val="21"/>
                <w:lang w:val="en-US" w:eastAsia="zh-CN"/>
              </w:rPr>
              <w:t>符合性分析</w:t>
            </w:r>
          </w:p>
          <w:p>
            <w:pPr>
              <w:bidi w:val="0"/>
              <w:rPr>
                <w:rFonts w:hint="eastAsia" w:ascii="Times New Roman" w:hAnsi="Times New Roman" w:cs="Times New Roman"/>
                <w:color w:val="auto"/>
                <w:lang w:val="en-US" w:eastAsia="zh-CN"/>
              </w:rPr>
            </w:pPr>
            <w:r>
              <w:rPr>
                <w:rFonts w:hint="eastAsia"/>
                <w:b w:val="0"/>
                <w:bCs w:val="0"/>
                <w:color w:val="auto"/>
                <w:vertAlign w:val="baseline"/>
                <w:lang w:val="en-US" w:eastAsia="zh-CN"/>
              </w:rPr>
              <w:t>项目位于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lang w:eastAsia="zh-CN"/>
              </w:rPr>
              <w:t>，</w:t>
            </w:r>
            <w:r>
              <w:rPr>
                <w:rFonts w:hint="eastAsia"/>
                <w:b w:val="0"/>
                <w:bCs w:val="0"/>
                <w:color w:val="auto"/>
                <w:vertAlign w:val="baseline"/>
                <w:lang w:val="en-US" w:eastAsia="zh-CN"/>
              </w:rPr>
              <w:t>根据《师宗县自然资源局关于</w:t>
            </w:r>
            <w:r>
              <w:rPr>
                <w:rFonts w:hint="eastAsia" w:asciiTheme="majorEastAsia" w:hAnsiTheme="majorEastAsia" w:eastAsiaTheme="majorEastAsia"/>
                <w:b w:val="0"/>
                <w:bCs w:val="0"/>
                <w:color w:val="auto"/>
                <w:lang w:eastAsia="zh-CN"/>
              </w:rPr>
              <w:t>师宗县餐厨废弃油脂回收综合利用项</w:t>
            </w:r>
            <w:r>
              <w:rPr>
                <w:rFonts w:hint="eastAsia" w:asciiTheme="majorEastAsia" w:hAnsiTheme="majorEastAsia" w:eastAsiaTheme="majorEastAsia"/>
                <w:b w:val="0"/>
                <w:bCs w:val="0"/>
                <w:color w:val="auto"/>
                <w:lang w:val="en-US" w:eastAsia="zh-CN"/>
              </w:rPr>
              <w:t>目“三区三线”查询结果的告知函</w:t>
            </w:r>
            <w:r>
              <w:rPr>
                <w:rFonts w:hint="eastAsia"/>
                <w:b w:val="0"/>
                <w:bCs w:val="0"/>
                <w:color w:val="auto"/>
                <w:vertAlign w:val="baseline"/>
                <w:lang w:val="en-US" w:eastAsia="zh-CN"/>
              </w:rPr>
              <w:t>》，项目用地范围不涉及永久基本农田，不涉及生态环境保护红线，不涉及城镇开发边界，</w:t>
            </w:r>
            <w:r>
              <w:rPr>
                <w:rFonts w:hint="eastAsia" w:ascii="Times New Roman" w:hAnsi="Times New Roman" w:cs="Times New Roman"/>
                <w:color w:val="auto"/>
                <w:lang w:val="en-US" w:eastAsia="zh-CN"/>
              </w:rPr>
              <w:t>项目与《师宗县彩云镇总体规划》（2010-2030）</w:t>
            </w:r>
            <w:r>
              <w:rPr>
                <w:rFonts w:hint="eastAsia" w:cs="Times New Roman"/>
                <w:color w:val="auto"/>
                <w:lang w:val="en-US" w:eastAsia="zh-CN"/>
              </w:rPr>
              <w:t>相符合</w:t>
            </w:r>
            <w:r>
              <w:rPr>
                <w:rFonts w:hint="eastAsia" w:ascii="Times New Roman" w:hAnsi="Times New Roman" w:cs="Times New Roman"/>
                <w:color w:val="auto"/>
                <w:lang w:val="en-US" w:eastAsia="zh-CN"/>
              </w:rPr>
              <w:t>。</w:t>
            </w:r>
          </w:p>
          <w:p>
            <w:pPr>
              <w:pStyle w:val="61"/>
              <w:spacing w:before="60" w:after="60"/>
              <w:rPr>
                <w:color w:val="auto"/>
                <w:lang w:bidi="en-US"/>
              </w:rPr>
            </w:pPr>
            <w:r>
              <w:rPr>
                <w:rFonts w:hint="eastAsia"/>
                <w:color w:val="auto"/>
                <w:lang w:val="en-US" w:eastAsia="zh-CN"/>
              </w:rPr>
              <w:t>1.3.10项目</w:t>
            </w:r>
            <w:r>
              <w:rPr>
                <w:rFonts w:hint="eastAsia"/>
                <w:color w:val="auto"/>
                <w:lang w:bidi="en-US"/>
              </w:rPr>
              <w:t>与《云南省主体功能区规划》的符合性分析</w:t>
            </w:r>
          </w:p>
          <w:p>
            <w:pPr>
              <w:ind w:firstLine="480"/>
              <w:rPr>
                <w:color w:val="auto"/>
                <w:lang w:bidi="en-US"/>
              </w:rPr>
            </w:pPr>
            <w:r>
              <w:rPr>
                <w:color w:val="auto"/>
                <w:lang w:bidi="en-US"/>
              </w:rPr>
              <w:t>《云南省主体功能区规划》将云南省国土空间按照开发方式分为重点开发区域、</w:t>
            </w:r>
            <w:r>
              <w:rPr>
                <w:rFonts w:hint="eastAsia"/>
                <w:color w:val="auto"/>
                <w:lang w:eastAsia="zh-CN" w:bidi="en-US"/>
              </w:rPr>
              <w:t>限制</w:t>
            </w:r>
            <w:r>
              <w:rPr>
                <w:color w:val="auto"/>
                <w:lang w:bidi="en-US"/>
              </w:rPr>
              <w:t>开发区域和禁止开发区域3类主体功能区，</w:t>
            </w:r>
            <w:r>
              <w:rPr>
                <w:rFonts w:hint="eastAsia"/>
                <w:color w:val="auto"/>
                <w:lang w:bidi="en-US"/>
              </w:rPr>
              <w:t>根据</w:t>
            </w:r>
            <w:r>
              <w:rPr>
                <w:color w:val="auto"/>
                <w:lang w:bidi="en-US"/>
              </w:rPr>
              <w:t>《云南省主体功能区规划》</w:t>
            </w:r>
            <w:r>
              <w:rPr>
                <w:rFonts w:hint="eastAsia"/>
                <w:color w:val="auto"/>
                <w:lang w:bidi="en-US"/>
              </w:rPr>
              <w:t>附件2，师宗县（不包括丹凤镇和竹基镇）</w:t>
            </w:r>
            <w:r>
              <w:rPr>
                <w:color w:val="auto"/>
                <w:lang w:bidi="en-US"/>
              </w:rPr>
              <w:t>位于国家农产品主产区。</w:t>
            </w:r>
            <w:r>
              <w:rPr>
                <w:rFonts w:hint="eastAsia"/>
                <w:color w:val="auto"/>
                <w:lang w:bidi="en-US"/>
              </w:rPr>
              <w:t>农产品主产区是指具备较好的农业生产条件，以提供农产品为主体功能，以提供生态产品和服务产品及工</w:t>
            </w:r>
            <w:r>
              <w:rPr>
                <w:rFonts w:hint="eastAsia"/>
                <w:color w:val="auto"/>
                <w:lang w:eastAsia="zh-CN" w:bidi="en-US"/>
              </w:rPr>
              <w:t>业产</w:t>
            </w:r>
            <w:r>
              <w:rPr>
                <w:rFonts w:hint="eastAsia"/>
                <w:color w:val="auto"/>
                <w:lang w:bidi="en-US"/>
              </w:rPr>
              <w:t>品为其他功能，需要在国土空间开发中限制大规模高强度工业化城镇化开发，以保持并提高农产品生产能力的区域。</w:t>
            </w:r>
          </w:p>
          <w:p>
            <w:pPr>
              <w:ind w:firstLine="480"/>
              <w:rPr>
                <w:color w:val="auto"/>
                <w:lang w:bidi="en-US"/>
              </w:rPr>
            </w:pPr>
            <w:r>
              <w:rPr>
                <w:color w:val="auto"/>
                <w:lang w:bidi="en-US"/>
              </w:rPr>
              <w:t>本项目</w:t>
            </w:r>
            <w:r>
              <w:rPr>
                <w:rFonts w:hint="eastAsia"/>
                <w:color w:val="auto"/>
                <w:lang w:bidi="en-US"/>
              </w:rPr>
              <w:t>主要</w:t>
            </w:r>
            <w:r>
              <w:rPr>
                <w:rFonts w:hint="eastAsia"/>
                <w:snapToGrid w:val="0"/>
                <w:color w:val="auto"/>
              </w:rPr>
              <w:t>进行</w:t>
            </w:r>
            <w:r>
              <w:rPr>
                <w:rFonts w:hint="eastAsia"/>
                <w:color w:val="auto"/>
                <w:lang w:bidi="en-US"/>
              </w:rPr>
              <w:t>餐厨废弃物的综合利用</w:t>
            </w:r>
            <w:r>
              <w:rPr>
                <w:color w:val="auto"/>
                <w:lang w:bidi="en-US"/>
              </w:rPr>
              <w:t>，</w:t>
            </w:r>
            <w:r>
              <w:rPr>
                <w:rFonts w:hint="eastAsia"/>
                <w:color w:val="auto"/>
                <w:lang w:bidi="en-US"/>
              </w:rPr>
              <w:t>不属于大规模高强度的工业项目，</w:t>
            </w:r>
            <w:r>
              <w:rPr>
                <w:color w:val="auto"/>
                <w:lang w:bidi="en-US"/>
              </w:rPr>
              <w:t>因此项目建设符合云南省主体功能区划。</w:t>
            </w:r>
          </w:p>
          <w:p>
            <w:pPr>
              <w:pStyle w:val="61"/>
              <w:spacing w:before="60" w:after="60"/>
              <w:rPr>
                <w:color w:val="auto"/>
                <w:lang w:bidi="en-US"/>
              </w:rPr>
            </w:pPr>
            <w:r>
              <w:rPr>
                <w:rFonts w:hint="eastAsia"/>
                <w:color w:val="auto"/>
                <w:lang w:bidi="en-US"/>
              </w:rPr>
              <w:t>1</w:t>
            </w:r>
            <w:r>
              <w:rPr>
                <w:color w:val="auto"/>
                <w:lang w:bidi="en-US"/>
              </w:rPr>
              <w:t>.3.8</w:t>
            </w:r>
            <w:r>
              <w:rPr>
                <w:rFonts w:hint="eastAsia"/>
                <w:color w:val="auto"/>
                <w:lang w:val="en-US" w:eastAsia="zh-CN"/>
              </w:rPr>
              <w:t>项目</w:t>
            </w:r>
            <w:r>
              <w:rPr>
                <w:rFonts w:hint="eastAsia"/>
                <w:color w:val="auto"/>
                <w:lang w:bidi="en-US"/>
              </w:rPr>
              <w:t>与</w:t>
            </w:r>
            <w:r>
              <w:rPr>
                <w:bCs/>
                <w:color w:val="auto"/>
                <w:lang w:bidi="en-US"/>
              </w:rPr>
              <w:t>《云南省生态功能区划》</w:t>
            </w:r>
            <w:r>
              <w:rPr>
                <w:rFonts w:hint="eastAsia"/>
                <w:color w:val="auto"/>
                <w:lang w:bidi="en-US"/>
              </w:rPr>
              <w:t>的符合性分析</w:t>
            </w:r>
          </w:p>
          <w:p>
            <w:pPr>
              <w:ind w:firstLine="480"/>
              <w:rPr>
                <w:bCs/>
                <w:color w:val="auto"/>
                <w:lang w:bidi="en-US"/>
              </w:rPr>
            </w:pPr>
            <w:r>
              <w:rPr>
                <w:bCs/>
                <w:color w:val="auto"/>
                <w:lang w:bidi="en-US"/>
              </w:rPr>
              <w:t>根据《云南省生态功能区划》，</w:t>
            </w:r>
            <w:r>
              <w:rPr>
                <w:rFonts w:hint="eastAsia"/>
                <w:bCs/>
                <w:color w:val="auto"/>
                <w:lang w:bidi="en-US"/>
              </w:rPr>
              <w:t>项目位于</w:t>
            </w:r>
            <w:r>
              <w:rPr>
                <w:bCs/>
                <w:color w:val="auto"/>
                <w:lang w:bidi="en-US"/>
              </w:rPr>
              <w:t>Ⅲ1-12</w:t>
            </w:r>
            <w:r>
              <w:rPr>
                <w:bCs/>
                <w:color w:val="auto"/>
                <w:lang w:val="zh-CN" w:bidi="en-US"/>
              </w:rPr>
              <w:t>南盘江、甸溪河低山丘陵水土保持生态区</w:t>
            </w:r>
            <w:r>
              <w:rPr>
                <w:bCs/>
                <w:color w:val="auto"/>
                <w:lang w:bidi="en-US"/>
              </w:rPr>
              <w:t>，南盘江、甸溪河低山丘陵水土保持生态区包括弥勒、泸西、师宗大部及罗平南部及陆良、石林、华宁东部地区，面积9876.66km</w:t>
            </w:r>
            <w:r>
              <w:rPr>
                <w:bCs/>
                <w:color w:val="auto"/>
                <w:vertAlign w:val="superscript"/>
                <w:lang w:bidi="en-US"/>
              </w:rPr>
              <w:t>2</w:t>
            </w:r>
            <w:r>
              <w:rPr>
                <w:bCs/>
                <w:color w:val="auto"/>
                <w:lang w:bidi="en-US"/>
              </w:rPr>
              <w:t>，占云南省土地面积的2.58%。</w:t>
            </w:r>
          </w:p>
          <w:p>
            <w:pPr>
              <w:ind w:firstLine="480"/>
              <w:rPr>
                <w:bCs/>
                <w:color w:val="auto"/>
                <w:lang w:bidi="en-US"/>
              </w:rPr>
            </w:pPr>
            <w:r>
              <w:rPr>
                <w:rFonts w:hint="eastAsia"/>
                <w:bCs/>
                <w:color w:val="auto"/>
                <w:lang w:bidi="en-US"/>
              </w:rPr>
              <w:t>本区的</w:t>
            </w:r>
            <w:r>
              <w:rPr>
                <w:bCs/>
                <w:color w:val="auto"/>
                <w:lang w:bidi="en-US"/>
              </w:rPr>
              <w:t>主要生态服务功能是发展适应于岩溶地貌的生态农业。目前，本区的主要的生态问题是人口密集、土地利用过度引起的潜在石漠化。根据</w:t>
            </w:r>
            <w:r>
              <w:rPr>
                <w:rFonts w:hint="eastAsia"/>
                <w:bCs/>
                <w:color w:val="auto"/>
                <w:lang w:eastAsia="zh-CN" w:bidi="en-US"/>
              </w:rPr>
              <w:t>本地</w:t>
            </w:r>
            <w:r>
              <w:rPr>
                <w:bCs/>
                <w:color w:val="auto"/>
                <w:lang w:bidi="en-US"/>
              </w:rPr>
              <w:t>区的自然生态环境特征及主要生态服务功能，生态保护和建设的主要方向是调整农业结构、发展以亚热带经济林木为主的生态林业，降低土地利用强度，开展多种经营和清洁生产，适当限制矿产资源和小水电的开发，保护农田生态环境、防止石漠化。</w:t>
            </w:r>
          </w:p>
          <w:p>
            <w:pPr>
              <w:ind w:firstLine="480"/>
              <w:rPr>
                <w:color w:val="auto"/>
              </w:rPr>
            </w:pPr>
            <w:r>
              <w:rPr>
                <w:rFonts w:hint="eastAsia"/>
                <w:bCs/>
                <w:color w:val="auto"/>
                <w:lang w:bidi="en-US"/>
              </w:rPr>
              <w:t>本项目使用土地性质为建设用地，不新增占用林地、农田等，项目</w:t>
            </w:r>
            <w:r>
              <w:rPr>
                <w:rFonts w:hint="eastAsia"/>
                <w:color w:val="auto"/>
                <w:lang w:bidi="en-US"/>
              </w:rPr>
              <w:t>主要</w:t>
            </w:r>
            <w:r>
              <w:rPr>
                <w:rFonts w:hint="eastAsia"/>
                <w:snapToGrid w:val="0"/>
                <w:color w:val="auto"/>
              </w:rPr>
              <w:t>进行</w:t>
            </w:r>
            <w:r>
              <w:rPr>
                <w:rFonts w:hint="eastAsia"/>
                <w:color w:val="auto"/>
                <w:lang w:bidi="en-US"/>
              </w:rPr>
              <w:t>餐厨废弃物的综合利用，不属于</w:t>
            </w:r>
            <w:r>
              <w:rPr>
                <w:bCs/>
                <w:color w:val="auto"/>
                <w:lang w:bidi="en-US"/>
              </w:rPr>
              <w:t>矿产资源和小水电的开发</w:t>
            </w:r>
            <w:r>
              <w:rPr>
                <w:rFonts w:hint="eastAsia"/>
                <w:bCs/>
                <w:color w:val="auto"/>
                <w:lang w:bidi="en-US"/>
              </w:rPr>
              <w:t>类项目，因此项目建设符合</w:t>
            </w:r>
            <w:r>
              <w:rPr>
                <w:bCs/>
                <w:color w:val="auto"/>
                <w:lang w:bidi="en-US"/>
              </w:rPr>
              <w:t>《云南省生态功能区划》</w:t>
            </w:r>
            <w:r>
              <w:rPr>
                <w:rFonts w:hint="eastAsia"/>
                <w:bCs/>
                <w:color w:val="auto"/>
                <w:lang w:bidi="en-US"/>
              </w:rPr>
              <w:t>有关要求。</w:t>
            </w:r>
          </w:p>
          <w:p>
            <w:pPr>
              <w:pStyle w:val="61"/>
              <w:spacing w:before="60" w:after="60"/>
              <w:rPr>
                <w:color w:val="auto"/>
              </w:rPr>
            </w:pPr>
            <w:r>
              <w:rPr>
                <w:rFonts w:hint="eastAsia"/>
                <w:color w:val="auto"/>
              </w:rPr>
              <w:t>1</w:t>
            </w:r>
            <w:r>
              <w:rPr>
                <w:color w:val="auto"/>
              </w:rPr>
              <w:t>.3.</w:t>
            </w:r>
            <w:r>
              <w:rPr>
                <w:rFonts w:hint="eastAsia"/>
                <w:color w:val="auto"/>
                <w:lang w:val="en-US" w:eastAsia="zh-CN"/>
              </w:rPr>
              <w:t>11项目</w:t>
            </w:r>
            <w:r>
              <w:rPr>
                <w:rFonts w:hint="eastAsia"/>
                <w:color w:val="auto"/>
              </w:rPr>
              <w:t>与《曲靖市生态环境保护“十四五”规划》符合性</w:t>
            </w:r>
          </w:p>
          <w:p>
            <w:pPr>
              <w:ind w:firstLine="480"/>
              <w:rPr>
                <w:color w:val="auto"/>
              </w:rPr>
            </w:pPr>
            <w:r>
              <w:rPr>
                <w:rFonts w:hint="eastAsia"/>
                <w:color w:val="auto"/>
              </w:rPr>
              <w:t>根据曲靖市人民政府办公室《关于印发曲靖市生态环境保护“十四五”规划的通知》（曲政办发〔2022〕24号），曲靖市生态环境保护“十四五”规划将餐厨废弃物列入规划：</w:t>
            </w:r>
          </w:p>
          <w:p>
            <w:pPr>
              <w:ind w:firstLine="480"/>
              <w:rPr>
                <w:color w:val="auto"/>
              </w:rPr>
            </w:pPr>
            <w:r>
              <w:rPr>
                <w:rFonts w:hint="eastAsia"/>
                <w:color w:val="auto"/>
              </w:rPr>
              <w:t>第四章 统筹协同治理，持续改善生态环境质量</w:t>
            </w:r>
          </w:p>
          <w:p>
            <w:pPr>
              <w:ind w:firstLine="480"/>
              <w:rPr>
                <w:color w:val="auto"/>
              </w:rPr>
            </w:pPr>
            <w:r>
              <w:rPr>
                <w:rFonts w:hint="eastAsia"/>
                <w:color w:val="auto"/>
              </w:rPr>
              <w:t>第四节 坚持闭环管理，提高固废治理水平</w:t>
            </w:r>
          </w:p>
          <w:p>
            <w:pPr>
              <w:ind w:firstLine="480"/>
              <w:rPr>
                <w:color w:val="auto"/>
              </w:rPr>
            </w:pPr>
            <w:r>
              <w:rPr>
                <w:rFonts w:hint="eastAsia"/>
                <w:color w:val="auto"/>
              </w:rPr>
              <w:t>建立完善曲靖市再生资源回收利用体系，以“</w:t>
            </w:r>
            <w:r>
              <w:rPr>
                <w:rFonts w:hint="eastAsia"/>
                <w:color w:val="auto"/>
                <w:shd w:val="clear" w:fill="FFFFFF"/>
              </w:rPr>
              <w:t>麒沾马</w:t>
            </w:r>
            <w:r>
              <w:rPr>
                <w:rFonts w:hint="eastAsia"/>
                <w:color w:val="auto"/>
              </w:rPr>
              <w:t>”为中心，以各县（市）中心城市为中转，规划建设覆盖曲靖市各县（区、市）中心建成区的大件垃圾处理设施，探索“互联网+资源回收”模式，实现再生资源回收网络和生活垃圾分类网络“两网融合”。推进餐厨垃圾资源化利用，加快曲靖市餐厨垃圾资源化利用项目的建设进度，完善各县（区、市）配套处理设施或收集转运设施，规范全市餐厨垃圾收集和处理。</w:t>
            </w:r>
          </w:p>
          <w:p>
            <w:pPr>
              <w:ind w:firstLine="480"/>
              <w:rPr>
                <w:color w:val="auto"/>
              </w:rPr>
            </w:pPr>
            <w:r>
              <w:rPr>
                <w:rFonts w:hint="eastAsia"/>
                <w:color w:val="auto"/>
              </w:rPr>
              <w:t>本项目属于餐厨垃圾处理项目，建设规模为</w:t>
            </w:r>
            <w:r>
              <w:rPr>
                <w:color w:val="auto"/>
              </w:rPr>
              <w:t>30</w:t>
            </w:r>
            <w:r>
              <w:rPr>
                <w:rFonts w:hint="eastAsia"/>
                <w:color w:val="auto"/>
              </w:rPr>
              <w:t xml:space="preserve"> 吨/日，与《曲靖市生态环境保护“十四五”规划》相符。</w:t>
            </w:r>
          </w:p>
          <w:p>
            <w:pPr>
              <w:pStyle w:val="56"/>
              <w:spacing w:before="120" w:after="120"/>
              <w:rPr>
                <w:color w:val="auto"/>
              </w:rPr>
            </w:pPr>
            <w:r>
              <w:rPr>
                <w:rFonts w:hint="eastAsia"/>
                <w:color w:val="auto"/>
              </w:rPr>
              <w:t>1.4选址合理性及周边环境相容性分析</w:t>
            </w:r>
          </w:p>
          <w:p>
            <w:pPr>
              <w:pStyle w:val="61"/>
              <w:spacing w:before="60" w:after="60"/>
              <w:rPr>
                <w:color w:val="auto"/>
              </w:rPr>
            </w:pPr>
            <w:r>
              <w:rPr>
                <w:rFonts w:hint="eastAsia"/>
                <w:color w:val="auto"/>
              </w:rPr>
              <w:t>1</w:t>
            </w:r>
            <w:r>
              <w:rPr>
                <w:color w:val="auto"/>
              </w:rPr>
              <w:t>.4.1选址合理性分析</w:t>
            </w:r>
          </w:p>
          <w:p>
            <w:pPr>
              <w:pStyle w:val="84"/>
              <w:ind w:firstLine="482"/>
              <w:rPr>
                <w:color w:val="auto"/>
              </w:rPr>
            </w:pPr>
            <w:r>
              <w:rPr>
                <w:color w:val="auto"/>
              </w:rPr>
              <w:t>1.</w:t>
            </w:r>
            <w:r>
              <w:rPr>
                <w:rFonts w:hint="eastAsia"/>
                <w:color w:val="auto"/>
              </w:rPr>
              <w:t>用地情况</w:t>
            </w:r>
          </w:p>
          <w:p>
            <w:pPr>
              <w:pStyle w:val="9"/>
              <w:ind w:firstLine="480"/>
              <w:rPr>
                <w:rFonts w:hAnsiTheme="minorEastAsia" w:eastAsiaTheme="minorEastAsia"/>
                <w:color w:val="auto"/>
              </w:rPr>
            </w:pPr>
            <w:r>
              <w:rPr>
                <w:rFonts w:hint="eastAsia" w:hAnsiTheme="minorEastAsia" w:eastAsiaTheme="minorEastAsia"/>
                <w:color w:val="auto"/>
              </w:rPr>
              <w:t>项目用地为彩云镇人民政府提供的建设用地，在现有土地基础上</w:t>
            </w:r>
            <w:r>
              <w:rPr>
                <w:rFonts w:hint="eastAsia"/>
                <w:color w:val="auto"/>
              </w:rPr>
              <w:t>改造建设</w:t>
            </w:r>
            <w:r>
              <w:rPr>
                <w:rFonts w:hint="eastAsia" w:hAnsiTheme="minorEastAsia" w:eastAsiaTheme="minorEastAsia"/>
                <w:color w:val="auto"/>
              </w:rPr>
              <w:t>，土地用地性质为建设用地。</w:t>
            </w:r>
          </w:p>
          <w:p>
            <w:pPr>
              <w:pStyle w:val="84"/>
              <w:ind w:firstLine="482"/>
              <w:rPr>
                <w:color w:val="auto"/>
              </w:rPr>
            </w:pPr>
            <w:r>
              <w:rPr>
                <w:color w:val="auto"/>
              </w:rPr>
              <w:t>2.</w:t>
            </w:r>
            <w:r>
              <w:rPr>
                <w:rFonts w:hint="eastAsia"/>
                <w:color w:val="auto"/>
              </w:rPr>
              <w:t>厂址建设条件</w:t>
            </w:r>
          </w:p>
          <w:p>
            <w:pPr>
              <w:ind w:firstLine="480"/>
              <w:rPr>
                <w:color w:val="auto"/>
              </w:rPr>
            </w:pPr>
            <w:r>
              <w:rPr>
                <w:rFonts w:hint="eastAsia"/>
                <w:color w:val="auto"/>
              </w:rPr>
              <w:t>项目所在区域无不良地质因素影响，符合工程建设地质要求，项目周边5</w:t>
            </w:r>
            <w:r>
              <w:rPr>
                <w:color w:val="auto"/>
              </w:rPr>
              <w:t>00</w:t>
            </w:r>
            <w:r>
              <w:rPr>
                <w:rFonts w:hint="eastAsia"/>
                <w:color w:val="auto"/>
              </w:rPr>
              <w:t>m范围内分布的企业主要为砖厂、石料厂等，位于项目侧风向或上风向，本项目建成后对其影响很小。</w:t>
            </w:r>
          </w:p>
          <w:p>
            <w:pPr>
              <w:pStyle w:val="84"/>
              <w:ind w:firstLine="482"/>
              <w:rPr>
                <w:color w:val="auto"/>
              </w:rPr>
            </w:pPr>
            <w:r>
              <w:rPr>
                <w:color w:val="auto"/>
              </w:rPr>
              <w:t>3.</w:t>
            </w:r>
            <w:r>
              <w:rPr>
                <w:rFonts w:hint="eastAsia"/>
                <w:color w:val="auto"/>
              </w:rPr>
              <w:t>市政基础设施</w:t>
            </w:r>
          </w:p>
          <w:p>
            <w:pPr>
              <w:autoSpaceDE w:val="0"/>
              <w:adjustRightInd w:val="0"/>
              <w:snapToGrid w:val="0"/>
              <w:ind w:firstLine="480"/>
              <w:rPr>
                <w:rFonts w:hAnsiTheme="minorEastAsia" w:eastAsiaTheme="minorEastAsia"/>
                <w:color w:val="auto"/>
              </w:rPr>
            </w:pPr>
            <w:r>
              <w:rPr>
                <w:rFonts w:hint="eastAsia" w:hAnsiTheme="minorEastAsia" w:eastAsiaTheme="minorEastAsia"/>
                <w:color w:val="auto"/>
              </w:rPr>
              <w:t>项目所在区域市政基础设施齐全，交通方便。</w:t>
            </w:r>
          </w:p>
          <w:p>
            <w:pPr>
              <w:pStyle w:val="84"/>
              <w:ind w:firstLine="482"/>
              <w:rPr>
                <w:color w:val="auto"/>
              </w:rPr>
            </w:pPr>
            <w:r>
              <w:rPr>
                <w:rFonts w:hint="eastAsia"/>
                <w:color w:val="auto"/>
              </w:rPr>
              <w:t>4.环境影响分析</w:t>
            </w:r>
          </w:p>
          <w:p>
            <w:pPr>
              <w:ind w:firstLine="480"/>
              <w:rPr>
                <w:color w:val="auto"/>
              </w:rPr>
            </w:pPr>
            <w:r>
              <w:rPr>
                <w:rFonts w:hint="eastAsia"/>
                <w:color w:val="auto"/>
              </w:rPr>
              <w:t>项目运营期处置车间恶臭通过微负压收集后，采用生物洗涤塔处理后经1</w:t>
            </w:r>
            <w:r>
              <w:rPr>
                <w:color w:val="auto"/>
              </w:rPr>
              <w:t>5</w:t>
            </w:r>
            <w:r>
              <w:rPr>
                <w:rFonts w:hint="eastAsia"/>
                <w:color w:val="auto"/>
              </w:rPr>
              <w:t>m高D</w:t>
            </w:r>
            <w:r>
              <w:rPr>
                <w:color w:val="auto"/>
              </w:rPr>
              <w:t>A001</w:t>
            </w:r>
            <w:r>
              <w:rPr>
                <w:rFonts w:hint="eastAsia"/>
                <w:color w:val="auto"/>
              </w:rPr>
              <w:t>排气筒排放，生物质锅炉燃烧废气通过</w:t>
            </w:r>
            <w:r>
              <w:rPr>
                <w:rFonts w:hint="eastAsia"/>
                <w:color w:val="auto"/>
                <w:lang w:val="en-US" w:eastAsia="zh-CN"/>
              </w:rPr>
              <w:t>布袋除尘器</w:t>
            </w:r>
            <w:r>
              <w:rPr>
                <w:rFonts w:hint="eastAsia"/>
                <w:color w:val="auto"/>
              </w:rPr>
              <w:t>处理后经</w:t>
            </w:r>
            <w:r>
              <w:rPr>
                <w:rFonts w:hint="eastAsia"/>
                <w:color w:val="auto"/>
                <w:lang w:val="en-US" w:eastAsia="zh-CN"/>
              </w:rPr>
              <w:t>3</w:t>
            </w:r>
            <w:r>
              <w:rPr>
                <w:color w:val="auto"/>
              </w:rPr>
              <w:t>0</w:t>
            </w:r>
            <w:r>
              <w:rPr>
                <w:rFonts w:hint="eastAsia"/>
                <w:color w:val="auto"/>
              </w:rPr>
              <w:t>m高D</w:t>
            </w:r>
            <w:r>
              <w:rPr>
                <w:color w:val="auto"/>
              </w:rPr>
              <w:t>A002</w:t>
            </w:r>
            <w:r>
              <w:rPr>
                <w:rFonts w:hint="eastAsia"/>
                <w:color w:val="auto"/>
              </w:rPr>
              <w:t>排气筒排放；根据预测分析，在采取本次环评提出的各项措施后，本项目废气排放能满足《恶臭污染物排放标准》（GB14554-93）、</w:t>
            </w:r>
            <w:r>
              <w:rPr>
                <w:color w:val="auto"/>
              </w:rPr>
              <w:t>《锅炉大气污染物排放标准》（GB13271-2014）</w:t>
            </w:r>
            <w:r>
              <w:rPr>
                <w:rFonts w:hint="eastAsia"/>
                <w:color w:val="auto"/>
              </w:rPr>
              <w:t>相应排放限值，废气排放</w:t>
            </w:r>
            <w:r>
              <w:rPr>
                <w:rFonts w:hint="eastAsia"/>
                <w:color w:val="auto"/>
                <w:shd w:val="clear" w:fill="FFFFFF"/>
              </w:rPr>
              <w:t>对</w:t>
            </w:r>
            <w:r>
              <w:rPr>
                <w:rFonts w:hint="eastAsia"/>
                <w:color w:val="auto"/>
              </w:rPr>
              <w:t>5</w:t>
            </w:r>
            <w:r>
              <w:rPr>
                <w:color w:val="auto"/>
              </w:rPr>
              <w:t>0</w:t>
            </w:r>
            <w:r>
              <w:rPr>
                <w:rFonts w:hint="eastAsia"/>
                <w:color w:val="auto"/>
              </w:rPr>
              <w:t>m范围内的项目区东侧散户影响较小，在叠加环境现状背景值后，敏感点最大落地浓度满足</w:t>
            </w:r>
            <w:r>
              <w:rPr>
                <w:color w:val="auto"/>
              </w:rPr>
              <w:t>《环境影响评价技术导则 大气环境》（HJ2.2-2018）附录D其他污染物空气质量浓度参考限值要求</w:t>
            </w:r>
            <w:r>
              <w:rPr>
                <w:rFonts w:hint="eastAsia"/>
                <w:color w:val="auto"/>
              </w:rPr>
              <w:t>，未出现超标，废气采取措施后对项目东侧散户影响较小。本项目主要的用水点为锅炉用水、清洗用水、办公生活用水等；正常工况下生产废水</w:t>
            </w:r>
            <w:r>
              <w:rPr>
                <w:rFonts w:hint="eastAsia"/>
                <w:color w:val="auto"/>
                <w:shd w:val="clear" w:fill="FFFFFF"/>
              </w:rPr>
              <w:t>经</w:t>
            </w:r>
            <w:r>
              <w:rPr>
                <w:rFonts w:hint="eastAsia"/>
                <w:color w:val="auto"/>
              </w:rPr>
              <w:t>自建一体化污水处理站处理后，采用罐车运输至彩云镇污水处理站处置，</w:t>
            </w:r>
            <w:r>
              <w:rPr>
                <w:color w:val="auto"/>
              </w:rPr>
              <w:t>生活污水进入化粪池处理后</w:t>
            </w:r>
            <w:r>
              <w:rPr>
                <w:rFonts w:hint="eastAsia"/>
                <w:color w:val="auto"/>
              </w:rPr>
              <w:t>委托周边农户清</w:t>
            </w:r>
            <w:r>
              <w:rPr>
                <w:rFonts w:hint="eastAsia"/>
                <w:color w:val="auto"/>
                <w:shd w:val="clear" w:fill="FFFFFF"/>
              </w:rPr>
              <w:t>掏</w:t>
            </w:r>
            <w:r>
              <w:rPr>
                <w:rFonts w:hint="eastAsia"/>
                <w:color w:val="auto"/>
              </w:rPr>
              <w:t>施肥，对周边地表水环境影响较小。本项目运营对周边大气环境影响较小，不会给周围的环境造成污染。项目运营后针对不同事故制定突发环境事件应急预案，在风险防范措施和事故应急措施到位的前提下，本项目的环境风险是可防控的。</w:t>
            </w:r>
          </w:p>
          <w:p>
            <w:pPr>
              <w:autoSpaceDE w:val="0"/>
              <w:adjustRightInd w:val="0"/>
              <w:snapToGrid w:val="0"/>
              <w:ind w:firstLine="480"/>
              <w:rPr>
                <w:rFonts w:hAnsiTheme="minorEastAsia" w:eastAsiaTheme="minorEastAsia"/>
                <w:color w:val="auto"/>
              </w:rPr>
            </w:pPr>
            <w:r>
              <w:rPr>
                <w:rFonts w:hint="eastAsia" w:hAnsiTheme="minorEastAsia" w:eastAsiaTheme="minorEastAsia"/>
                <w:color w:val="auto"/>
              </w:rPr>
              <w:t>综上所述，评价认为从环境保护的角度，项目的选址合理。</w:t>
            </w:r>
          </w:p>
          <w:p>
            <w:pPr>
              <w:pStyle w:val="61"/>
              <w:spacing w:before="60" w:after="60"/>
              <w:rPr>
                <w:color w:val="auto"/>
              </w:rPr>
            </w:pPr>
            <w:r>
              <w:rPr>
                <w:rFonts w:hint="eastAsia"/>
                <w:color w:val="auto"/>
              </w:rPr>
              <w:t>1</w:t>
            </w:r>
            <w:r>
              <w:rPr>
                <w:color w:val="auto"/>
              </w:rPr>
              <w:t>.4.2环境相容性分析</w:t>
            </w:r>
          </w:p>
          <w:p>
            <w:pPr>
              <w:ind w:firstLine="480"/>
              <w:rPr>
                <w:color w:val="auto"/>
                <w:lang w:bidi="ar"/>
              </w:rPr>
            </w:pPr>
            <w:r>
              <w:rPr>
                <w:rFonts w:hint="eastAsia"/>
                <w:color w:val="auto"/>
                <w:lang w:bidi="ar"/>
              </w:rPr>
              <w:t>项目位于</w:t>
            </w:r>
            <w:r>
              <w:rPr>
                <w:rFonts w:hint="eastAsia"/>
                <w:color w:val="auto"/>
                <w:lang w:eastAsia="zh-CN" w:bidi="ar"/>
              </w:rPr>
              <w:t>师宗县彩云镇彩云中学砖厂</w:t>
            </w:r>
            <w:r>
              <w:rPr>
                <w:rFonts w:hint="eastAsia"/>
                <w:color w:val="auto"/>
                <w:shd w:val="clear" w:fill="FFFFFF"/>
                <w:lang w:eastAsia="zh-CN" w:bidi="ar"/>
              </w:rPr>
              <w:t>旁</w:t>
            </w:r>
            <w:r>
              <w:rPr>
                <w:rFonts w:hint="eastAsia"/>
                <w:color w:val="auto"/>
                <w:lang w:bidi="ar"/>
              </w:rPr>
              <w:t>，根据实地调查，项目周边分布的企业主要为项目北侧的煤厂，项目西南侧的石材厂，在本项目2</w:t>
            </w:r>
            <w:r>
              <w:rPr>
                <w:color w:val="auto"/>
                <w:lang w:bidi="ar"/>
              </w:rPr>
              <w:t>00</w:t>
            </w:r>
            <w:r>
              <w:rPr>
                <w:rFonts w:hint="eastAsia"/>
                <w:color w:val="auto"/>
                <w:lang w:bidi="ar"/>
              </w:rPr>
              <w:t>m范围外，本项目生产设备置于密闭厂房内，通过采取本环评提出的各项废气治理措施后，对大气环境影响较小，因此总体分析后本项目对周边企业和环境影响有限，项目与周边环境相容。</w:t>
            </w:r>
          </w:p>
          <w:p>
            <w:pPr>
              <w:ind w:firstLine="480"/>
              <w:rPr>
                <w:color w:val="auto"/>
                <w:lang w:bidi="en-US"/>
              </w:rPr>
            </w:pPr>
            <w:r>
              <w:rPr>
                <w:rFonts w:hint="eastAsia"/>
                <w:color w:val="auto"/>
                <w:lang w:bidi="ar"/>
              </w:rPr>
              <w:t>项目评价范围内无国家、省、县划定的自然保护区、风景名胜区、饮用水源保护区以及区域生态保护红线，项目与周边环境相容。因此本项目所从事的生产活动能与周围环境功能相容，项目的建设不会改变当地环境功能。</w:t>
            </w:r>
          </w:p>
          <w:p>
            <w:pPr>
              <w:pStyle w:val="56"/>
              <w:spacing w:before="120" w:after="120"/>
              <w:rPr>
                <w:color w:val="auto"/>
                <w:lang w:bidi="en-US"/>
              </w:rPr>
            </w:pPr>
            <w:r>
              <w:rPr>
                <w:rFonts w:hint="eastAsia"/>
                <w:color w:val="auto"/>
                <w:lang w:bidi="en-US"/>
              </w:rPr>
              <w:t>1.</w:t>
            </w:r>
            <w:r>
              <w:rPr>
                <w:color w:val="auto"/>
                <w:lang w:bidi="en-US"/>
              </w:rPr>
              <w:t>5</w:t>
            </w:r>
            <w:r>
              <w:rPr>
                <w:rFonts w:hint="eastAsia"/>
                <w:color w:val="auto"/>
                <w:lang w:bidi="en-US"/>
              </w:rPr>
              <w:t>总平面布置合理性</w:t>
            </w:r>
          </w:p>
          <w:p>
            <w:pPr>
              <w:ind w:firstLine="480"/>
              <w:rPr>
                <w:color w:val="auto"/>
              </w:rPr>
            </w:pPr>
            <w:r>
              <w:rPr>
                <w:rFonts w:hint="eastAsia"/>
                <w:color w:val="auto"/>
              </w:rPr>
              <w:t>根据项目设计图纸资料，本项目利用现有建设用地改造建设厂房，厂区主要分为三部分，第一部分为餐厨垃圾处置车间，整体位于项目区西北侧，处置车间设置为全封闭式，所有生产设备置于车间内，设备</w:t>
            </w:r>
            <w:r>
              <w:rPr>
                <w:rFonts w:hint="eastAsia"/>
                <w:color w:val="auto"/>
                <w:shd w:val="clear" w:fill="FFFFFF"/>
              </w:rPr>
              <w:t>沿</w:t>
            </w:r>
            <w:r>
              <w:rPr>
                <w:rFonts w:hint="eastAsia"/>
                <w:color w:val="auto"/>
              </w:rPr>
              <w:t>车间从东向西布设。第二部分为公</w:t>
            </w:r>
            <w:r>
              <w:rPr>
                <w:rFonts w:hint="eastAsia"/>
                <w:color w:val="auto"/>
                <w:shd w:val="clear" w:fill="FFFFFF"/>
              </w:rPr>
              <w:t>辅</w:t>
            </w:r>
            <w:r>
              <w:rPr>
                <w:rFonts w:hint="eastAsia"/>
                <w:color w:val="auto"/>
              </w:rPr>
              <w:t>工程，主要位于项目南部。第三部分为污水处理工程以及储运工程，位于项目西侧。本项目生产车间和公</w:t>
            </w:r>
            <w:r>
              <w:rPr>
                <w:rFonts w:hint="eastAsia"/>
                <w:color w:val="auto"/>
                <w:shd w:val="clear" w:fill="FFFFFF"/>
              </w:rPr>
              <w:t>辅</w:t>
            </w:r>
            <w:r>
              <w:rPr>
                <w:rFonts w:hint="eastAsia"/>
                <w:color w:val="auto"/>
              </w:rPr>
              <w:t>工程完全独立，满足生产功能需求</w:t>
            </w:r>
            <w:r>
              <w:rPr>
                <w:color w:val="auto"/>
              </w:rPr>
              <w:t>。</w:t>
            </w:r>
            <w:r>
              <w:rPr>
                <w:rFonts w:hint="eastAsia"/>
                <w:color w:val="auto"/>
              </w:rPr>
              <w:t>厂区构筑物的布局有利于加工生产过程中产生的废气、噪声、废水的收集处理，尽可能降低污染物对周边环境的影响。厂区物流车辆流线不交叉，</w:t>
            </w:r>
            <w:r>
              <w:rPr>
                <w:rFonts w:hint="eastAsia"/>
                <w:color w:val="auto"/>
                <w:lang w:eastAsia="zh-CN"/>
              </w:rPr>
              <w:t>厂</w:t>
            </w:r>
            <w:r>
              <w:rPr>
                <w:rFonts w:hint="eastAsia"/>
                <w:color w:val="auto"/>
              </w:rPr>
              <w:t>区内车流清晰明确，物流顺畅，最大</w:t>
            </w:r>
            <w:r>
              <w:rPr>
                <w:rFonts w:hint="eastAsia"/>
                <w:color w:val="auto"/>
                <w:lang w:eastAsia="zh-CN"/>
              </w:rPr>
              <w:t>限度地降低了</w:t>
            </w:r>
            <w:r>
              <w:rPr>
                <w:rFonts w:hint="eastAsia"/>
                <w:color w:val="auto"/>
              </w:rPr>
              <w:t>车辆运行噪声、设备噪声对周围居民的影响。</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rFonts w:hint="eastAsia"/>
                <w:color w:val="auto"/>
              </w:rPr>
              <w:t xml:space="preserve"> </w:t>
            </w:r>
            <w:r>
              <w:rPr>
                <w:color w:val="auto"/>
              </w:rPr>
              <w:t xml:space="preserve"> </w:t>
            </w:r>
          </w:p>
        </w:tc>
      </w:tr>
    </w:tbl>
    <w:p>
      <w:pPr>
        <w:ind w:firstLine="600"/>
        <w:jc w:val="center"/>
        <w:rPr>
          <w:rFonts w:eastAsia="黑体"/>
          <w:color w:val="auto"/>
          <w:sz w:val="30"/>
        </w:rPr>
      </w:pPr>
      <w:r>
        <w:rPr>
          <w:rFonts w:eastAsia="黑体"/>
          <w:color w:val="auto"/>
          <w:sz w:val="30"/>
        </w:rPr>
        <w:br w:type="page"/>
      </w:r>
    </w:p>
    <w:p>
      <w:pPr>
        <w:ind w:firstLine="600"/>
        <w:rPr>
          <w:rFonts w:eastAsia="黑体"/>
          <w:color w:val="auto"/>
          <w:sz w:val="30"/>
        </w:rPr>
        <w:sectPr>
          <w:footerReference r:id="rId11" w:type="default"/>
          <w:pgSz w:w="11906" w:h="16838"/>
          <w:pgMar w:top="1701" w:right="1531" w:bottom="1701" w:left="1531" w:header="624" w:footer="850" w:gutter="0"/>
          <w:pgNumType w:start="1"/>
          <w:cols w:space="720" w:num="1"/>
          <w:docGrid w:linePitch="326"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s="Times New Roman"/>
          <w:color w:val="auto"/>
        </w:rPr>
      </w:pPr>
      <w:bookmarkStart w:id="2" w:name="_Toc103860794"/>
      <w:r>
        <w:rPr>
          <w:rFonts w:hint="eastAsia" w:cs="Times New Roman"/>
          <w:color w:val="auto"/>
        </w:rPr>
        <w:t>二、建设项目工程分析</w:t>
      </w:r>
      <w:bookmarkEnd w:id="2"/>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268" w:type="pct"/>
            <w:vAlign w:val="center"/>
          </w:tcPr>
          <w:p>
            <w:pPr>
              <w:pStyle w:val="59"/>
              <w:rPr>
                <w:rFonts w:hint="default" w:ascii="Times New Roman" w:hAnsi="Times New Roman" w:cs="Times New Roman"/>
                <w:color w:val="auto"/>
              </w:rPr>
            </w:pPr>
            <w:r>
              <w:rPr>
                <w:rFonts w:hint="default" w:ascii="Times New Roman" w:hAnsi="Times New Roman" w:cs="Times New Roman"/>
                <w:color w:val="auto"/>
              </w:rPr>
              <w:t>建设内容</w:t>
            </w:r>
          </w:p>
        </w:tc>
        <w:tc>
          <w:tcPr>
            <w:tcW w:w="4732" w:type="pct"/>
          </w:tcPr>
          <w:p>
            <w:pPr>
              <w:pStyle w:val="56"/>
              <w:spacing w:before="120" w:after="120"/>
              <w:rPr>
                <w:rFonts w:hint="default" w:ascii="Times New Roman" w:hAnsi="Times New Roman" w:cs="Times New Roman"/>
                <w:color w:val="auto"/>
              </w:rPr>
            </w:pPr>
            <w:r>
              <w:rPr>
                <w:rFonts w:hint="default" w:ascii="Times New Roman" w:hAnsi="Times New Roman" w:cs="Times New Roman"/>
                <w:color w:val="auto"/>
              </w:rPr>
              <w:t>2.1建设内容</w:t>
            </w:r>
          </w:p>
          <w:p>
            <w:pPr>
              <w:pStyle w:val="61"/>
              <w:spacing w:before="60" w:after="60"/>
              <w:rPr>
                <w:rFonts w:hint="default" w:ascii="Times New Roman" w:hAnsi="Times New Roman" w:cs="Times New Roman"/>
                <w:color w:val="auto"/>
              </w:rPr>
            </w:pPr>
            <w:r>
              <w:rPr>
                <w:rFonts w:hint="default" w:ascii="Times New Roman" w:hAnsi="Times New Roman" w:cs="Times New Roman"/>
                <w:color w:val="auto"/>
              </w:rPr>
              <w:t>2.1.1项目由来</w:t>
            </w:r>
          </w:p>
          <w:p>
            <w:pPr>
              <w:ind w:firstLine="480"/>
              <w:rPr>
                <w:rFonts w:hint="default" w:ascii="Times New Roman" w:hAnsi="Times New Roman" w:cs="Times New Roman"/>
                <w:color w:val="auto"/>
              </w:rPr>
            </w:pPr>
            <w:r>
              <w:rPr>
                <w:rFonts w:hint="default" w:ascii="Times New Roman" w:hAnsi="Times New Roman" w:cs="Times New Roman"/>
                <w:color w:val="auto"/>
              </w:rPr>
              <w:t>2021年9月10日，</w:t>
            </w:r>
            <w:r>
              <w:rPr>
                <w:rFonts w:hint="default" w:ascii="Times New Roman" w:hAnsi="Times New Roman" w:cs="Times New Roman"/>
                <w:bCs/>
                <w:color w:val="auto"/>
              </w:rPr>
              <w:t>云南志国餐厨废弃物综合利用有限公司“</w:t>
            </w:r>
            <w:r>
              <w:rPr>
                <w:rFonts w:hint="default" w:ascii="Times New Roman" w:hAnsi="Times New Roman" w:cs="Times New Roman"/>
                <w:color w:val="auto"/>
              </w:rPr>
              <w:t>师宗县餐厨废弃油脂回收综合利用项目</w:t>
            </w:r>
            <w:r>
              <w:rPr>
                <w:rFonts w:hint="default" w:ascii="Times New Roman" w:hAnsi="Times New Roman" w:cs="Times New Roman"/>
                <w:bCs/>
                <w:color w:val="auto"/>
              </w:rPr>
              <w:t>”取得了师宗县发展和改革局投资项目备案证，</w:t>
            </w:r>
            <w:r>
              <w:rPr>
                <w:rFonts w:hint="default" w:ascii="Times New Roman" w:hAnsi="Times New Roman" w:cs="Times New Roman"/>
                <w:color w:val="auto"/>
              </w:rPr>
              <w:t>项目代码为2109-530323-04-01-222394，取得备案证后，委托云南联</w:t>
            </w:r>
            <w:r>
              <w:rPr>
                <w:rFonts w:hint="default" w:ascii="Times New Roman" w:hAnsi="Times New Roman" w:cs="Times New Roman"/>
                <w:color w:val="auto"/>
                <w:shd w:val="clear" w:fill="FFFFFF"/>
              </w:rPr>
              <w:t>创</w:t>
            </w:r>
            <w:r>
              <w:rPr>
                <w:rFonts w:hint="default" w:ascii="Times New Roman" w:hAnsi="Times New Roman" w:cs="Times New Roman"/>
                <w:color w:val="auto"/>
              </w:rPr>
              <w:t>环境工程有限公司开展环境影响评价工作，并于2022年5月取得了曲靖市生态环境局师宗分局《师宗县餐厨废弃油脂回收综合利用项目（一期30t/d）环境影响报告表》的批复（</w:t>
            </w:r>
            <w:r>
              <w:rPr>
                <w:rFonts w:hint="default" w:ascii="Times New Roman" w:hAnsi="Times New Roman" w:cs="Times New Roman"/>
                <w:color w:val="auto"/>
                <w:shd w:val="clear" w:fill="FFFFFF"/>
              </w:rPr>
              <w:t>曲师环审</w:t>
            </w:r>
            <w:r>
              <w:rPr>
                <w:rFonts w:hint="default" w:ascii="Times New Roman" w:hAnsi="Times New Roman" w:cs="Times New Roman"/>
                <w:color w:val="auto"/>
              </w:rPr>
              <w:t>〔2022〕15号），原项目位于师宗县大同工业园，由于师宗工业园区规划调整，项目重新选址</w:t>
            </w:r>
            <w:r>
              <w:rPr>
                <w:rFonts w:hint="default" w:ascii="Times New Roman" w:hAnsi="Times New Roman" w:cs="Times New Roman"/>
                <w:color w:val="auto"/>
                <w:shd w:val="clear" w:fill="FFFFFF"/>
              </w:rPr>
              <w:t>至</w:t>
            </w:r>
            <w:r>
              <w:rPr>
                <w:rFonts w:hint="default" w:ascii="Times New Roman" w:hAnsi="Times New Roman" w:cs="Times New Roman"/>
                <w:color w:val="auto"/>
                <w:lang w:eastAsia="zh-CN"/>
              </w:rPr>
              <w:t>师宗县彩云镇彩云中学砖厂</w:t>
            </w:r>
            <w:r>
              <w:rPr>
                <w:rFonts w:hint="default" w:ascii="Times New Roman" w:hAnsi="Times New Roman" w:cs="Times New Roman"/>
                <w:color w:val="auto"/>
                <w:shd w:val="clear" w:fill="FFFFFF"/>
                <w:lang w:eastAsia="zh-CN"/>
              </w:rPr>
              <w:t>旁</w:t>
            </w:r>
            <w:r>
              <w:rPr>
                <w:rFonts w:hint="default" w:ascii="Times New Roman" w:hAnsi="Times New Roman" w:cs="Times New Roman"/>
                <w:color w:val="auto"/>
              </w:rPr>
              <w:t>建设。</w:t>
            </w:r>
          </w:p>
          <w:p>
            <w:pPr>
              <w:ind w:firstLine="480"/>
              <w:rPr>
                <w:rFonts w:hint="default" w:ascii="Times New Roman" w:hAnsi="Times New Roman" w:cs="Times New Roman"/>
                <w:color w:val="auto"/>
                <w:lang w:val="en-US" w:eastAsia="zh-CN"/>
              </w:rPr>
            </w:pPr>
            <w:r>
              <w:rPr>
                <w:rFonts w:hint="default" w:ascii="Times New Roman" w:hAnsi="Times New Roman" w:cs="Times New Roman"/>
                <w:color w:val="auto"/>
              </w:rPr>
              <w:t>根据关于印发《污染影响类建设项目重大变动清单（试行）》的通知（环办环评函〔2020〕688号），建设项目重新选址属于重大变动，应重新开展环境影响评价工作，建设单位向</w:t>
            </w:r>
            <w:r>
              <w:rPr>
                <w:rFonts w:hint="default" w:ascii="Times New Roman" w:hAnsi="Times New Roman" w:cs="Times New Roman"/>
                <w:bCs/>
                <w:color w:val="auto"/>
              </w:rPr>
              <w:t>师宗县发展和改革局申请对项目建设地点进行变更，项目代码和项目名称仍然沿用</w:t>
            </w:r>
            <w:r>
              <w:rPr>
                <w:rFonts w:hint="default" w:ascii="Times New Roman" w:hAnsi="Times New Roman" w:cs="Times New Roman"/>
                <w:bCs/>
                <w:color w:val="auto"/>
                <w:shd w:val="clear" w:fill="FFFFFF"/>
              </w:rPr>
              <w:t>原</w:t>
            </w:r>
            <w:r>
              <w:rPr>
                <w:rFonts w:hint="default" w:ascii="Times New Roman" w:hAnsi="Times New Roman" w:cs="Times New Roman"/>
                <w:bCs/>
                <w:color w:val="auto"/>
              </w:rPr>
              <w:t>备案证</w:t>
            </w:r>
            <w:r>
              <w:rPr>
                <w:rFonts w:hint="default" w:ascii="Times New Roman" w:hAnsi="Times New Roman" w:cs="Times New Roman"/>
                <w:bCs/>
                <w:color w:val="auto"/>
                <w:lang w:eastAsia="zh-CN"/>
              </w:rPr>
              <w:t>；</w:t>
            </w:r>
            <w:r>
              <w:rPr>
                <w:rFonts w:hint="default" w:ascii="Times New Roman" w:hAnsi="Times New Roman" w:cs="Times New Roman"/>
                <w:color w:val="auto"/>
                <w:lang w:val="en-US" w:eastAsia="zh-CN"/>
              </w:rPr>
              <w:t>2024年1月建设单位委托云南联</w:t>
            </w:r>
            <w:r>
              <w:rPr>
                <w:rFonts w:hint="default" w:ascii="Times New Roman" w:hAnsi="Times New Roman" w:cs="Times New Roman"/>
                <w:color w:val="auto"/>
                <w:shd w:val="clear" w:fill="FFFFFF"/>
                <w:lang w:val="en-US" w:eastAsia="zh-CN"/>
              </w:rPr>
              <w:t>创</w:t>
            </w:r>
            <w:r>
              <w:rPr>
                <w:rFonts w:hint="default" w:ascii="Times New Roman" w:hAnsi="Times New Roman" w:cs="Times New Roman"/>
                <w:color w:val="auto"/>
                <w:lang w:val="en-US" w:eastAsia="zh-CN"/>
              </w:rPr>
              <w:t>环境工程有限公司编制完成《师宗县餐厨废弃油脂回收综合利用项目一期工程</w:t>
            </w:r>
            <w:r>
              <w:rPr>
                <w:rFonts w:hint="default" w:ascii="Times New Roman" w:hAnsi="Times New Roman" w:cs="Times New Roman"/>
                <w:color w:val="auto"/>
              </w:rPr>
              <w:t>环境影响报告表</w:t>
            </w:r>
            <w:r>
              <w:rPr>
                <w:rFonts w:hint="default" w:ascii="Times New Roman" w:hAnsi="Times New Roman" w:cs="Times New Roman"/>
                <w:color w:val="auto"/>
                <w:lang w:val="en-US" w:eastAsia="zh-CN"/>
              </w:rPr>
              <w:t>》；2024年5月23日取得曲靖市生态环境局师宗分局关于师宗县餐厨废弃油脂回收综合利用项目一期工程环境影响报告表的批复（</w:t>
            </w:r>
            <w:r>
              <w:rPr>
                <w:rFonts w:hint="default" w:ascii="Times New Roman" w:hAnsi="Times New Roman" w:cs="Times New Roman"/>
                <w:color w:val="auto"/>
                <w:shd w:val="clear" w:fill="FFFFFF"/>
                <w:lang w:val="en-US" w:eastAsia="zh-CN"/>
              </w:rPr>
              <w:t>曲师环审</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2024</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8号）。</w:t>
            </w:r>
          </w:p>
          <w:p>
            <w:pPr>
              <w:bidi w:val="0"/>
              <w:rPr>
                <w:rFonts w:hint="default" w:ascii="Times New Roman" w:hAnsi="Times New Roman" w:cs="Times New Roman"/>
                <w:b/>
                <w:bCs/>
                <w:color w:val="auto"/>
                <w:lang w:val="en-US" w:eastAsia="zh-CN"/>
              </w:rPr>
            </w:pPr>
            <w:r>
              <w:rPr>
                <w:rFonts w:hint="default" w:ascii="Times New Roman" w:hAnsi="Times New Roman" w:cs="Times New Roman"/>
                <w:color w:val="auto"/>
              </w:rPr>
              <w:t>项目取得环评批复后，</w:t>
            </w:r>
            <w:r>
              <w:rPr>
                <w:rFonts w:hint="default" w:ascii="Times New Roman" w:hAnsi="Times New Roman" w:cs="Times New Roman"/>
                <w:color w:val="auto"/>
                <w:lang w:val="en-US" w:eastAsia="zh-CN"/>
              </w:rPr>
              <w:t>根据现场踏勘和资料收集，2024年6月建设单位动工建设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现阶段已建设餐厨垃圾处置车间、</w:t>
            </w:r>
            <w:r>
              <w:rPr>
                <w:rFonts w:hint="default" w:ascii="Times New Roman" w:hAnsi="Times New Roman" w:cs="Times New Roman"/>
                <w:color w:val="auto"/>
                <w:lang w:eastAsia="zh-CN"/>
              </w:rPr>
              <w:t>办公休息区、门卫室、成品油罐、</w:t>
            </w:r>
            <w:r>
              <w:rPr>
                <w:rFonts w:hint="default" w:ascii="Times New Roman" w:hAnsi="Times New Roman" w:cs="Times New Roman"/>
                <w:color w:val="auto"/>
                <w:lang w:val="en-US" w:eastAsia="zh-CN"/>
              </w:rPr>
              <w:t>初期雨水池、化粪池等建设，</w:t>
            </w:r>
            <w:r>
              <w:rPr>
                <w:rFonts w:hint="default" w:ascii="Times New Roman" w:hAnsi="Times New Roman" w:cs="Times New Roman"/>
                <w:color w:val="auto"/>
              </w:rPr>
              <w:t>其余工程均未建设，原项目至今未投入生产</w:t>
            </w:r>
            <w:r>
              <w:rPr>
                <w:rFonts w:hint="default" w:ascii="Times New Roman" w:hAnsi="Times New Roman" w:cs="Times New Roman"/>
                <w:color w:val="auto"/>
                <w:lang w:eastAsia="zh-CN"/>
              </w:rPr>
              <w:t>。</w:t>
            </w:r>
            <w:r>
              <w:rPr>
                <w:rFonts w:hint="default" w:ascii="Times New Roman" w:hAnsi="Times New Roman" w:cs="Times New Roman"/>
                <w:b/>
                <w:bCs/>
                <w:color w:val="auto"/>
                <w:lang w:val="en-US" w:eastAsia="zh-CN"/>
              </w:rPr>
              <w:t>根据《产业结构调整指导目录》（2024年），项目</w:t>
            </w:r>
            <w:r>
              <w:rPr>
                <w:rFonts w:hint="default" w:ascii="Times New Roman" w:hAnsi="Times New Roman" w:cs="Times New Roman"/>
                <w:b/>
                <w:bCs/>
                <w:color w:val="auto"/>
                <w:shd w:val="clear" w:fill="FFFFFF"/>
                <w:lang w:val="en-US" w:eastAsia="zh-CN"/>
              </w:rPr>
              <w:t>原</w:t>
            </w:r>
            <w:r>
              <w:rPr>
                <w:rFonts w:hint="default" w:ascii="Times New Roman" w:hAnsi="Times New Roman" w:cs="Times New Roman"/>
                <w:b/>
                <w:bCs/>
                <w:color w:val="auto"/>
                <w:lang w:val="en-US" w:eastAsia="zh-CN"/>
              </w:rPr>
              <w:t>环评阶段建设0.7t/h生物质锅炉属于“第三类 淘汰类中（七）机械：66．每小时2蒸吨及以下生物质锅炉”</w:t>
            </w:r>
            <w:r>
              <w:rPr>
                <w:rFonts w:hint="default" w:ascii="Times New Roman" w:hAnsi="Times New Roman" w:cs="Times New Roman"/>
                <w:color w:val="auto"/>
                <w:lang w:val="en-US" w:eastAsia="zh-CN"/>
              </w:rPr>
              <w:t>，建设单位在满足现行产业政策的基础上，同步将项目二期工程的供热计划一并规划建设，</w:t>
            </w:r>
            <w:r>
              <w:rPr>
                <w:rFonts w:hint="default" w:ascii="Times New Roman" w:hAnsi="Times New Roman" w:cs="Times New Roman"/>
                <w:b/>
                <w:bCs/>
                <w:color w:val="auto"/>
                <w:lang w:val="en-US" w:eastAsia="zh-CN"/>
              </w:rPr>
              <w:t>特将原有的0.7t/h的生物质锅炉更换成2.2t/h的生物质锅炉。</w:t>
            </w:r>
          </w:p>
          <w:p>
            <w:pPr>
              <w:ind w:firstLine="480"/>
              <w:rPr>
                <w:rFonts w:hint="default" w:ascii="Times New Roman" w:hAnsi="Times New Roman" w:cs="Times New Roman"/>
                <w:color w:val="auto"/>
              </w:rPr>
            </w:pPr>
            <w:r>
              <w:rPr>
                <w:rFonts w:hint="default" w:ascii="Times New Roman" w:hAnsi="Times New Roman" w:cs="Times New Roman"/>
                <w:color w:val="auto"/>
              </w:rPr>
              <w:t>经对照印发的《污染影响类建设项目重大变动清单（试行）》（环办环评函〔2020〕688号），目前已建工程、拟实施工程内容与原环评相比，</w:t>
            </w:r>
            <w:r>
              <w:rPr>
                <w:rFonts w:hint="default" w:ascii="Times New Roman" w:hAnsi="Times New Roman" w:cs="Times New Roman"/>
                <w:color w:val="auto"/>
                <w:lang w:val="en-US" w:eastAsia="zh-CN"/>
              </w:rPr>
              <w:t>由于项目</w:t>
            </w:r>
            <w:r>
              <w:rPr>
                <w:rFonts w:hint="default" w:ascii="Times New Roman" w:hAnsi="Times New Roman" w:cs="Times New Roman"/>
                <w:color w:val="auto"/>
                <w:shd w:val="clear" w:fill="FFFFFF"/>
                <w:lang w:val="en-US" w:eastAsia="zh-CN"/>
              </w:rPr>
              <w:t>将</w:t>
            </w:r>
            <w:r>
              <w:rPr>
                <w:rFonts w:hint="default" w:ascii="Times New Roman" w:hAnsi="Times New Roman" w:cs="Times New Roman"/>
                <w:color w:val="auto"/>
                <w:lang w:val="en-US" w:eastAsia="zh-CN"/>
              </w:rPr>
              <w:t>0.7t/h生物质锅炉更换为2.2t/h生物质锅炉，生产</w:t>
            </w:r>
            <w:r>
              <w:rPr>
                <w:rFonts w:hint="default" w:ascii="Times New Roman" w:hAnsi="Times New Roman" w:cs="Times New Roman"/>
                <w:color w:val="auto"/>
              </w:rPr>
              <w:t>工艺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污染物产生量</w:t>
            </w:r>
            <w:r>
              <w:rPr>
                <w:rFonts w:hint="default" w:ascii="Times New Roman" w:hAnsi="Times New Roman" w:cs="Times New Roman"/>
                <w:color w:val="auto"/>
              </w:rPr>
              <w:t>发生变动。具体变动情况见2.1.2节描述。</w:t>
            </w:r>
          </w:p>
          <w:p>
            <w:pPr>
              <w:ind w:firstLine="480"/>
              <w:rPr>
                <w:rFonts w:hint="default" w:ascii="Times New Roman" w:hAnsi="Times New Roman" w:cs="Times New Roman"/>
                <w:color w:val="auto"/>
              </w:rPr>
            </w:pPr>
            <w:r>
              <w:rPr>
                <w:rFonts w:hint="default" w:ascii="Times New Roman" w:hAnsi="Times New Roman" w:cs="Times New Roman"/>
                <w:color w:val="auto"/>
              </w:rPr>
              <w:t>根据《中华人民共和国环境影响评价法》第二十四条之规定，建设项目的环境影响评价文件经批准后，建设项目的性质、规模、地点、采用的生产工艺或者防治污染、防止生态破坏的措施发生重大变动的，建设单位应当重新报批建设项目的环境影响评价文件。为此，建设单位委托云南联</w:t>
            </w:r>
            <w:r>
              <w:rPr>
                <w:rFonts w:hint="default" w:ascii="Times New Roman" w:hAnsi="Times New Roman" w:cs="Times New Roman"/>
                <w:color w:val="auto"/>
                <w:shd w:val="clear" w:fill="FFFFFF"/>
              </w:rPr>
              <w:t>创</w:t>
            </w:r>
            <w:r>
              <w:rPr>
                <w:rFonts w:hint="default" w:ascii="Times New Roman" w:hAnsi="Times New Roman" w:cs="Times New Roman"/>
                <w:color w:val="auto"/>
              </w:rPr>
              <w:t>环境工程有限公司</w:t>
            </w:r>
            <w:r>
              <w:rPr>
                <w:rFonts w:hint="default" w:ascii="Times New Roman" w:hAnsi="Times New Roman" w:cs="Times New Roman"/>
                <w:color w:val="auto"/>
                <w:lang w:val="en-US" w:eastAsia="zh-CN"/>
              </w:rPr>
              <w:t>对工程变动情况重新</w:t>
            </w:r>
            <w:r>
              <w:rPr>
                <w:rFonts w:hint="default" w:ascii="Times New Roman" w:hAnsi="Times New Roman" w:cs="Times New Roman"/>
                <w:color w:val="auto"/>
              </w:rPr>
              <w:t>开展</w:t>
            </w:r>
            <w:r>
              <w:rPr>
                <w:rFonts w:hint="default" w:ascii="Times New Roman" w:hAnsi="Times New Roman" w:cs="Times New Roman"/>
                <w:color w:val="auto"/>
                <w:lang w:val="en-US" w:eastAsia="zh-CN"/>
              </w:rPr>
              <w:t>环境影响评价工作</w:t>
            </w:r>
            <w:r>
              <w:rPr>
                <w:rFonts w:hint="default" w:ascii="Times New Roman" w:hAnsi="Times New Roman" w:cs="Times New Roman"/>
                <w:color w:val="auto"/>
              </w:rPr>
              <w:t>，接受委托后，云南联</w:t>
            </w:r>
            <w:r>
              <w:rPr>
                <w:rFonts w:hint="default" w:ascii="Times New Roman" w:hAnsi="Times New Roman" w:cs="Times New Roman"/>
                <w:color w:val="auto"/>
                <w:shd w:val="clear" w:fill="FFFFFF"/>
              </w:rPr>
              <w:t>创</w:t>
            </w:r>
            <w:r>
              <w:rPr>
                <w:rFonts w:hint="default" w:ascii="Times New Roman" w:hAnsi="Times New Roman" w:cs="Times New Roman"/>
                <w:color w:val="auto"/>
              </w:rPr>
              <w:t>环境工程有限公司收集有关资料并对现场进行了踏勘，编制完成了《</w:t>
            </w:r>
            <w:r>
              <w:rPr>
                <w:rFonts w:hint="default" w:ascii="Times New Roman" w:hAnsi="Times New Roman" w:cs="Times New Roman"/>
                <w:color w:val="auto"/>
                <w:lang w:eastAsia="zh-CN"/>
              </w:rPr>
              <w:t>师宗县餐厨废弃油脂回收综合利用项目一期工程（重新报批）</w:t>
            </w:r>
            <w:r>
              <w:rPr>
                <w:rFonts w:hint="default" w:ascii="Times New Roman" w:hAnsi="Times New Roman" w:cs="Times New Roman"/>
                <w:color w:val="auto"/>
              </w:rPr>
              <w:t>环境影响报告表》，供建设单位上报生态环境主管部门</w:t>
            </w:r>
            <w:r>
              <w:rPr>
                <w:rFonts w:hint="default" w:ascii="Times New Roman" w:hAnsi="Times New Roman" w:cs="Times New Roman"/>
                <w:color w:val="auto"/>
                <w:lang w:val="en-US" w:eastAsia="zh-CN"/>
              </w:rPr>
              <w:t>重新</w:t>
            </w:r>
            <w:r>
              <w:rPr>
                <w:rFonts w:hint="default" w:ascii="Times New Roman" w:hAnsi="Times New Roman" w:cs="Times New Roman"/>
                <w:color w:val="auto"/>
              </w:rPr>
              <w:t>审批，作为项目环境管理的依据。</w:t>
            </w:r>
          </w:p>
          <w:p>
            <w:pPr>
              <w:ind w:firstLine="480"/>
              <w:rPr>
                <w:rFonts w:hint="default" w:ascii="Times New Roman" w:hAnsi="Times New Roman" w:cs="Times New Roman"/>
                <w:color w:val="auto"/>
              </w:rPr>
            </w:pPr>
            <w:r>
              <w:rPr>
                <w:rFonts w:hint="default" w:ascii="Times New Roman" w:hAnsi="Times New Roman" w:cs="Times New Roman"/>
                <w:color w:val="auto"/>
                <w:lang w:eastAsia="zh-CN"/>
              </w:rPr>
              <w:t>本次</w:t>
            </w:r>
            <w:r>
              <w:rPr>
                <w:rFonts w:hint="default" w:ascii="Times New Roman" w:hAnsi="Times New Roman" w:cs="Times New Roman"/>
                <w:color w:val="auto"/>
              </w:rPr>
              <w:t>环评</w:t>
            </w:r>
            <w:r>
              <w:rPr>
                <w:rFonts w:hint="default" w:ascii="Times New Roman" w:hAnsi="Times New Roman" w:cs="Times New Roman"/>
                <w:color w:val="auto"/>
                <w:shd w:val="clear" w:fill="FFFFFF"/>
              </w:rPr>
              <w:t>仅</w:t>
            </w:r>
            <w:r>
              <w:rPr>
                <w:rFonts w:hint="default" w:ascii="Times New Roman" w:hAnsi="Times New Roman" w:cs="Times New Roman"/>
                <w:color w:val="auto"/>
              </w:rPr>
              <w:t>评价</w:t>
            </w:r>
            <w:r>
              <w:rPr>
                <w:rFonts w:hint="default" w:ascii="Times New Roman" w:hAnsi="Times New Roman" w:cs="Times New Roman"/>
                <w:color w:val="auto"/>
                <w:lang w:eastAsia="zh-CN"/>
              </w:rPr>
              <w:t>师宗县餐厨废弃油脂回收综合利用项目一期工程</w:t>
            </w:r>
            <w:r>
              <w:rPr>
                <w:rFonts w:hint="default" w:ascii="Times New Roman" w:hAnsi="Times New Roman" w:cs="Times New Roman"/>
                <w:color w:val="auto"/>
              </w:rPr>
              <w:t>，二期工程应另行办理环评。</w:t>
            </w:r>
          </w:p>
          <w:p>
            <w:pPr>
              <w:pStyle w:val="61"/>
              <w:spacing w:before="60" w:after="6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2.1.2工程变动情况</w:t>
            </w:r>
          </w:p>
          <w:p>
            <w:pPr>
              <w:pStyle w:val="84"/>
              <w:ind w:firstLine="482"/>
              <w:rPr>
                <w:rFonts w:hint="default" w:ascii="Times New Roman" w:hAnsi="Times New Roman" w:cs="Times New Roman"/>
                <w:color w:val="auto"/>
              </w:rPr>
            </w:pPr>
            <w:r>
              <w:rPr>
                <w:rFonts w:hint="default" w:ascii="Times New Roman" w:hAnsi="Times New Roman" w:cs="Times New Roman"/>
                <w:color w:val="auto"/>
              </w:rPr>
              <w:t>1.建设内容变动情况</w:t>
            </w:r>
          </w:p>
          <w:p>
            <w:pPr>
              <w:ind w:firstLine="480"/>
              <w:rPr>
                <w:rFonts w:hint="default" w:ascii="Times New Roman" w:hAnsi="Times New Roman" w:cs="Times New Roman"/>
                <w:color w:val="auto"/>
              </w:rPr>
            </w:pPr>
            <w:r>
              <w:rPr>
                <w:rFonts w:hint="default" w:ascii="Times New Roman" w:hAnsi="Times New Roman" w:cs="Times New Roman"/>
                <w:bCs/>
                <w:color w:val="auto"/>
              </w:rPr>
              <w:t>本项目建设内容与原环评对比情况见下表2.1-1</w:t>
            </w:r>
            <w:r>
              <w:rPr>
                <w:rFonts w:hint="default" w:ascii="Times New Roman" w:hAnsi="Times New Roman" w:cs="Times New Roman"/>
                <w:bCs/>
                <w:color w:val="auto"/>
                <w:lang w:val="en-US" w:eastAsia="zh-CN"/>
              </w:rPr>
              <w:t>所示</w:t>
            </w:r>
            <w:r>
              <w:rPr>
                <w:rFonts w:hint="default" w:ascii="Times New Roman" w:hAnsi="Times New Roman" w:cs="Times New Roman"/>
                <w:bCs/>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 xml:space="preserve">表2.1-1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建设项目工程组成表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386"/>
              <w:gridCol w:w="514"/>
              <w:gridCol w:w="375"/>
              <w:gridCol w:w="2511"/>
              <w:gridCol w:w="3085"/>
              <w:gridCol w:w="96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567" w:type="pct"/>
                  <w:gridSpan w:val="2"/>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shd w:val="clear" w:fill="FFFFFF"/>
                      <w:lang w:val="en-US" w:eastAsia="zh-CN"/>
                    </w:rPr>
                    <w:t>原</w:t>
                  </w:r>
                  <w:r>
                    <w:rPr>
                      <w:rFonts w:hint="default" w:ascii="Times New Roman" w:hAnsi="Times New Roman" w:cs="Times New Roman"/>
                      <w:b/>
                      <w:bCs/>
                      <w:color w:val="auto"/>
                      <w:lang w:val="en-US" w:eastAsia="zh-CN"/>
                    </w:rPr>
                    <w:t>环评及批复中</w:t>
                  </w:r>
                  <w:r>
                    <w:rPr>
                      <w:rFonts w:hint="default" w:ascii="Times New Roman" w:hAnsi="Times New Roman" w:cs="Times New Roman"/>
                      <w:b/>
                      <w:bCs/>
                      <w:color w:val="auto"/>
                    </w:rPr>
                    <w:t>建设内容及规模</w:t>
                  </w:r>
                </w:p>
              </w:tc>
              <w:tc>
                <w:tcPr>
                  <w:tcW w:w="1968" w:type="pct"/>
                  <w:tcBorders>
                    <w:left w:val="single" w:color="auto" w:sz="4" w:space="0"/>
                  </w:tcBorders>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实际</w:t>
                  </w:r>
                  <w:r>
                    <w:rPr>
                      <w:rFonts w:hint="default" w:ascii="Times New Roman" w:hAnsi="Times New Roman" w:cs="Times New Roman"/>
                      <w:b/>
                      <w:bCs/>
                      <w:color w:val="auto"/>
                    </w:rPr>
                    <w:t>已建成</w:t>
                  </w:r>
                  <w:r>
                    <w:rPr>
                      <w:rFonts w:hint="default" w:ascii="Times New Roman" w:hAnsi="Times New Roman" w:cs="Times New Roman"/>
                      <w:b/>
                      <w:bCs/>
                      <w:color w:val="auto"/>
                      <w:lang w:eastAsia="zh-CN"/>
                    </w:rPr>
                    <w:t>/拟建成</w:t>
                  </w:r>
                  <w:r>
                    <w:rPr>
                      <w:rFonts w:hint="default" w:ascii="Times New Roman" w:hAnsi="Times New Roman" w:cs="Times New Roman"/>
                      <w:b/>
                      <w:bCs/>
                      <w:color w:val="auto"/>
                    </w:rPr>
                    <w:t>内容</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变动内容分析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主体工程</w:t>
                  </w: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餐厨垃圾处置车间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建筑面积248㎡</w:t>
                  </w:r>
                  <w:r>
                    <w:rPr>
                      <w:rFonts w:hint="default" w:ascii="Times New Roman" w:hAnsi="Times New Roman" w:cs="Times New Roman"/>
                      <w:color w:val="auto"/>
                      <w:lang w:eastAsia="zh-CN"/>
                    </w:rPr>
                    <w:t>，</w:t>
                  </w:r>
                  <w:r>
                    <w:rPr>
                      <w:rFonts w:hint="default" w:ascii="Times New Roman" w:hAnsi="Times New Roman" w:cs="Times New Roman"/>
                      <w:color w:val="auto"/>
                    </w:rPr>
                    <w:t>地面混凝土硬化，</w:t>
                  </w:r>
                  <w:r>
                    <w:rPr>
                      <w:rFonts w:hint="default" w:ascii="Times New Roman" w:hAnsi="Times New Roman" w:cs="Times New Roman"/>
                      <w:color w:val="auto"/>
                      <w:lang w:eastAsia="zh-CN"/>
                    </w:rPr>
                    <w:t>钢混</w:t>
                  </w:r>
                  <w:r>
                    <w:rPr>
                      <w:rFonts w:hint="default" w:ascii="Times New Roman" w:hAnsi="Times New Roman" w:cs="Times New Roman"/>
                      <w:color w:val="auto"/>
                    </w:rPr>
                    <w:t>结构，1F，</w:t>
                  </w:r>
                  <w:r>
                    <w:rPr>
                      <w:rFonts w:hint="default" w:ascii="Times New Roman" w:hAnsi="Times New Roman" w:cs="Times New Roman"/>
                      <w:color w:val="auto"/>
                      <w:lang w:eastAsia="zh-CN"/>
                    </w:rPr>
                    <w:t>全封闭式车间</w:t>
                  </w:r>
                  <w:r>
                    <w:rPr>
                      <w:rFonts w:hint="default" w:ascii="Times New Roman" w:hAnsi="Times New Roman" w:cs="Times New Roman"/>
                      <w:color w:val="auto"/>
                    </w:rPr>
                    <w:t>，只留</w:t>
                  </w:r>
                  <w:r>
                    <w:rPr>
                      <w:rFonts w:hint="default" w:ascii="Times New Roman" w:hAnsi="Times New Roman" w:cs="Times New Roman"/>
                      <w:color w:val="auto"/>
                      <w:lang w:eastAsia="zh-CN"/>
                    </w:rPr>
                    <w:t>车辆</w:t>
                  </w:r>
                  <w:r>
                    <w:rPr>
                      <w:rFonts w:hint="default" w:ascii="Times New Roman" w:hAnsi="Times New Roman" w:cs="Times New Roman"/>
                      <w:color w:val="auto"/>
                    </w:rPr>
                    <w:t>进出口</w:t>
                  </w:r>
                  <w:r>
                    <w:rPr>
                      <w:rFonts w:hint="default" w:ascii="Times New Roman" w:hAnsi="Times New Roman" w:cs="Times New Roman"/>
                      <w:color w:val="auto"/>
                      <w:lang w:eastAsia="zh-CN"/>
                    </w:rPr>
                    <w:t>，车辆进出口设置自动卷帘门</w:t>
                  </w:r>
                  <w:r>
                    <w:rPr>
                      <w:rFonts w:hint="default" w:ascii="Times New Roman" w:hAnsi="Times New Roman" w:cs="Times New Roman"/>
                      <w:color w:val="auto"/>
                    </w:rPr>
                    <w:t>，</w:t>
                  </w:r>
                  <w:r>
                    <w:rPr>
                      <w:rFonts w:hint="default" w:ascii="Times New Roman" w:hAnsi="Times New Roman" w:cs="Times New Roman"/>
                      <w:color w:val="auto"/>
                      <w:lang w:val="en-US" w:eastAsia="zh-CN"/>
                    </w:rPr>
                    <w:t>厂房内设置一条餐厨垃圾处理生产线，安装进</w:t>
                  </w:r>
                  <w:r>
                    <w:rPr>
                      <w:rFonts w:hint="default" w:ascii="Times New Roman" w:hAnsi="Times New Roman" w:cs="Times New Roman"/>
                      <w:color w:val="auto"/>
                      <w:shd w:val="clear" w:fill="FFFFFF"/>
                      <w:lang w:val="en-US" w:eastAsia="zh-CN"/>
                    </w:rPr>
                    <w:t>料料仓</w:t>
                  </w:r>
                  <w:r>
                    <w:rPr>
                      <w:rFonts w:hint="default" w:ascii="Times New Roman" w:hAnsi="Times New Roman" w:cs="Times New Roman"/>
                      <w:color w:val="auto"/>
                      <w:lang w:val="en-US" w:eastAsia="zh-CN"/>
                    </w:rPr>
                    <w:t>、固液分离甩干机、无</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螺旋提升机、有</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螺旋提升机、三相</w:t>
                  </w:r>
                  <w:r>
                    <w:rPr>
                      <w:rFonts w:hint="default" w:ascii="Times New Roman" w:hAnsi="Times New Roman" w:cs="Times New Roman"/>
                      <w:color w:val="auto"/>
                      <w:shd w:val="clear" w:fill="FFFFFF"/>
                      <w:lang w:val="en-US" w:eastAsia="zh-CN"/>
                    </w:rPr>
                    <w:t>卧螺</w:t>
                  </w:r>
                  <w:r>
                    <w:rPr>
                      <w:rFonts w:hint="default" w:ascii="Times New Roman" w:hAnsi="Times New Roman" w:cs="Times New Roman"/>
                      <w:color w:val="auto"/>
                      <w:lang w:val="en-US" w:eastAsia="zh-CN"/>
                    </w:rPr>
                    <w:t>分离机、好氧发酵仓、生物质锅炉等设备，配套安装各项环保设施</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numPr>
                      <w:ilvl w:val="0"/>
                      <w:numId w:val="2"/>
                    </w:numPr>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项目已建餐厨垃圾处置车间</w:t>
                  </w:r>
                  <w:r>
                    <w:rPr>
                      <w:rFonts w:hint="default" w:ascii="Times New Roman" w:hAnsi="Times New Roman" w:cs="Times New Roman"/>
                      <w:color w:val="auto"/>
                    </w:rPr>
                    <w:t>建筑面积248㎡</w:t>
                  </w:r>
                  <w:r>
                    <w:rPr>
                      <w:rFonts w:hint="default" w:ascii="Times New Roman" w:hAnsi="Times New Roman" w:cs="Times New Roman"/>
                      <w:color w:val="auto"/>
                      <w:lang w:eastAsia="zh-CN"/>
                    </w:rPr>
                    <w:t>，</w:t>
                  </w:r>
                  <w:r>
                    <w:rPr>
                      <w:rFonts w:hint="default" w:ascii="Times New Roman" w:hAnsi="Times New Roman" w:cs="Times New Roman"/>
                      <w:color w:val="auto"/>
                    </w:rPr>
                    <w:t>地面混凝土硬化，</w:t>
                  </w:r>
                  <w:r>
                    <w:rPr>
                      <w:rFonts w:hint="default" w:ascii="Times New Roman" w:hAnsi="Times New Roman" w:cs="Times New Roman"/>
                      <w:color w:val="auto"/>
                      <w:lang w:eastAsia="zh-CN"/>
                    </w:rPr>
                    <w:t>钢混</w:t>
                  </w:r>
                  <w:r>
                    <w:rPr>
                      <w:rFonts w:hint="default" w:ascii="Times New Roman" w:hAnsi="Times New Roman" w:cs="Times New Roman"/>
                      <w:color w:val="auto"/>
                    </w:rPr>
                    <w:t>结构，1F，</w:t>
                  </w:r>
                  <w:r>
                    <w:rPr>
                      <w:rFonts w:hint="default" w:ascii="Times New Roman" w:hAnsi="Times New Roman" w:cs="Times New Roman"/>
                      <w:color w:val="auto"/>
                      <w:lang w:eastAsia="zh-CN"/>
                    </w:rPr>
                    <w:t>全封闭式车间</w:t>
                  </w:r>
                  <w:r>
                    <w:rPr>
                      <w:rFonts w:hint="default" w:ascii="Times New Roman" w:hAnsi="Times New Roman" w:cs="Times New Roman"/>
                      <w:color w:val="auto"/>
                    </w:rPr>
                    <w:t>，只留</w:t>
                  </w:r>
                  <w:r>
                    <w:rPr>
                      <w:rFonts w:hint="default" w:ascii="Times New Roman" w:hAnsi="Times New Roman" w:cs="Times New Roman"/>
                      <w:color w:val="auto"/>
                      <w:lang w:eastAsia="zh-CN"/>
                    </w:rPr>
                    <w:t>车辆</w:t>
                  </w:r>
                  <w:r>
                    <w:rPr>
                      <w:rFonts w:hint="default" w:ascii="Times New Roman" w:hAnsi="Times New Roman" w:cs="Times New Roman"/>
                      <w:color w:val="auto"/>
                    </w:rPr>
                    <w:t>进出口</w:t>
                  </w:r>
                  <w:r>
                    <w:rPr>
                      <w:rFonts w:hint="default" w:ascii="Times New Roman" w:hAnsi="Times New Roman" w:cs="Times New Roman"/>
                      <w:color w:val="auto"/>
                      <w:lang w:eastAsia="zh-CN"/>
                    </w:rPr>
                    <w:t>，车辆进出口设置自动卷帘门</w:t>
                  </w:r>
                  <w:r>
                    <w:rPr>
                      <w:rFonts w:hint="default" w:ascii="Times New Roman" w:hAnsi="Times New Roman" w:cs="Times New Roman"/>
                      <w:color w:val="auto"/>
                    </w:rPr>
                    <w:t>，</w:t>
                  </w:r>
                  <w:r>
                    <w:rPr>
                      <w:rFonts w:hint="default" w:ascii="Times New Roman" w:hAnsi="Times New Roman" w:cs="Times New Roman"/>
                      <w:color w:val="auto"/>
                      <w:lang w:val="en-US" w:eastAsia="zh-CN"/>
                    </w:rPr>
                    <w:t>厂房内设置一条餐厨垃圾处理生产线，安装进</w:t>
                  </w:r>
                  <w:r>
                    <w:rPr>
                      <w:rFonts w:hint="default" w:ascii="Times New Roman" w:hAnsi="Times New Roman" w:cs="Times New Roman"/>
                      <w:color w:val="auto"/>
                      <w:shd w:val="clear" w:fill="FFFFFF"/>
                      <w:lang w:val="en-US" w:eastAsia="zh-CN"/>
                    </w:rPr>
                    <w:t>料料仓</w:t>
                  </w:r>
                  <w:r>
                    <w:rPr>
                      <w:rFonts w:hint="default" w:ascii="Times New Roman" w:hAnsi="Times New Roman" w:cs="Times New Roman"/>
                      <w:color w:val="auto"/>
                      <w:lang w:val="en-US" w:eastAsia="zh-CN"/>
                    </w:rPr>
                    <w:t>、固液分离甩干机、无</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螺旋提升机、有</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螺旋提升机、三相</w:t>
                  </w:r>
                  <w:r>
                    <w:rPr>
                      <w:rFonts w:hint="default" w:ascii="Times New Roman" w:hAnsi="Times New Roman" w:cs="Times New Roman"/>
                      <w:color w:val="auto"/>
                      <w:shd w:val="clear" w:fill="FFFFFF"/>
                      <w:lang w:val="en-US" w:eastAsia="zh-CN"/>
                    </w:rPr>
                    <w:t>卧螺</w:t>
                  </w:r>
                  <w:r>
                    <w:rPr>
                      <w:rFonts w:hint="default" w:ascii="Times New Roman" w:hAnsi="Times New Roman" w:cs="Times New Roman"/>
                      <w:color w:val="auto"/>
                      <w:lang w:val="en-US" w:eastAsia="zh-CN"/>
                    </w:rPr>
                    <w:t>分离机等设备，</w:t>
                  </w:r>
                </w:p>
                <w:p>
                  <w:pPr>
                    <w:pStyle w:val="68"/>
                    <w:numPr>
                      <w:ilvl w:val="0"/>
                      <w:numId w:val="2"/>
                    </w:numPr>
                    <w:jc w:val="both"/>
                    <w:rPr>
                      <w:rFonts w:hint="default" w:ascii="Times New Roman" w:hAnsi="Times New Roman" w:cs="Times New Roman"/>
                      <w:color w:val="auto"/>
                    </w:rPr>
                  </w:pPr>
                  <w:r>
                    <w:rPr>
                      <w:rFonts w:hint="default" w:ascii="Times New Roman" w:hAnsi="Times New Roman" w:cs="Times New Roman"/>
                      <w:color w:val="auto"/>
                      <w:lang w:val="en-US" w:eastAsia="zh-CN"/>
                    </w:rPr>
                    <w:t>拟建工程：好氧发酵仓、2.2t/h生物质锅炉和配套安装各项环保设施</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w:t>
                  </w:r>
                  <w:r>
                    <w:rPr>
                      <w:rFonts w:hint="default" w:ascii="Times New Roman" w:hAnsi="Times New Roman" w:cs="Times New Roman"/>
                      <w:color w:val="auto"/>
                      <w:shd w:val="clear" w:fill="FFFFFF"/>
                      <w:lang w:val="en-US" w:eastAsia="zh-CN"/>
                    </w:rPr>
                    <w:t>将</w:t>
                  </w:r>
                  <w:r>
                    <w:rPr>
                      <w:rFonts w:hint="default" w:ascii="Times New Roman" w:hAnsi="Times New Roman" w:cs="Times New Roman"/>
                      <w:color w:val="auto"/>
                      <w:lang w:val="en-US" w:eastAsia="zh-CN"/>
                    </w:rPr>
                    <w:t>0.7t/h生物质锅炉更换为2.2t/h生物质锅炉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辅助工程</w:t>
                  </w: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办公休息区</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位于靠近道路一侧，1F，砖混结构，</w:t>
                  </w:r>
                  <w:r>
                    <w:rPr>
                      <w:rFonts w:hint="default" w:ascii="Times New Roman" w:hAnsi="Times New Roman" w:cs="Times New Roman"/>
                      <w:color w:val="auto"/>
                    </w:rPr>
                    <w:t>建筑面积108㎡</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b w:val="0"/>
                      <w:bCs w:val="0"/>
                      <w:color w:val="auto"/>
                      <w:lang w:val="en-US" w:eastAsia="zh-CN"/>
                    </w:rPr>
                    <w:t>项目已建办公休息区</w:t>
                  </w:r>
                  <w:r>
                    <w:rPr>
                      <w:rFonts w:hint="default" w:ascii="Times New Roman" w:hAnsi="Times New Roman" w:cs="Times New Roman"/>
                      <w:b w:val="0"/>
                      <w:bCs w:val="0"/>
                      <w:color w:val="auto"/>
                      <w:lang w:eastAsia="zh-CN"/>
                    </w:rPr>
                    <w:t>位于靠近道路一侧，1F，砖混结构，</w:t>
                  </w:r>
                  <w:r>
                    <w:rPr>
                      <w:rFonts w:hint="default" w:ascii="Times New Roman" w:hAnsi="Times New Roman" w:cs="Times New Roman"/>
                      <w:b w:val="0"/>
                      <w:bCs w:val="0"/>
                      <w:color w:val="auto"/>
                    </w:rPr>
                    <w:t>建筑面积108㎡</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门卫室</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位于项目区</w:t>
                  </w:r>
                  <w:r>
                    <w:rPr>
                      <w:rFonts w:hint="default" w:ascii="Times New Roman" w:hAnsi="Times New Roman" w:cs="Times New Roman"/>
                      <w:color w:val="auto"/>
                      <w:lang w:val="en-US" w:eastAsia="zh-CN"/>
                    </w:rPr>
                    <w:t>入口处</w:t>
                  </w:r>
                  <w:r>
                    <w:rPr>
                      <w:rFonts w:hint="default" w:ascii="Times New Roman" w:hAnsi="Times New Roman" w:cs="Times New Roman"/>
                      <w:color w:val="auto"/>
                      <w:lang w:val="en-US"/>
                    </w:rPr>
                    <w:t>，砖混结构，1F</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建筑面积</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b w:val="0"/>
                      <w:bCs w:val="0"/>
                      <w:color w:val="auto"/>
                      <w:lang w:val="en-US" w:eastAsia="zh-CN"/>
                    </w:rPr>
                    <w:t>项目已建门卫室</w:t>
                  </w:r>
                  <w:r>
                    <w:rPr>
                      <w:rFonts w:hint="default" w:ascii="Times New Roman" w:hAnsi="Times New Roman" w:cs="Times New Roman"/>
                      <w:b w:val="0"/>
                      <w:bCs w:val="0"/>
                      <w:color w:val="auto"/>
                      <w:lang w:val="en-US"/>
                    </w:rPr>
                    <w:t>位于项目区</w:t>
                  </w:r>
                  <w:r>
                    <w:rPr>
                      <w:rFonts w:hint="default" w:ascii="Times New Roman" w:hAnsi="Times New Roman" w:cs="Times New Roman"/>
                      <w:b w:val="0"/>
                      <w:bCs w:val="0"/>
                      <w:color w:val="auto"/>
                      <w:lang w:val="en-US" w:eastAsia="zh-CN"/>
                    </w:rPr>
                    <w:t>入口处</w:t>
                  </w:r>
                  <w:r>
                    <w:rPr>
                      <w:rFonts w:hint="default" w:ascii="Times New Roman" w:hAnsi="Times New Roman" w:cs="Times New Roman"/>
                      <w:b w:val="0"/>
                      <w:bCs w:val="0"/>
                      <w:color w:val="auto"/>
                      <w:lang w:val="en-US"/>
                    </w:rPr>
                    <w:t>，砖混结构，1F</w:t>
                  </w:r>
                  <w:r>
                    <w:rPr>
                      <w:rFonts w:hint="default" w:ascii="Times New Roman" w:hAnsi="Times New Roman" w:cs="Times New Roman"/>
                      <w:b w:val="0"/>
                      <w:bCs w:val="0"/>
                      <w:color w:val="auto"/>
                      <w:lang w:val="en-US" w:eastAsia="zh-CN"/>
                    </w:rPr>
                    <w:t>，</w:t>
                  </w:r>
                  <w:r>
                    <w:rPr>
                      <w:rFonts w:hint="default" w:ascii="Times New Roman" w:hAnsi="Times New Roman" w:cs="Times New Roman"/>
                      <w:b w:val="0"/>
                      <w:bCs w:val="0"/>
                      <w:color w:val="auto"/>
                      <w:lang w:val="en-US"/>
                    </w:rPr>
                    <w:t>建筑面积</w:t>
                  </w:r>
                  <w:r>
                    <w:rPr>
                      <w:rFonts w:hint="default" w:ascii="Times New Roman" w:hAnsi="Times New Roman" w:cs="Times New Roman"/>
                      <w:b w:val="0"/>
                      <w:bCs w:val="0"/>
                      <w:color w:val="auto"/>
                      <w:lang w:val="en-US" w:eastAsia="zh-CN"/>
                    </w:rPr>
                    <w:t>5</w:t>
                  </w:r>
                  <w:r>
                    <w:rPr>
                      <w:rFonts w:hint="default" w:ascii="Times New Roman" w:hAnsi="Times New Roman" w:cs="Times New Roman"/>
                      <w:b w:val="0"/>
                      <w:bCs w:val="0"/>
                      <w:color w:val="auto"/>
                    </w:rPr>
                    <w:t>㎡</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公用工程</w:t>
                  </w: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供电</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由</w:t>
                  </w:r>
                  <w:r>
                    <w:rPr>
                      <w:rFonts w:hint="default" w:ascii="Times New Roman" w:hAnsi="Times New Roman" w:cs="Times New Roman"/>
                      <w:color w:val="auto"/>
                      <w:lang w:eastAsia="zh-CN"/>
                    </w:rPr>
                    <w:t>彩云镇</w:t>
                  </w:r>
                  <w:r>
                    <w:rPr>
                      <w:rFonts w:hint="default" w:ascii="Times New Roman" w:hAnsi="Times New Roman" w:cs="Times New Roman"/>
                      <w:color w:val="auto"/>
                    </w:rPr>
                    <w:t>市政供电线路提供</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b w:val="0"/>
                      <w:bCs w:val="0"/>
                      <w:color w:val="auto"/>
                      <w:lang w:val="en-US" w:eastAsia="zh-CN"/>
                    </w:rPr>
                    <w:t>项目供电</w:t>
                  </w:r>
                  <w:r>
                    <w:rPr>
                      <w:rFonts w:hint="default" w:ascii="Times New Roman" w:hAnsi="Times New Roman" w:cs="Times New Roman"/>
                      <w:color w:val="auto"/>
                    </w:rPr>
                    <w:t>由</w:t>
                  </w:r>
                  <w:r>
                    <w:rPr>
                      <w:rFonts w:hint="default" w:ascii="Times New Roman" w:hAnsi="Times New Roman" w:cs="Times New Roman"/>
                      <w:color w:val="auto"/>
                      <w:lang w:eastAsia="zh-CN"/>
                    </w:rPr>
                    <w:t>彩云镇</w:t>
                  </w:r>
                  <w:r>
                    <w:rPr>
                      <w:rFonts w:hint="default" w:ascii="Times New Roman" w:hAnsi="Times New Roman" w:cs="Times New Roman"/>
                      <w:color w:val="auto"/>
                    </w:rPr>
                    <w:t>市政供电线路提供</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供水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由</w:t>
                  </w:r>
                  <w:r>
                    <w:rPr>
                      <w:rFonts w:hint="default" w:ascii="Times New Roman" w:hAnsi="Times New Roman" w:cs="Times New Roman"/>
                      <w:color w:val="auto"/>
                      <w:lang w:eastAsia="zh-CN"/>
                    </w:rPr>
                    <w:t>彩云镇</w:t>
                  </w:r>
                  <w:r>
                    <w:rPr>
                      <w:rFonts w:hint="default" w:ascii="Times New Roman" w:hAnsi="Times New Roman" w:cs="Times New Roman"/>
                      <w:color w:val="auto"/>
                    </w:rPr>
                    <w:t>市政供水管网提供</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lang w:val="en-US"/>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b w:val="0"/>
                      <w:bCs w:val="0"/>
                      <w:color w:val="auto"/>
                      <w:lang w:val="en-US" w:eastAsia="zh-CN"/>
                    </w:rPr>
                    <w:t>项目供水</w:t>
                  </w:r>
                  <w:r>
                    <w:rPr>
                      <w:rFonts w:hint="default" w:ascii="Times New Roman" w:hAnsi="Times New Roman" w:cs="Times New Roman"/>
                      <w:b w:val="0"/>
                      <w:bCs w:val="0"/>
                      <w:color w:val="auto"/>
                    </w:rPr>
                    <w:t>由</w:t>
                  </w:r>
                  <w:r>
                    <w:rPr>
                      <w:rFonts w:hint="default" w:ascii="Times New Roman" w:hAnsi="Times New Roman" w:cs="Times New Roman"/>
                      <w:b w:val="0"/>
                      <w:bCs w:val="0"/>
                      <w:color w:val="auto"/>
                      <w:lang w:eastAsia="zh-CN"/>
                    </w:rPr>
                    <w:t>彩云镇</w:t>
                  </w:r>
                  <w:r>
                    <w:rPr>
                      <w:rFonts w:hint="default" w:ascii="Times New Roman" w:hAnsi="Times New Roman" w:cs="Times New Roman"/>
                      <w:b w:val="0"/>
                      <w:bCs w:val="0"/>
                      <w:color w:val="auto"/>
                    </w:rPr>
                    <w:t>市政供水管网提供</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排水</w:t>
                  </w:r>
                </w:p>
              </w:tc>
              <w:tc>
                <w:tcPr>
                  <w:tcW w:w="1602" w:type="pct"/>
                  <w:tcBorders>
                    <w:right w:val="single" w:color="auto" w:sz="4" w:space="0"/>
                  </w:tcBorders>
                  <w:shd w:val="clear" w:color="auto" w:fill="auto"/>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项目区采用</w:t>
                  </w:r>
                  <w:r>
                    <w:rPr>
                      <w:rFonts w:hint="default" w:ascii="Times New Roman" w:hAnsi="Times New Roman" w:cs="Times New Roman"/>
                      <w:color w:val="auto"/>
                      <w:lang w:eastAsia="zh-CN"/>
                    </w:rPr>
                    <w:t>“</w:t>
                  </w:r>
                  <w:r>
                    <w:rPr>
                      <w:rFonts w:hint="default" w:ascii="Times New Roman" w:hAnsi="Times New Roman" w:cs="Times New Roman"/>
                      <w:color w:val="auto"/>
                    </w:rPr>
                    <w:t>雨污分流制</w:t>
                  </w:r>
                  <w:r>
                    <w:rPr>
                      <w:rFonts w:hint="default" w:ascii="Times New Roman" w:hAnsi="Times New Roman" w:cs="Times New Roman"/>
                      <w:color w:val="auto"/>
                      <w:lang w:eastAsia="zh-CN"/>
                    </w:rPr>
                    <w:t>”</w:t>
                  </w:r>
                </w:p>
              </w:tc>
              <w:tc>
                <w:tcPr>
                  <w:tcW w:w="1968" w:type="pct"/>
                  <w:tcBorders>
                    <w:left w:val="single" w:color="auto" w:sz="4" w:space="0"/>
                  </w:tcBorders>
                  <w:shd w:val="clear" w:color="auto" w:fill="auto"/>
                  <w:vAlign w:val="center"/>
                </w:tcPr>
                <w:p>
                  <w:pPr>
                    <w:pStyle w:val="68"/>
                    <w:jc w:val="both"/>
                    <w:rPr>
                      <w:rFonts w:hint="default" w:ascii="Times New Roman" w:hAnsi="Times New Roman" w:eastAsia="宋体" w:cs="Times New Roman"/>
                      <w:color w:val="auto"/>
                      <w:lang w:eastAsia="zh-CN"/>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color w:val="auto"/>
                    </w:rPr>
                    <w:t>项目区采用</w:t>
                  </w:r>
                  <w:r>
                    <w:rPr>
                      <w:rFonts w:hint="default" w:ascii="Times New Roman" w:hAnsi="Times New Roman" w:cs="Times New Roman"/>
                      <w:color w:val="auto"/>
                      <w:lang w:eastAsia="zh-CN"/>
                    </w:rPr>
                    <w:t>“</w:t>
                  </w:r>
                  <w:r>
                    <w:rPr>
                      <w:rFonts w:hint="default" w:ascii="Times New Roman" w:hAnsi="Times New Roman" w:cs="Times New Roman"/>
                      <w:color w:val="auto"/>
                    </w:rPr>
                    <w:t>雨污分流制</w:t>
                  </w:r>
                  <w:r>
                    <w:rPr>
                      <w:rFonts w:hint="default" w:ascii="Times New Roman" w:hAnsi="Times New Roman" w:cs="Times New Roman"/>
                      <w:color w:val="auto"/>
                      <w:lang w:eastAsia="zh-CN"/>
                    </w:rPr>
                    <w:t>”</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continue"/>
                  <w:shd w:val="clear" w:color="auto" w:fill="auto"/>
                  <w:vAlign w:val="center"/>
                </w:tcPr>
                <w:p>
                  <w:pPr>
                    <w:pStyle w:val="68"/>
                    <w:rPr>
                      <w:rFonts w:hint="default" w:ascii="Times New Roman" w:hAnsi="Times New Roman" w:cs="Times New Roman"/>
                      <w:color w:val="auto"/>
                    </w:rPr>
                  </w:pP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项目区内</w:t>
                  </w:r>
                  <w:r>
                    <w:rPr>
                      <w:rFonts w:hint="default" w:ascii="Times New Roman" w:hAnsi="Times New Roman" w:cs="Times New Roman"/>
                      <w:color w:val="auto"/>
                      <w:lang w:eastAsia="zh-CN"/>
                    </w:rPr>
                    <w:t>建筑</w:t>
                  </w:r>
                  <w:r>
                    <w:rPr>
                      <w:rFonts w:hint="default" w:ascii="Times New Roman" w:hAnsi="Times New Roman" w:cs="Times New Roman"/>
                      <w:color w:val="auto"/>
                    </w:rPr>
                    <w:t>顶部雨水</w:t>
                  </w:r>
                  <w:r>
                    <w:rPr>
                      <w:rFonts w:hint="default" w:ascii="Times New Roman" w:hAnsi="Times New Roman" w:cs="Times New Roman"/>
                      <w:color w:val="auto"/>
                      <w:shd w:val="clear" w:fill="FFFFFF"/>
                    </w:rPr>
                    <w:t>经雨落管</w:t>
                  </w:r>
                  <w:r>
                    <w:rPr>
                      <w:rFonts w:hint="default" w:ascii="Times New Roman" w:hAnsi="Times New Roman" w:cs="Times New Roman"/>
                      <w:color w:val="auto"/>
                    </w:rPr>
                    <w:t>接入</w:t>
                  </w:r>
                  <w:r>
                    <w:rPr>
                      <w:rFonts w:hint="default" w:ascii="Times New Roman" w:hAnsi="Times New Roman" w:cs="Times New Roman"/>
                      <w:color w:val="auto"/>
                      <w:lang w:val="en-US"/>
                    </w:rPr>
                    <w:t>周边雨水沟</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color w:val="auto"/>
                    </w:rPr>
                    <w:t>项目区内</w:t>
                  </w:r>
                  <w:r>
                    <w:rPr>
                      <w:rFonts w:hint="default" w:ascii="Times New Roman" w:hAnsi="Times New Roman" w:cs="Times New Roman"/>
                      <w:color w:val="auto"/>
                      <w:lang w:eastAsia="zh-CN"/>
                    </w:rPr>
                    <w:t>建筑</w:t>
                  </w:r>
                  <w:r>
                    <w:rPr>
                      <w:rFonts w:hint="default" w:ascii="Times New Roman" w:hAnsi="Times New Roman" w:cs="Times New Roman"/>
                      <w:color w:val="auto"/>
                    </w:rPr>
                    <w:t>顶部雨水</w:t>
                  </w:r>
                  <w:r>
                    <w:rPr>
                      <w:rFonts w:hint="default" w:ascii="Times New Roman" w:hAnsi="Times New Roman" w:cs="Times New Roman"/>
                      <w:color w:val="auto"/>
                      <w:shd w:val="clear" w:fill="FFFFFF"/>
                    </w:rPr>
                    <w:t>经雨落管</w:t>
                  </w:r>
                  <w:r>
                    <w:rPr>
                      <w:rFonts w:hint="default" w:ascii="Times New Roman" w:hAnsi="Times New Roman" w:cs="Times New Roman"/>
                      <w:color w:val="auto"/>
                    </w:rPr>
                    <w:t>接入</w:t>
                  </w:r>
                  <w:r>
                    <w:rPr>
                      <w:rFonts w:hint="default" w:ascii="Times New Roman" w:hAnsi="Times New Roman" w:cs="Times New Roman"/>
                      <w:color w:val="auto"/>
                      <w:lang w:val="en-US"/>
                    </w:rPr>
                    <w:t>周边雨水沟</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57"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continue"/>
                  <w:shd w:val="clear" w:color="auto" w:fill="auto"/>
                  <w:vAlign w:val="center"/>
                </w:tcPr>
                <w:p>
                  <w:pPr>
                    <w:pStyle w:val="68"/>
                    <w:rPr>
                      <w:rFonts w:hint="default" w:ascii="Times New Roman" w:hAnsi="Times New Roman" w:cs="Times New Roman"/>
                      <w:color w:val="auto"/>
                    </w:rPr>
                  </w:pP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生活污水经新建化粪池收集，定期清掏用于周边农田施肥，生产废水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一体化污水处理站处理后车辆运输至彩云污水处理站进行处置</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numPr>
                      <w:ilvl w:val="0"/>
                      <w:numId w:val="3"/>
                    </w:numPr>
                    <w:jc w:val="both"/>
                    <w:rPr>
                      <w:rFonts w:hint="default" w:ascii="Times New Roman" w:hAnsi="Times New Roman" w:cs="Times New Roman"/>
                      <w:color w:val="auto"/>
                      <w:lang w:eastAsia="zh-CN"/>
                    </w:rPr>
                  </w:pPr>
                  <w:r>
                    <w:rPr>
                      <w:rFonts w:hint="default" w:ascii="Times New Roman" w:hAnsi="Times New Roman" w:cs="Times New Roman"/>
                      <w:b w:val="0"/>
                      <w:bCs w:val="0"/>
                      <w:color w:val="auto"/>
                      <w:lang w:val="en-US" w:eastAsia="zh-CN"/>
                    </w:rPr>
                    <w:t>项目</w:t>
                  </w:r>
                  <w:r>
                    <w:rPr>
                      <w:rFonts w:hint="default" w:ascii="Times New Roman" w:hAnsi="Times New Roman" w:cs="Times New Roman"/>
                      <w:color w:val="auto"/>
                      <w:lang w:eastAsia="zh-CN"/>
                    </w:rPr>
                    <w:t>生活污水</w:t>
                  </w:r>
                  <w:r>
                    <w:rPr>
                      <w:rFonts w:hint="default" w:ascii="Times New Roman" w:hAnsi="Times New Roman" w:cs="Times New Roman"/>
                      <w:color w:val="auto"/>
                      <w:lang w:val="en-US" w:eastAsia="zh-CN"/>
                    </w:rPr>
                    <w:t>已</w:t>
                  </w:r>
                  <w:r>
                    <w:rPr>
                      <w:rFonts w:hint="default" w:ascii="Times New Roman" w:hAnsi="Times New Roman" w:cs="Times New Roman"/>
                      <w:color w:val="auto"/>
                      <w:lang w:eastAsia="zh-CN"/>
                    </w:rPr>
                    <w:t>新建化粪池</w:t>
                  </w:r>
                  <w:r>
                    <w:rPr>
                      <w:rFonts w:hint="default" w:ascii="Times New Roman" w:hAnsi="Times New Roman" w:cs="Times New Roman"/>
                      <w:color w:val="auto"/>
                      <w:lang w:val="zh-CN"/>
                    </w:rPr>
                    <w:t>（1个，</w:t>
                  </w:r>
                  <w:r>
                    <w:rPr>
                      <w:rFonts w:hint="default" w:ascii="Times New Roman" w:hAnsi="Times New Roman" w:cs="Times New Roman"/>
                      <w:color w:val="auto"/>
                      <w:lang w:val="en-US" w:eastAsia="zh-CN"/>
                    </w:rPr>
                    <w:t>容积</w:t>
                  </w:r>
                  <w:r>
                    <w:rPr>
                      <w:rFonts w:hint="default" w:ascii="Times New Roman" w:hAnsi="Times New Roman" w:cs="Times New Roman"/>
                      <w:color w:val="auto"/>
                      <w:lang w:val="zh-CN"/>
                    </w:rPr>
                    <w:t>5m³）</w:t>
                  </w:r>
                  <w:r>
                    <w:rPr>
                      <w:rFonts w:hint="default" w:ascii="Times New Roman" w:hAnsi="Times New Roman" w:cs="Times New Roman"/>
                      <w:color w:val="auto"/>
                      <w:lang w:eastAsia="zh-CN"/>
                    </w:rPr>
                    <w:t>收集，定期清掏用于周边农田施肥；</w:t>
                  </w:r>
                </w:p>
                <w:p>
                  <w:pPr>
                    <w:pStyle w:val="68"/>
                    <w:numPr>
                      <w:ilvl w:val="0"/>
                      <w:numId w:val="3"/>
                    </w:numPr>
                    <w:jc w:val="both"/>
                    <w:rPr>
                      <w:rFonts w:hint="default" w:ascii="Times New Roman" w:hAnsi="Times New Roman" w:cs="Times New Roman"/>
                      <w:color w:val="auto"/>
                    </w:rPr>
                  </w:pPr>
                  <w:r>
                    <w:rPr>
                      <w:rFonts w:hint="default" w:ascii="Times New Roman" w:hAnsi="Times New Roman" w:cs="Times New Roman"/>
                      <w:color w:val="auto"/>
                      <w:lang w:val="en-US" w:eastAsia="zh-CN"/>
                    </w:rPr>
                    <w:t>拟建工程：</w:t>
                  </w:r>
                  <w:r>
                    <w:rPr>
                      <w:rFonts w:hint="default" w:ascii="Times New Roman" w:hAnsi="Times New Roman" w:cs="Times New Roman"/>
                      <w:color w:val="auto"/>
                      <w:lang w:eastAsia="zh-CN"/>
                    </w:rPr>
                    <w:t>生产废水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一体化污水处理站处理后车辆运输至彩云污水处理站进行处置</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供热</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项目采用</w:t>
                  </w:r>
                  <w:r>
                    <w:rPr>
                      <w:rFonts w:hint="default" w:ascii="Times New Roman" w:hAnsi="Times New Roman" w:cs="Times New Roman"/>
                      <w:color w:val="auto"/>
                      <w:lang w:val="en-US" w:eastAsia="zh-CN"/>
                    </w:rPr>
                    <w:t>1台0.7t/h生物质锅炉</w:t>
                  </w:r>
                  <w:r>
                    <w:rPr>
                      <w:rFonts w:hint="default" w:ascii="Times New Roman" w:hAnsi="Times New Roman" w:cs="Times New Roman"/>
                      <w:color w:val="auto"/>
                      <w:lang w:eastAsia="zh-CN"/>
                    </w:rPr>
                    <w:t>供热，生物质锅炉带有低氮燃烧器和除尘设施，自带</w:t>
                  </w:r>
                  <w:r>
                    <w:rPr>
                      <w:rFonts w:hint="default" w:ascii="Times New Roman" w:hAnsi="Times New Roman" w:cs="Times New Roman"/>
                      <w:color w:val="auto"/>
                      <w:lang w:val="en-US" w:eastAsia="zh-CN"/>
                    </w:rPr>
                    <w:t>0.5m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循环水箱1个</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拟建供热工程：</w:t>
                  </w:r>
                  <w:r>
                    <w:rPr>
                      <w:rFonts w:hint="default" w:ascii="Times New Roman" w:hAnsi="Times New Roman" w:cs="Times New Roman"/>
                      <w:color w:val="auto"/>
                      <w:lang w:eastAsia="zh-CN"/>
                    </w:rPr>
                    <w:t>采用</w:t>
                  </w:r>
                  <w:r>
                    <w:rPr>
                      <w:rFonts w:hint="default" w:ascii="Times New Roman" w:hAnsi="Times New Roman" w:cs="Times New Roman"/>
                      <w:color w:val="auto"/>
                      <w:lang w:val="en-US" w:eastAsia="zh-CN"/>
                    </w:rPr>
                    <w:t>1台2.2t/h生物质锅炉</w:t>
                  </w:r>
                  <w:r>
                    <w:rPr>
                      <w:rFonts w:hint="default" w:ascii="Times New Roman" w:hAnsi="Times New Roman" w:cs="Times New Roman"/>
                      <w:color w:val="auto"/>
                      <w:lang w:eastAsia="zh-CN"/>
                    </w:rPr>
                    <w:t>供热，生物质锅炉带有低氮燃烧器和除尘设施，自带</w:t>
                  </w:r>
                  <w:r>
                    <w:rPr>
                      <w:rFonts w:hint="default" w:ascii="Times New Roman" w:hAnsi="Times New Roman" w:cs="Times New Roman"/>
                      <w:color w:val="auto"/>
                      <w:lang w:val="en-US" w:eastAsia="zh-CN"/>
                    </w:rPr>
                    <w:t>0.5m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循环水箱1个</w:t>
                  </w:r>
                </w:p>
                <w:p>
                  <w:pPr>
                    <w:pStyle w:val="68"/>
                    <w:rPr>
                      <w:rFonts w:hint="default" w:ascii="Times New Roman" w:hAnsi="Times New Roman" w:cs="Times New Roman"/>
                      <w:color w:val="auto"/>
                    </w:rPr>
                  </w:pP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项目</w:t>
                  </w:r>
                  <w:r>
                    <w:rPr>
                      <w:rFonts w:hint="default" w:ascii="Times New Roman" w:hAnsi="Times New Roman" w:cs="Times New Roman"/>
                      <w:color w:val="auto"/>
                      <w:shd w:val="clear" w:fill="FFFFFF"/>
                      <w:lang w:val="en-US" w:eastAsia="zh-CN"/>
                    </w:rPr>
                    <w:t>将</w:t>
                  </w:r>
                  <w:r>
                    <w:rPr>
                      <w:rFonts w:hint="default" w:ascii="Times New Roman" w:hAnsi="Times New Roman" w:cs="Times New Roman"/>
                      <w:color w:val="auto"/>
                      <w:lang w:val="en-US" w:eastAsia="zh-CN"/>
                    </w:rPr>
                    <w:t>0.7t/h生物质锅炉更换为2.2t/h生物质锅炉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储运工程</w:t>
                  </w: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成品油罐</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highlight w:val="yellow"/>
                      <w:lang w:eastAsia="zh-CN"/>
                    </w:rPr>
                  </w:pPr>
                  <w:r>
                    <w:rPr>
                      <w:rFonts w:hint="default" w:ascii="Times New Roman" w:hAnsi="Times New Roman" w:cs="Times New Roman"/>
                      <w:color w:val="auto"/>
                      <w:lang w:eastAsia="zh-CN"/>
                    </w:rPr>
                    <w:t>位于厂区最西侧，占地面积80</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设置成品油罐2个，规格为30m³/个，四周设置围堰，围堰占地面积80㎡，围堰高度0.8m，围堰有效收集容积64m³，用于粗油脂的暂存</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jc w:val="both"/>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1、</w:t>
                  </w:r>
                  <w:r>
                    <w:rPr>
                      <w:rFonts w:hint="default" w:ascii="Times New Roman" w:hAnsi="Times New Roman" w:cs="Times New Roman"/>
                      <w:b w:val="0"/>
                      <w:bCs w:val="0"/>
                      <w:color w:val="auto"/>
                      <w:lang w:val="en-US" w:eastAsia="zh-CN"/>
                    </w:rPr>
                    <w:t>项目已建成品油罐</w:t>
                  </w:r>
                  <w:r>
                    <w:rPr>
                      <w:rFonts w:hint="default" w:ascii="Times New Roman" w:hAnsi="Times New Roman" w:cs="Times New Roman"/>
                      <w:b w:val="0"/>
                      <w:bCs w:val="0"/>
                      <w:color w:val="auto"/>
                      <w:lang w:eastAsia="zh-CN"/>
                    </w:rPr>
                    <w:t>位于厂区最</w:t>
                  </w:r>
                  <w:r>
                    <w:rPr>
                      <w:rFonts w:hint="default" w:ascii="Times New Roman" w:hAnsi="Times New Roman" w:cs="Times New Roman"/>
                      <w:b w:val="0"/>
                      <w:bCs w:val="0"/>
                      <w:color w:val="auto"/>
                      <w:lang w:val="en-US" w:eastAsia="zh-CN"/>
                    </w:rPr>
                    <w:t>西</w:t>
                  </w:r>
                  <w:r>
                    <w:rPr>
                      <w:rFonts w:hint="default" w:ascii="Times New Roman" w:hAnsi="Times New Roman" w:cs="Times New Roman"/>
                      <w:b w:val="0"/>
                      <w:bCs w:val="0"/>
                      <w:color w:val="auto"/>
                      <w:lang w:eastAsia="zh-CN"/>
                    </w:rPr>
                    <w:t>侧</w:t>
                  </w:r>
                  <w:r>
                    <w:rPr>
                      <w:rFonts w:hint="default" w:ascii="Times New Roman" w:hAnsi="Times New Roman" w:cs="Times New Roman"/>
                      <w:color w:val="auto"/>
                      <w:lang w:eastAsia="zh-CN"/>
                    </w:rPr>
                    <w:t>，占地面积80</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设置成品油罐2个，规格为30m³/个，</w:t>
                  </w:r>
                </w:p>
                <w:p>
                  <w:pPr>
                    <w:pStyle w:val="68"/>
                    <w:jc w:val="both"/>
                    <w:rPr>
                      <w:rFonts w:hint="default" w:ascii="Times New Roman" w:hAnsi="Times New Roman" w:cs="Times New Roman"/>
                      <w:color w:val="auto"/>
                    </w:rPr>
                  </w:pPr>
                  <w:r>
                    <w:rPr>
                      <w:rFonts w:hint="default" w:ascii="Times New Roman" w:hAnsi="Times New Roman" w:cs="Times New Roman"/>
                      <w:color w:val="auto"/>
                      <w:lang w:val="en-US" w:eastAsia="zh-CN"/>
                    </w:rPr>
                    <w:t>2、拟建工程：</w:t>
                  </w:r>
                  <w:r>
                    <w:rPr>
                      <w:rFonts w:hint="default" w:ascii="Times New Roman" w:hAnsi="Times New Roman" w:cs="Times New Roman"/>
                      <w:b w:val="0"/>
                      <w:bCs w:val="0"/>
                      <w:color w:val="auto"/>
                      <w:lang w:val="en-US" w:eastAsia="zh-CN"/>
                    </w:rPr>
                    <w:t>成品油罐</w:t>
                  </w:r>
                  <w:r>
                    <w:rPr>
                      <w:rFonts w:hint="default" w:ascii="Times New Roman" w:hAnsi="Times New Roman" w:cs="Times New Roman"/>
                      <w:color w:val="auto"/>
                      <w:shd w:val="clear" w:fill="FFFFFF"/>
                      <w:lang w:val="en-US" w:eastAsia="zh-CN"/>
                    </w:rPr>
                    <w:t>设置</w:t>
                  </w:r>
                  <w:r>
                    <w:rPr>
                      <w:rFonts w:hint="default" w:ascii="Times New Roman" w:hAnsi="Times New Roman" w:cs="Times New Roman"/>
                      <w:color w:val="auto"/>
                      <w:lang w:val="en-US" w:eastAsia="zh-CN"/>
                    </w:rPr>
                    <w:t>四周设置围堰，围堰占地面积80㎡，围堰高度0.8m，围堰有效收集容积64m³，用于粗油脂的暂存。</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临时暂存库</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位于厂区危废暂存间西侧，建筑面积25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钢架</w:t>
                  </w:r>
                  <w:r>
                    <w:rPr>
                      <w:rFonts w:hint="default" w:ascii="Times New Roman" w:hAnsi="Times New Roman" w:cs="Times New Roman"/>
                      <w:color w:val="auto"/>
                      <w:lang w:val="en-US"/>
                    </w:rPr>
                    <w:t>结构，1F</w:t>
                  </w:r>
                  <w:r>
                    <w:rPr>
                      <w:rFonts w:hint="default" w:ascii="Times New Roman" w:hAnsi="Times New Roman" w:cs="Times New Roman"/>
                      <w:color w:val="auto"/>
                      <w:lang w:val="en-US" w:eastAsia="zh-CN"/>
                    </w:rPr>
                    <w:t>，用于有机肥原料的暂存</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jc w:val="both"/>
                    <w:rPr>
                      <w:rFonts w:hint="default" w:ascii="Times New Roman" w:hAnsi="Times New Roman" w:cs="Times New Roman"/>
                      <w:color w:val="auto"/>
                    </w:rPr>
                  </w:pPr>
                  <w:r>
                    <w:rPr>
                      <w:rFonts w:hint="default" w:ascii="Times New Roman" w:hAnsi="Times New Roman" w:cs="Times New Roman"/>
                      <w:b w:val="0"/>
                      <w:bCs w:val="0"/>
                      <w:color w:val="auto"/>
                      <w:lang w:val="en-US" w:eastAsia="zh-CN"/>
                    </w:rPr>
                    <w:t>拟建工程：</w:t>
                  </w:r>
                  <w:r>
                    <w:rPr>
                      <w:rFonts w:hint="default" w:ascii="Times New Roman" w:hAnsi="Times New Roman" w:cs="Times New Roman"/>
                      <w:color w:val="auto"/>
                      <w:lang w:eastAsia="zh-CN"/>
                    </w:rPr>
                    <w:t>临时暂存库位于厂区危废暂存间西侧，建筑面积25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钢架</w:t>
                  </w:r>
                  <w:r>
                    <w:rPr>
                      <w:rFonts w:hint="default" w:ascii="Times New Roman" w:hAnsi="Times New Roman" w:cs="Times New Roman"/>
                      <w:color w:val="auto"/>
                      <w:lang w:val="en-US"/>
                    </w:rPr>
                    <w:t>结构，1F</w:t>
                  </w:r>
                  <w:r>
                    <w:rPr>
                      <w:rFonts w:hint="default" w:ascii="Times New Roman" w:hAnsi="Times New Roman" w:cs="Times New Roman"/>
                      <w:color w:val="auto"/>
                      <w:lang w:val="en-US" w:eastAsia="zh-CN"/>
                    </w:rPr>
                    <w:t>，用于有机肥原料的暂存</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环保工程</w:t>
                  </w:r>
                </w:p>
              </w:tc>
              <w:tc>
                <w:tcPr>
                  <w:tcW w:w="327"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废气</w:t>
                  </w: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处置车间恶臭</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highlight w:val="yellow"/>
                      <w:lang w:eastAsia="zh-CN"/>
                    </w:rPr>
                  </w:pPr>
                  <w:r>
                    <w:rPr>
                      <w:rFonts w:hint="default" w:ascii="Times New Roman" w:hAnsi="Times New Roman" w:cs="Times New Roman"/>
                      <w:color w:val="auto"/>
                      <w:lang w:eastAsia="zh-CN"/>
                    </w:rPr>
                    <w:t>处置车间设置为全封闭式车间，只留车辆进出口，车辆进出口设置自动卷帘门，卸车、固液分离、三相分离、好氧发酵废气通过微负压集气罩收集，送入除臭系统进行处置，除臭采用生物洗涤工艺，恶臭经处置后通过15m高DA001排气筒排放</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cs="Times New Roman"/>
                      <w:color w:val="auto"/>
                    </w:rPr>
                  </w:pPr>
                  <w:r>
                    <w:rPr>
                      <w:rFonts w:hint="default" w:ascii="Times New Roman" w:hAnsi="Times New Roman" w:cs="Times New Roman"/>
                      <w:b w:val="0"/>
                      <w:bCs w:val="0"/>
                      <w:color w:val="auto"/>
                      <w:lang w:val="en-US" w:eastAsia="zh-CN"/>
                    </w:rPr>
                    <w:t>拟建车间恶臭处理工程：</w:t>
                  </w:r>
                  <w:r>
                    <w:rPr>
                      <w:rFonts w:hint="default" w:ascii="Times New Roman" w:hAnsi="Times New Roman" w:cs="Times New Roman"/>
                      <w:color w:val="auto"/>
                      <w:lang w:eastAsia="zh-CN"/>
                    </w:rPr>
                    <w:t>处置车间设置为全封闭式车间，只留车辆进出口，车辆进出口设置自动卷帘门，卸车、固液分离、三相分离、好氧发酵废气通过微负压集气罩收集，送入除臭系统进行处置，除臭采用生物洗涤工艺，恶臭经处置后通过15m高DA001排气筒排放</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燃烧废气</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生物质锅炉采用低氮燃烧技术，燃烧废气通过锅炉自带旋风+湿式除尘器除尘后，经20m高DA002排气筒排放</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拟建锅炉燃烧废气处理工程：</w:t>
                  </w:r>
                  <w:r>
                    <w:rPr>
                      <w:rFonts w:hint="default" w:ascii="Times New Roman" w:hAnsi="Times New Roman" w:cs="Times New Roman"/>
                      <w:color w:val="auto"/>
                      <w:lang w:eastAsia="zh-CN"/>
                    </w:rPr>
                    <w:t>生物质锅炉采用低氮燃烧技术，</w:t>
                  </w:r>
                  <w:r>
                    <w:rPr>
                      <w:rFonts w:hint="default" w:ascii="Times New Roman" w:hAnsi="Times New Roman" w:eastAsia="宋体" w:cs="Times New Roman"/>
                      <w:snapToGrid w:val="0"/>
                      <w:color w:val="auto"/>
                      <w:sz w:val="21"/>
                      <w:szCs w:val="21"/>
                      <w:lang w:val="en-US" w:eastAsia="zh-CN"/>
                    </w:rPr>
                    <w:t>生物质锅炉燃烧废气通过</w:t>
                  </w:r>
                  <w:r>
                    <w:rPr>
                      <w:rFonts w:hint="default" w:ascii="Times New Roman" w:hAnsi="Times New Roman" w:cs="Times New Roman"/>
                      <w:snapToGrid w:val="0"/>
                      <w:color w:val="auto"/>
                      <w:sz w:val="21"/>
                      <w:szCs w:val="21"/>
                      <w:lang w:val="en-US" w:eastAsia="zh-CN"/>
                    </w:rPr>
                    <w:t>布袋除尘器</w:t>
                  </w:r>
                  <w:r>
                    <w:rPr>
                      <w:rFonts w:hint="default" w:ascii="Times New Roman" w:hAnsi="Times New Roman" w:eastAsia="宋体" w:cs="Times New Roman"/>
                      <w:snapToGrid w:val="0"/>
                      <w:color w:val="auto"/>
                      <w:sz w:val="21"/>
                      <w:szCs w:val="21"/>
                      <w:lang w:val="en-US" w:eastAsia="zh-CN"/>
                    </w:rPr>
                    <w:t>处理后经</w:t>
                  </w:r>
                  <w:r>
                    <w:rPr>
                      <w:rFonts w:hint="default" w:ascii="Times New Roman" w:hAnsi="Times New Roman" w:cs="Times New Roman"/>
                      <w:snapToGrid w:val="0"/>
                      <w:color w:val="auto"/>
                      <w:sz w:val="21"/>
                      <w:szCs w:val="21"/>
                      <w:lang w:val="en-US" w:eastAsia="zh-CN"/>
                    </w:rPr>
                    <w:t>30</w:t>
                  </w:r>
                  <w:r>
                    <w:rPr>
                      <w:rFonts w:hint="default" w:ascii="Times New Roman" w:hAnsi="Times New Roman" w:eastAsia="宋体" w:cs="Times New Roman"/>
                      <w:snapToGrid w:val="0"/>
                      <w:color w:val="auto"/>
                      <w:sz w:val="21"/>
                      <w:szCs w:val="21"/>
                      <w:lang w:val="en-US" w:eastAsia="zh-CN"/>
                    </w:rPr>
                    <w:t>m高DA002排气筒排放</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旋风+湿式除尘器除尘</w:t>
                  </w:r>
                  <w:r>
                    <w:rPr>
                      <w:rFonts w:hint="default" w:ascii="Times New Roman" w:hAnsi="Times New Roman" w:cs="Times New Roman"/>
                      <w:color w:val="auto"/>
                      <w:lang w:val="en-US" w:eastAsia="zh-CN"/>
                    </w:rPr>
                    <w:t>替换为布袋除尘器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污水站恶臭</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污水站设置为一体式，各</w:t>
                  </w:r>
                  <w:r>
                    <w:rPr>
                      <w:rFonts w:hint="default" w:ascii="Times New Roman" w:hAnsi="Times New Roman" w:cs="Times New Roman"/>
                      <w:color w:val="auto"/>
                      <w:shd w:val="clear" w:fill="FFFFFF"/>
                      <w:lang w:eastAsia="zh-CN"/>
                    </w:rPr>
                    <w:t>池</w:t>
                  </w:r>
                  <w:r>
                    <w:rPr>
                      <w:rFonts w:hint="default" w:ascii="Times New Roman" w:hAnsi="Times New Roman" w:cs="Times New Roman"/>
                      <w:color w:val="auto"/>
                      <w:lang w:eastAsia="zh-CN"/>
                    </w:rPr>
                    <w:t>体加盖密闭，定期喷洒生物除臭剂</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拟建污水处理站恶臭治理措施：</w:t>
                  </w:r>
                  <w:r>
                    <w:rPr>
                      <w:rFonts w:hint="default" w:ascii="Times New Roman" w:hAnsi="Times New Roman" w:cs="Times New Roman"/>
                      <w:color w:val="auto"/>
                      <w:lang w:eastAsia="zh-CN"/>
                    </w:rPr>
                    <w:t>污水站设置为一体式，各</w:t>
                  </w:r>
                  <w:r>
                    <w:rPr>
                      <w:rFonts w:hint="default" w:ascii="Times New Roman" w:hAnsi="Times New Roman" w:cs="Times New Roman"/>
                      <w:color w:val="auto"/>
                      <w:shd w:val="clear" w:fill="FFFFFF"/>
                      <w:lang w:eastAsia="zh-CN"/>
                    </w:rPr>
                    <w:t>池</w:t>
                  </w:r>
                  <w:r>
                    <w:rPr>
                      <w:rFonts w:hint="default" w:ascii="Times New Roman" w:hAnsi="Times New Roman" w:cs="Times New Roman"/>
                      <w:color w:val="auto"/>
                      <w:lang w:eastAsia="zh-CN"/>
                    </w:rPr>
                    <w:t>体加盖密闭，定期喷洒生物除臭剂</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废水</w:t>
                  </w:r>
                </w:p>
              </w:tc>
              <w:tc>
                <w:tcPr>
                  <w:tcW w:w="239"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分离废水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采用“格栅+调节池+气浮沉淀预处理+UASB厌氧处理+两级AO+MBR膜处理”的工艺，处理规模15m³/d，处理达标后暂存在污水池（1个，容积35m³）内，采用罐车运送至彩云镇生活污水处理站进行处理</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拟建分离废水治理措施：</w:t>
                  </w:r>
                  <w:r>
                    <w:rPr>
                      <w:rFonts w:hint="default" w:ascii="Times New Roman" w:hAnsi="Times New Roman" w:cs="Times New Roman"/>
                      <w:color w:val="auto"/>
                      <w:lang w:eastAsia="zh-CN"/>
                    </w:rPr>
                    <w:t>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污水管接入一体化污水处理站进行处置，采用“格栅+调节池+气浮沉淀预处理+UASB厌氧处理+两级AO+MBR膜处理”的工艺，处理规模</w:t>
                  </w:r>
                  <w:r>
                    <w:rPr>
                      <w:rFonts w:hint="default" w:ascii="Times New Roman" w:hAnsi="Times New Roman" w:cs="Times New Roman"/>
                      <w:color w:val="auto"/>
                      <w:lang w:val="en-US" w:eastAsia="zh-CN"/>
                    </w:rPr>
                    <w:t>31</w:t>
                  </w:r>
                  <w:r>
                    <w:rPr>
                      <w:rFonts w:hint="default" w:ascii="Times New Roman" w:hAnsi="Times New Roman" w:cs="Times New Roman"/>
                      <w:color w:val="auto"/>
                      <w:lang w:eastAsia="zh-CN"/>
                    </w:rPr>
                    <w:t>m³/d，处理达标后暂存在污水池（1个，容积</w:t>
                  </w:r>
                  <w:r>
                    <w:rPr>
                      <w:rFonts w:hint="default" w:ascii="Times New Roman" w:hAnsi="Times New Roman" w:cs="Times New Roman"/>
                      <w:color w:val="auto"/>
                      <w:lang w:val="en-US" w:eastAsia="zh-CN"/>
                    </w:rPr>
                    <w:t>100</w:t>
                  </w:r>
                  <w:r>
                    <w:rPr>
                      <w:rFonts w:hint="default" w:ascii="Times New Roman" w:hAnsi="Times New Roman" w:cs="Times New Roman"/>
                      <w:color w:val="auto"/>
                      <w:lang w:eastAsia="zh-CN"/>
                    </w:rPr>
                    <w:t>m³）内，采用罐车运送至彩云镇生活污水处理站进行处理</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一体化污水处理站</w:t>
                  </w:r>
                  <w:r>
                    <w:rPr>
                      <w:rFonts w:hint="default" w:ascii="Times New Roman" w:hAnsi="Times New Roman" w:cs="Times New Roman"/>
                      <w:color w:val="auto"/>
                      <w:lang w:val="en-US" w:eastAsia="zh-CN"/>
                    </w:rPr>
                    <w:t>规模由15</w:t>
                  </w:r>
                  <w:r>
                    <w:rPr>
                      <w:rFonts w:hint="default" w:ascii="Times New Roman" w:hAnsi="Times New Roman" w:cs="Times New Roman"/>
                      <w:color w:val="auto"/>
                      <w:lang w:eastAsia="zh-CN"/>
                    </w:rPr>
                    <w:t>m³/d</w:t>
                  </w:r>
                  <w:r>
                    <w:rPr>
                      <w:rFonts w:hint="default" w:ascii="Times New Roman" w:hAnsi="Times New Roman" w:cs="Times New Roman"/>
                      <w:color w:val="auto"/>
                      <w:lang w:val="en-US" w:eastAsia="zh-CN"/>
                    </w:rPr>
                    <w:t>变为31</w:t>
                  </w:r>
                  <w:r>
                    <w:rPr>
                      <w:rFonts w:hint="default" w:ascii="Times New Roman" w:hAnsi="Times New Roman" w:cs="Times New Roman"/>
                      <w:color w:val="auto"/>
                      <w:lang w:eastAsia="zh-CN"/>
                    </w:rPr>
                    <w:t>m³/d；污水池</w:t>
                  </w:r>
                  <w:r>
                    <w:rPr>
                      <w:rFonts w:hint="default" w:ascii="Times New Roman" w:hAnsi="Times New Roman" w:cs="Times New Roman"/>
                      <w:color w:val="auto"/>
                      <w:lang w:val="en-US" w:eastAsia="zh-CN"/>
                    </w:rPr>
                    <w:t>容积由35m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变为100m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其他与环评阶段一致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清洗废水</w:t>
                  </w:r>
                </w:p>
              </w:tc>
              <w:tc>
                <w:tcPr>
                  <w:tcW w:w="1602" w:type="pct"/>
                  <w:tcBorders>
                    <w:right w:val="single" w:color="auto" w:sz="4" w:space="0"/>
                  </w:tcBorders>
                  <w:shd w:val="clear" w:color="auto" w:fill="auto"/>
                  <w:vAlign w:val="center"/>
                </w:tcPr>
                <w:p>
                  <w:pPr>
                    <w:pStyle w:val="68"/>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车辆清洗废水、设备清洗废水、地面清洗废水收集后经污水管接入一体化污水处理站进行处置，在处置车间设置1套DN150清洗废水收集管网，</w:t>
                  </w:r>
                  <w:r>
                    <w:rPr>
                      <w:rFonts w:hint="default" w:ascii="Times New Roman" w:hAnsi="Times New Roman" w:cs="Times New Roman"/>
                      <w:color w:val="auto"/>
                      <w:shd w:val="clear" w:fill="FFFFFF"/>
                      <w:lang w:eastAsia="zh-CN"/>
                    </w:rPr>
                    <w:t>沿</w:t>
                  </w:r>
                  <w:r>
                    <w:rPr>
                      <w:rFonts w:hint="default" w:ascii="Times New Roman" w:hAnsi="Times New Roman" w:cs="Times New Roman"/>
                      <w:color w:val="auto"/>
                      <w:lang w:eastAsia="zh-CN"/>
                    </w:rPr>
                    <w:t>处置车间地势较低一处布设，长度40m</w:t>
                  </w:r>
                </w:p>
              </w:tc>
              <w:tc>
                <w:tcPr>
                  <w:tcW w:w="1968" w:type="pct"/>
                  <w:tcBorders>
                    <w:left w:val="single" w:color="auto" w:sz="4" w:space="0"/>
                  </w:tcBorders>
                  <w:shd w:val="clear" w:color="auto" w:fill="auto"/>
                  <w:vAlign w:val="center"/>
                </w:tcPr>
                <w:p>
                  <w:pPr>
                    <w:pStyle w:val="68"/>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拟建清洗废水治理措施：</w:t>
                  </w:r>
                  <w:r>
                    <w:rPr>
                      <w:rFonts w:hint="default" w:ascii="Times New Roman" w:hAnsi="Times New Roman" w:cs="Times New Roman"/>
                      <w:color w:val="auto"/>
                      <w:lang w:eastAsia="zh-CN"/>
                    </w:rPr>
                    <w:t>车辆清洗废水、设备清洗废水、地面清洗废水收集后经污水管接入一体化污水处理站进行处置，在处置车间设置1套DN150清洗废水收集管网，</w:t>
                  </w:r>
                  <w:r>
                    <w:rPr>
                      <w:rFonts w:hint="default" w:ascii="Times New Roman" w:hAnsi="Times New Roman" w:cs="Times New Roman"/>
                      <w:color w:val="auto"/>
                      <w:shd w:val="clear" w:fill="FFFFFF"/>
                      <w:lang w:eastAsia="zh-CN"/>
                    </w:rPr>
                    <w:t>沿</w:t>
                  </w:r>
                  <w:r>
                    <w:rPr>
                      <w:rFonts w:hint="default" w:ascii="Times New Roman" w:hAnsi="Times New Roman" w:cs="Times New Roman"/>
                      <w:color w:val="auto"/>
                      <w:lang w:eastAsia="zh-CN"/>
                    </w:rPr>
                    <w:t>处置车间地势较低一处布设，长度40m</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洗涤废水</w:t>
                  </w:r>
                </w:p>
              </w:tc>
              <w:tc>
                <w:tcPr>
                  <w:tcW w:w="1602" w:type="pct"/>
                  <w:tcBorders>
                    <w:right w:val="single" w:color="auto" w:sz="4" w:space="0"/>
                  </w:tcBorders>
                  <w:shd w:val="clear" w:color="auto" w:fill="auto"/>
                  <w:vAlign w:val="center"/>
                </w:tcPr>
                <w:p>
                  <w:pPr>
                    <w:pStyle w:val="68"/>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洗涤废水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w:t>
                  </w:r>
                </w:p>
              </w:tc>
              <w:tc>
                <w:tcPr>
                  <w:tcW w:w="1968" w:type="pct"/>
                  <w:tcBorders>
                    <w:left w:val="single" w:color="auto" w:sz="4" w:space="0"/>
                  </w:tcBorders>
                  <w:shd w:val="clear" w:color="auto" w:fill="auto"/>
                  <w:vAlign w:val="center"/>
                </w:tcPr>
                <w:p>
                  <w:pPr>
                    <w:pStyle w:val="68"/>
                    <w:jc w:val="left"/>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拟建洗涤废水治理措施：</w:t>
                  </w:r>
                  <w:r>
                    <w:rPr>
                      <w:rFonts w:hint="default" w:ascii="Times New Roman" w:hAnsi="Times New Roman" w:cs="Times New Roman"/>
                      <w:color w:val="auto"/>
                      <w:lang w:eastAsia="zh-CN"/>
                    </w:rPr>
                    <w:t>洗涤废水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锅炉废水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锅炉排污水产生后用塑料桶收集，用于餐厨垃圾处置车间地面清洗</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拟建锅炉废水治理措施：</w:t>
                  </w:r>
                  <w:r>
                    <w:rPr>
                      <w:rFonts w:hint="default" w:ascii="Times New Roman" w:hAnsi="Times New Roman" w:cs="Times New Roman"/>
                      <w:color w:val="auto"/>
                      <w:lang w:eastAsia="zh-CN"/>
                    </w:rPr>
                    <w:t>锅炉排污水产生后用</w:t>
                  </w:r>
                  <w:r>
                    <w:rPr>
                      <w:rFonts w:hint="default" w:ascii="Times New Roman" w:hAnsi="Times New Roman" w:cs="Times New Roman"/>
                      <w:color w:val="auto"/>
                      <w:lang w:val="zh-CN"/>
                    </w:rPr>
                    <w:t>锅炉废水收集塑料桶（</w:t>
                  </w:r>
                  <w:r>
                    <w:rPr>
                      <w:rFonts w:hint="default" w:ascii="Times New Roman" w:hAnsi="Times New Roman" w:cs="Times New Roman"/>
                      <w:color w:val="auto"/>
                      <w:lang w:val="en-US" w:eastAsia="zh-CN"/>
                    </w:rPr>
                    <w:t>1个，容积300L</w:t>
                  </w:r>
                  <w:r>
                    <w:rPr>
                      <w:rFonts w:hint="default" w:ascii="Times New Roman" w:hAnsi="Times New Roman" w:cs="Times New Roman"/>
                      <w:color w:val="auto"/>
                      <w:lang w:val="zh-CN"/>
                    </w:rPr>
                    <w:t>）</w:t>
                  </w:r>
                  <w:r>
                    <w:rPr>
                      <w:rFonts w:hint="default" w:ascii="Times New Roman" w:hAnsi="Times New Roman" w:cs="Times New Roman"/>
                      <w:color w:val="auto"/>
                      <w:lang w:eastAsia="zh-CN"/>
                    </w:rPr>
                    <w:t>收集，用于餐厨垃圾处置车间地面清洗</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生活污水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生活污水排入</w:t>
                  </w:r>
                  <w:r>
                    <w:rPr>
                      <w:rFonts w:hint="default" w:ascii="Times New Roman" w:hAnsi="Times New Roman" w:cs="Times New Roman"/>
                      <w:color w:val="auto"/>
                      <w:lang w:eastAsia="zh-CN"/>
                    </w:rPr>
                    <w:t>新建</w:t>
                  </w:r>
                  <w:r>
                    <w:rPr>
                      <w:rFonts w:hint="default" w:ascii="Times New Roman" w:hAnsi="Times New Roman" w:cs="Times New Roman"/>
                      <w:color w:val="auto"/>
                    </w:rPr>
                    <w:t>化粪池（1个，5m³）处理</w:t>
                  </w:r>
                  <w:r>
                    <w:rPr>
                      <w:rFonts w:hint="default" w:ascii="Times New Roman" w:hAnsi="Times New Roman" w:cs="Times New Roman"/>
                      <w:color w:val="auto"/>
                      <w:lang w:eastAsia="zh-CN"/>
                    </w:rPr>
                    <w:t>后定期清掏用于周边农田施肥</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项目生活污水</w:t>
                  </w:r>
                  <w:r>
                    <w:rPr>
                      <w:rFonts w:hint="default" w:ascii="Times New Roman" w:hAnsi="Times New Roman" w:cs="Times New Roman"/>
                      <w:color w:val="auto"/>
                    </w:rPr>
                    <w:t>排入</w:t>
                  </w:r>
                  <w:r>
                    <w:rPr>
                      <w:rFonts w:hint="default" w:ascii="Times New Roman" w:hAnsi="Times New Roman" w:cs="Times New Roman"/>
                      <w:color w:val="auto"/>
                      <w:lang w:val="en-US" w:eastAsia="zh-CN"/>
                    </w:rPr>
                    <w:t>已</w:t>
                  </w:r>
                  <w:r>
                    <w:rPr>
                      <w:rFonts w:hint="default" w:ascii="Times New Roman" w:hAnsi="Times New Roman" w:cs="Times New Roman"/>
                      <w:color w:val="auto"/>
                      <w:lang w:eastAsia="zh-CN"/>
                    </w:rPr>
                    <w:t>新建</w:t>
                  </w:r>
                  <w:r>
                    <w:rPr>
                      <w:rFonts w:hint="default" w:ascii="Times New Roman" w:hAnsi="Times New Roman" w:cs="Times New Roman"/>
                      <w:color w:val="auto"/>
                    </w:rPr>
                    <w:t>化粪池（1个，</w:t>
                  </w:r>
                  <w:r>
                    <w:rPr>
                      <w:rFonts w:hint="default" w:ascii="Times New Roman" w:hAnsi="Times New Roman" w:cs="Times New Roman"/>
                      <w:color w:val="auto"/>
                      <w:lang w:val="en-US" w:eastAsia="zh-CN"/>
                    </w:rPr>
                    <w:t>容积：</w:t>
                  </w:r>
                  <w:r>
                    <w:rPr>
                      <w:rFonts w:hint="default" w:ascii="Times New Roman" w:hAnsi="Times New Roman" w:cs="Times New Roman"/>
                      <w:color w:val="auto"/>
                    </w:rPr>
                    <w:t>5m³）处理</w:t>
                  </w:r>
                  <w:r>
                    <w:rPr>
                      <w:rFonts w:hint="default" w:ascii="Times New Roman" w:hAnsi="Times New Roman" w:cs="Times New Roman"/>
                      <w:color w:val="auto"/>
                      <w:lang w:eastAsia="zh-CN"/>
                    </w:rPr>
                    <w:t>后定期清掏用于周边农田施肥</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初期雨水</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在事故应急池1侧设置1个容积2m³的初期雨水池，初期雨水收集后进入一体化污水处理站处置</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在事故应急池1侧设置</w:t>
                  </w:r>
                  <w:r>
                    <w:rPr>
                      <w:rFonts w:hint="default" w:ascii="Times New Roman" w:hAnsi="Times New Roman" w:cs="Times New Roman"/>
                      <w:color w:val="auto"/>
                      <w:lang w:val="en-US" w:eastAsia="zh-CN"/>
                    </w:rPr>
                    <w:t>拟建</w:t>
                  </w:r>
                  <w:r>
                    <w:rPr>
                      <w:rFonts w:hint="default" w:ascii="Times New Roman" w:hAnsi="Times New Roman" w:cs="Times New Roman"/>
                      <w:color w:val="auto"/>
                      <w:lang w:eastAsia="zh-CN"/>
                    </w:rPr>
                    <w:t>1个容积</w:t>
                  </w:r>
                  <w:r>
                    <w:rPr>
                      <w:rFonts w:hint="default" w:ascii="Times New Roman" w:hAnsi="Times New Roman" w:cs="Times New Roman"/>
                      <w:color w:val="auto"/>
                      <w:lang w:val="en-US" w:eastAsia="zh-CN"/>
                    </w:rPr>
                    <w:t>30</w:t>
                  </w:r>
                  <w:r>
                    <w:rPr>
                      <w:rFonts w:hint="default" w:ascii="Times New Roman" w:hAnsi="Times New Roman" w:cs="Times New Roman"/>
                      <w:color w:val="auto"/>
                      <w:lang w:eastAsia="zh-CN"/>
                    </w:rPr>
                    <w:t>m³的初期雨水池，初期雨水收集后进入一体化污水处理站处置</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初期雨水池</w:t>
                  </w:r>
                  <w:r>
                    <w:rPr>
                      <w:rFonts w:hint="default" w:ascii="Times New Roman" w:hAnsi="Times New Roman" w:cs="Times New Roman"/>
                      <w:color w:val="auto"/>
                      <w:lang w:val="en-US" w:eastAsia="zh-CN"/>
                    </w:rPr>
                    <w:t>容积由2m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变为30m</w:t>
                  </w:r>
                  <w:r>
                    <w:rPr>
                      <w:rFonts w:hint="default" w:ascii="Times New Roman" w:hAnsi="Times New Roman" w:cs="Times New Roman"/>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噪声</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生产车间</w:t>
                  </w:r>
                  <w:r>
                    <w:rPr>
                      <w:rFonts w:hint="default" w:ascii="Times New Roman" w:hAnsi="Times New Roman" w:cs="Times New Roman"/>
                      <w:color w:val="auto"/>
                    </w:rPr>
                    <w:t>设置为全封闭车间，对高噪声设备采取减振降噪措施</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color w:val="auto"/>
                    </w:rPr>
                  </w:pPr>
                  <w:r>
                    <w:rPr>
                      <w:rFonts w:hint="default" w:ascii="Times New Roman" w:hAnsi="Times New Roman" w:cs="Times New Roman"/>
                      <w:b/>
                      <w:bCs/>
                      <w:color w:val="auto"/>
                      <w:lang w:val="en-US" w:eastAsia="zh-CN"/>
                    </w:rPr>
                    <w:t>根据现场踏勘：</w:t>
                  </w:r>
                  <w:r>
                    <w:rPr>
                      <w:rFonts w:hint="default" w:ascii="Times New Roman" w:hAnsi="Times New Roman" w:cs="Times New Roman"/>
                      <w:color w:val="auto"/>
                      <w:lang w:eastAsia="zh-CN"/>
                    </w:rPr>
                    <w:t>生产车间</w:t>
                  </w:r>
                  <w:r>
                    <w:rPr>
                      <w:rFonts w:hint="default" w:ascii="Times New Roman" w:hAnsi="Times New Roman" w:cs="Times New Roman"/>
                      <w:color w:val="auto"/>
                    </w:rPr>
                    <w:t>设置为全封闭车间，对高噪声设备采取减振降噪措施</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shd w:val="clear" w:fill="FFFFFF"/>
                    </w:rPr>
                    <w:t>固废</w:t>
                  </w: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危险废物</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危废暂存间1间，建筑面积15㎡，砖混结构，重点防渗，全封闭；地面及墙裙进行防渗及防腐处理；用于各类危险废物分区储存，等效黏土防渗层Mb≥6.0m，K≤1×10</w:t>
                  </w:r>
                  <w:r>
                    <w:rPr>
                      <w:rFonts w:hint="default" w:ascii="Times New Roman" w:hAnsi="Times New Roman" w:cs="Times New Roman"/>
                      <w:color w:val="auto"/>
                      <w:lang w:eastAsia="zh-CN"/>
                    </w:rPr>
                    <w:t>—</w:t>
                  </w:r>
                  <w:r>
                    <w:rPr>
                      <w:rFonts w:hint="default" w:ascii="Times New Roman" w:hAnsi="Times New Roman" w:cs="Times New Roman"/>
                      <w:color w:val="auto"/>
                      <w:vertAlign w:val="superscript"/>
                    </w:rPr>
                    <w:t>10</w:t>
                  </w:r>
                  <w:r>
                    <w:rPr>
                      <w:rFonts w:hint="default" w:ascii="Times New Roman" w:hAnsi="Times New Roman" w:cs="Times New Roman"/>
                      <w:color w:val="auto"/>
                    </w:rPr>
                    <w:t>cm/s；或参照GB18598执行，规范化设置危险废物识别标志和标牌</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拟建危险废物暂存间：1间，</w:t>
                  </w:r>
                  <w:r>
                    <w:rPr>
                      <w:rFonts w:hint="default" w:ascii="Times New Roman" w:hAnsi="Times New Roman" w:cs="Times New Roman"/>
                      <w:color w:val="auto"/>
                    </w:rPr>
                    <w:t>建筑面积15㎡，砖混结构，重点防渗，全封闭；地面及墙裙进行防渗及防腐处理；用于各类危险废物分区储存，等效黏土防渗层Mb≥6.0m，K≤1×10</w:t>
                  </w:r>
                  <w:r>
                    <w:rPr>
                      <w:rFonts w:hint="default" w:ascii="Times New Roman" w:hAnsi="Times New Roman" w:cs="Times New Roman"/>
                      <w:color w:val="auto"/>
                      <w:lang w:eastAsia="zh-CN"/>
                    </w:rPr>
                    <w:t>—</w:t>
                  </w:r>
                  <w:r>
                    <w:rPr>
                      <w:rFonts w:hint="default" w:ascii="Times New Roman" w:hAnsi="Times New Roman" w:cs="Times New Roman"/>
                      <w:color w:val="auto"/>
                      <w:vertAlign w:val="superscript"/>
                    </w:rPr>
                    <w:t>10</w:t>
                  </w:r>
                  <w:r>
                    <w:rPr>
                      <w:rFonts w:hint="default" w:ascii="Times New Roman" w:hAnsi="Times New Roman" w:cs="Times New Roman"/>
                      <w:color w:val="auto"/>
                    </w:rPr>
                    <w:t>cm/s；或参照GB18598执行，规范化设置危险废物识别标志和标牌</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一般固废</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一般固废</w:t>
                  </w:r>
                  <w:r>
                    <w:rPr>
                      <w:rFonts w:hint="default" w:ascii="Times New Roman" w:hAnsi="Times New Roman" w:cs="Times New Roman"/>
                      <w:color w:val="auto"/>
                      <w:shd w:val="clear" w:fill="FFFFFF"/>
                      <w:lang w:eastAsia="zh-CN"/>
                    </w:rPr>
                    <w:t>间</w:t>
                  </w:r>
                  <w:r>
                    <w:rPr>
                      <w:rFonts w:hint="default" w:ascii="Times New Roman" w:hAnsi="Times New Roman" w:cs="Times New Roman"/>
                      <w:color w:val="auto"/>
                    </w:rPr>
                    <w:t>1间，建筑面积15㎡，砖混结构，</w:t>
                  </w:r>
                  <w:r>
                    <w:rPr>
                      <w:rFonts w:hint="default" w:ascii="Times New Roman" w:hAnsi="Times New Roman" w:cs="Times New Roman"/>
                      <w:color w:val="auto"/>
                      <w:lang w:eastAsia="zh-CN"/>
                    </w:rPr>
                    <w:t>一般</w:t>
                  </w:r>
                  <w:r>
                    <w:rPr>
                      <w:rFonts w:hint="default" w:ascii="Times New Roman" w:hAnsi="Times New Roman" w:cs="Times New Roman"/>
                      <w:color w:val="auto"/>
                    </w:rPr>
                    <w:t>防渗</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拟建一般固废暂存间：1间，</w:t>
                  </w:r>
                  <w:r>
                    <w:rPr>
                      <w:rFonts w:hint="default" w:ascii="Times New Roman" w:hAnsi="Times New Roman" w:cs="Times New Roman"/>
                      <w:color w:val="auto"/>
                    </w:rPr>
                    <w:t>建筑面积15㎡，砖混结构，</w:t>
                  </w:r>
                  <w:r>
                    <w:rPr>
                      <w:rFonts w:hint="default" w:ascii="Times New Roman" w:hAnsi="Times New Roman" w:cs="Times New Roman"/>
                      <w:color w:val="auto"/>
                      <w:lang w:eastAsia="zh-CN"/>
                    </w:rPr>
                    <w:t>一般</w:t>
                  </w:r>
                  <w:r>
                    <w:rPr>
                      <w:rFonts w:hint="default" w:ascii="Times New Roman" w:hAnsi="Times New Roman" w:cs="Times New Roman"/>
                      <w:color w:val="auto"/>
                    </w:rPr>
                    <w:t>防渗</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327" w:type="pct"/>
                  <w:vMerge w:val="continue"/>
                  <w:shd w:val="clear" w:color="auto" w:fill="auto"/>
                  <w:vAlign w:val="center"/>
                </w:tcPr>
                <w:p>
                  <w:pPr>
                    <w:pStyle w:val="68"/>
                    <w:rPr>
                      <w:rFonts w:hint="default" w:ascii="Times New Roman" w:hAnsi="Times New Roman" w:cs="Times New Roman"/>
                      <w:color w:val="auto"/>
                    </w:rPr>
                  </w:pPr>
                </w:p>
              </w:tc>
              <w:tc>
                <w:tcPr>
                  <w:tcW w:w="239"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生活垃圾</w:t>
                  </w:r>
                </w:p>
              </w:tc>
              <w:tc>
                <w:tcPr>
                  <w:tcW w:w="1602" w:type="pct"/>
                  <w:tcBorders>
                    <w:right w:val="single" w:color="auto" w:sz="4" w:space="0"/>
                  </w:tcBorders>
                  <w:shd w:val="clear" w:color="auto" w:fill="auto"/>
                  <w:vAlign w:val="center"/>
                </w:tcPr>
                <w:p>
                  <w:pPr>
                    <w:pStyle w:val="68"/>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办公区设置120L的生活垃圾桶若干</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拟建生活垃圾治理措施：</w:t>
                  </w:r>
                  <w:r>
                    <w:rPr>
                      <w:rFonts w:hint="default" w:ascii="Times New Roman" w:hAnsi="Times New Roman" w:cs="Times New Roman"/>
                      <w:color w:val="auto"/>
                      <w:szCs w:val="21"/>
                      <w:lang w:eastAsia="zh-CN"/>
                    </w:rPr>
                    <w:t>办公区设置120L的生活垃圾桶若干</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restar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环境风险防范</w:t>
                  </w:r>
                </w:p>
              </w:tc>
              <w:tc>
                <w:tcPr>
                  <w:tcW w:w="1602"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危废暂存间设置围堰，角落设置废液收集池</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拟建工程：</w:t>
                  </w:r>
                  <w:r>
                    <w:rPr>
                      <w:rFonts w:hint="default" w:ascii="Times New Roman" w:hAnsi="Times New Roman" w:cs="Times New Roman"/>
                      <w:color w:val="auto"/>
                    </w:rPr>
                    <w:t>危废暂存间设置围堰，角落设置废液收集池</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1602"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污水池一侧设置1个事故应急池，容积为20m³</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拟建工程：</w:t>
                  </w:r>
                  <w:r>
                    <w:rPr>
                      <w:rFonts w:hint="default" w:ascii="Times New Roman" w:hAnsi="Times New Roman" w:cs="Times New Roman"/>
                      <w:color w:val="auto"/>
                      <w:lang w:eastAsia="zh-CN"/>
                    </w:rPr>
                    <w:t>污水池一侧</w:t>
                  </w:r>
                  <w:r>
                    <w:rPr>
                      <w:rFonts w:hint="default" w:ascii="Times New Roman" w:hAnsi="Times New Roman" w:cs="Times New Roman"/>
                      <w:color w:val="auto"/>
                      <w:lang w:val="en-US" w:eastAsia="zh-CN"/>
                    </w:rPr>
                    <w:t>拟</w:t>
                  </w:r>
                  <w:r>
                    <w:rPr>
                      <w:rFonts w:hint="default" w:ascii="Times New Roman" w:hAnsi="Times New Roman" w:cs="Times New Roman"/>
                      <w:color w:val="auto"/>
                      <w:lang w:eastAsia="zh-CN"/>
                    </w:rPr>
                    <w:t>设置1个事故应急池，容积为</w:t>
                  </w:r>
                  <w:r>
                    <w:rPr>
                      <w:rFonts w:hint="default" w:ascii="Times New Roman" w:hAnsi="Times New Roman" w:cs="Times New Roman"/>
                      <w:color w:val="auto"/>
                      <w:lang w:val="en-US" w:eastAsia="zh-CN"/>
                    </w:rPr>
                    <w:t>100</w:t>
                  </w:r>
                  <w:r>
                    <w:rPr>
                      <w:rFonts w:hint="default" w:ascii="Times New Roman" w:hAnsi="Times New Roman" w:cs="Times New Roman"/>
                      <w:color w:val="auto"/>
                      <w:lang w:eastAsia="zh-CN"/>
                    </w:rPr>
                    <w:t>m³</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事故应急池由20m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变为100m</w:t>
                  </w:r>
                  <w:r>
                    <w:rPr>
                      <w:rFonts w:hint="default" w:ascii="Times New Roman" w:hAnsi="Times New Roman" w:cs="Times New Roman"/>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1602"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成品油罐四周设置围堰，围堰占地面积80㎡，围堰高度0.8m，围堰有效收集容积64m³</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拟建工程：成品油罐四周设置围堰，围堰占地面积80㎡，围堰高度0.8m，围堰有效收集容积64m³</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6" w:type="pct"/>
                  <w:vMerge w:val="continue"/>
                  <w:shd w:val="clear" w:color="auto" w:fill="auto"/>
                  <w:vAlign w:val="center"/>
                </w:tcPr>
                <w:p>
                  <w:pPr>
                    <w:pStyle w:val="68"/>
                    <w:rPr>
                      <w:rFonts w:hint="default" w:ascii="Times New Roman" w:hAnsi="Times New Roman" w:cs="Times New Roman"/>
                      <w:color w:val="auto"/>
                    </w:rPr>
                  </w:pPr>
                </w:p>
              </w:tc>
              <w:tc>
                <w:tcPr>
                  <w:tcW w:w="567"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1602"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生产车间配置灭火器等环境应急物资</w:t>
                  </w:r>
                </w:p>
              </w:tc>
              <w:tc>
                <w:tcPr>
                  <w:tcW w:w="1968" w:type="pct"/>
                  <w:tcBorders>
                    <w:left w:val="single" w:color="auto" w:sz="4" w:space="0"/>
                  </w:tcBorders>
                  <w:shd w:val="clear" w:color="auto" w:fill="auto"/>
                  <w:vAlign w:val="center"/>
                </w:tcPr>
                <w:p>
                  <w:pPr>
                    <w:pStyle w:val="68"/>
                    <w:jc w:val="both"/>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根据现场踏勘：</w:t>
                  </w:r>
                </w:p>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拟建工程：</w:t>
                  </w:r>
                  <w:r>
                    <w:rPr>
                      <w:rFonts w:hint="default" w:ascii="Times New Roman" w:hAnsi="Times New Roman" w:cs="Times New Roman"/>
                      <w:color w:val="auto"/>
                    </w:rPr>
                    <w:t>生产车间配置灭火器等环境应急物资</w:t>
                  </w:r>
                </w:p>
              </w:tc>
              <w:tc>
                <w:tcPr>
                  <w:tcW w:w="61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与原环评一致</w:t>
                  </w:r>
                </w:p>
              </w:tc>
            </w:tr>
          </w:tbl>
          <w:p>
            <w:pPr>
              <w:pStyle w:val="84"/>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2、生产工艺变动情况</w:t>
            </w:r>
          </w:p>
          <w:p>
            <w:pPr>
              <w:pStyle w:val="84"/>
              <w:keepNext w:val="0"/>
              <w:keepLines w:val="0"/>
              <w:pageBreakBefore w:val="0"/>
              <w:widowControl w:val="0"/>
              <w:numPr>
                <w:ilvl w:val="0"/>
                <w:numId w:val="0"/>
              </w:numPr>
              <w:kinsoku/>
              <w:wordWrap w:val="0"/>
              <w:overflowPunct/>
              <w:topLinePunct/>
              <w:autoSpaceDE w:val="0"/>
              <w:autoSpaceDN/>
              <w:bidi w:val="0"/>
              <w:adjustRightInd w:val="0"/>
              <w:snapToGrid/>
              <w:ind w:leftChars="0" w:firstLine="480" w:firstLineChars="200"/>
              <w:textAlignment w:val="baseline"/>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项目生产工艺中建设单位</w:t>
            </w:r>
            <w:r>
              <w:rPr>
                <w:rFonts w:hint="default" w:ascii="Times New Roman" w:hAnsi="Times New Roman" w:cs="Times New Roman"/>
                <w:b w:val="0"/>
                <w:bCs/>
                <w:color w:val="auto"/>
                <w:shd w:val="clear" w:fill="FFFFFF"/>
                <w:lang w:val="en-US" w:eastAsia="zh-CN"/>
              </w:rPr>
              <w:t>将</w:t>
            </w:r>
            <w:r>
              <w:rPr>
                <w:rFonts w:hint="default" w:ascii="Times New Roman" w:hAnsi="Times New Roman" w:cs="Times New Roman"/>
                <w:b w:val="0"/>
                <w:bCs/>
                <w:color w:val="auto"/>
                <w:lang w:val="en-US" w:eastAsia="zh-CN"/>
              </w:rPr>
              <w:t>0.7t/h生物质锅炉更换为2.2t/h生物质锅炉，其他与原环评阶段一致。</w:t>
            </w:r>
          </w:p>
          <w:p>
            <w:pPr>
              <w:pStyle w:val="84"/>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3、原辅料变动情况</w:t>
            </w:r>
          </w:p>
          <w:p>
            <w:pPr>
              <w:pStyle w:val="84"/>
              <w:keepNext w:val="0"/>
              <w:keepLines w:val="0"/>
              <w:pageBreakBefore w:val="0"/>
              <w:widowControl w:val="0"/>
              <w:numPr>
                <w:ilvl w:val="0"/>
                <w:numId w:val="0"/>
              </w:numPr>
              <w:kinsoku/>
              <w:wordWrap w:val="0"/>
              <w:overflowPunct/>
              <w:topLinePunct/>
              <w:autoSpaceDE w:val="0"/>
              <w:autoSpaceDN/>
              <w:bidi w:val="0"/>
              <w:adjustRightInd w:val="0"/>
              <w:snapToGrid/>
              <w:ind w:leftChars="0" w:firstLine="480" w:firstLineChars="200"/>
              <w:textAlignment w:val="baseline"/>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项目原辅料使用变动情况详见下表2.1-2所示。</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项目原辅材料使用</w:t>
            </w:r>
            <w:r>
              <w:rPr>
                <w:rFonts w:hint="default" w:ascii="Times New Roman" w:hAnsi="Times New Roman" w:cs="Times New Roman"/>
                <w:color w:val="auto"/>
                <w:lang w:val="en-US" w:eastAsia="zh-CN"/>
              </w:rPr>
              <w:t>变动</w:t>
            </w:r>
            <w:r>
              <w:rPr>
                <w:rFonts w:hint="default" w:ascii="Times New Roman" w:hAnsi="Times New Roman" w:cs="Times New Roman"/>
                <w:color w:val="auto"/>
              </w:rPr>
              <w:t>情况一览表</w:t>
            </w:r>
          </w:p>
          <w:tbl>
            <w:tblPr>
              <w:tblStyle w:val="30"/>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39"/>
              <w:gridCol w:w="1099"/>
              <w:gridCol w:w="796"/>
              <w:gridCol w:w="1250"/>
              <w:gridCol w:w="964"/>
              <w:gridCol w:w="695"/>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jc w:val="center"/>
              </w:trPr>
              <w:tc>
                <w:tcPr>
                  <w:tcW w:w="507" w:type="pct"/>
                  <w:vMerge w:val="restar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88" w:type="pct"/>
                  <w:gridSpan w:val="2"/>
                  <w:vMerge w:val="restar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原料名称</w:t>
                  </w:r>
                </w:p>
              </w:tc>
              <w:tc>
                <w:tcPr>
                  <w:tcW w:w="1315" w:type="pct"/>
                  <w:gridSpan w:val="2"/>
                  <w:vAlign w:val="center"/>
                </w:tcPr>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shd w:val="clear" w:fill="FFFFFF"/>
                      <w:lang w:val="en-US" w:eastAsia="zh-CN"/>
                    </w:rPr>
                    <w:t>原</w:t>
                  </w:r>
                  <w:r>
                    <w:rPr>
                      <w:rFonts w:hint="default" w:ascii="Times New Roman" w:hAnsi="Times New Roman" w:cs="Times New Roman"/>
                      <w:b/>
                      <w:bCs/>
                      <w:color w:val="auto"/>
                      <w:lang w:val="en-US" w:eastAsia="zh-CN"/>
                    </w:rPr>
                    <w:t>环评批复阶段</w:t>
                  </w:r>
                </w:p>
              </w:tc>
              <w:tc>
                <w:tcPr>
                  <w:tcW w:w="1066" w:type="pct"/>
                  <w:gridSpan w:val="2"/>
                  <w:vAlign w:val="center"/>
                </w:tcPr>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本项目用量</w:t>
                  </w:r>
                </w:p>
              </w:tc>
              <w:tc>
                <w:tcPr>
                  <w:tcW w:w="1121" w:type="pct"/>
                  <w:vAlign w:val="center"/>
                </w:tcPr>
                <w:p>
                  <w:pPr>
                    <w:pStyle w:val="68"/>
                    <w:rPr>
                      <w:rFonts w:hint="default" w:ascii="Times New Roman" w:hAnsi="Times New Roman" w:cs="Times New Roman"/>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7" w:type="pct"/>
                  <w:vMerge w:val="continue"/>
                  <w:vAlign w:val="center"/>
                </w:tcPr>
                <w:p>
                  <w:pPr>
                    <w:pStyle w:val="68"/>
                    <w:rPr>
                      <w:rFonts w:hint="default" w:ascii="Times New Roman" w:hAnsi="Times New Roman" w:cs="Times New Roman"/>
                      <w:b/>
                      <w:bCs/>
                      <w:color w:val="auto"/>
                    </w:rPr>
                  </w:pPr>
                </w:p>
              </w:tc>
              <w:tc>
                <w:tcPr>
                  <w:tcW w:w="988" w:type="pct"/>
                  <w:gridSpan w:val="2"/>
                  <w:vMerge w:val="continue"/>
                  <w:vAlign w:val="center"/>
                </w:tcPr>
                <w:p>
                  <w:pPr>
                    <w:pStyle w:val="68"/>
                    <w:rPr>
                      <w:rFonts w:hint="default" w:ascii="Times New Roman" w:hAnsi="Times New Roman" w:cs="Times New Roman"/>
                      <w:b/>
                      <w:bCs/>
                      <w:color w:val="auto"/>
                    </w:rPr>
                  </w:pPr>
                </w:p>
              </w:tc>
              <w:tc>
                <w:tcPr>
                  <w:tcW w:w="511"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803"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数量</w:t>
                  </w:r>
                </w:p>
              </w:tc>
              <w:tc>
                <w:tcPr>
                  <w:tcW w:w="619" w:type="pct"/>
                  <w:vAlign w:val="center"/>
                </w:tcPr>
                <w:p>
                  <w:pPr>
                    <w:pStyle w:val="68"/>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rPr>
                    <w:t>单位</w:t>
                  </w:r>
                </w:p>
              </w:tc>
              <w:tc>
                <w:tcPr>
                  <w:tcW w:w="446" w:type="pct"/>
                  <w:vAlign w:val="center"/>
                </w:tcPr>
                <w:p>
                  <w:pPr>
                    <w:pStyle w:val="68"/>
                    <w:ind w:firstLine="0" w:firstLineChars="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数量</w:t>
                  </w:r>
                </w:p>
              </w:tc>
              <w:tc>
                <w:tcPr>
                  <w:tcW w:w="1121" w:type="pct"/>
                  <w:vAlign w:val="center"/>
                </w:tcPr>
                <w:p>
                  <w:pPr>
                    <w:pStyle w:val="68"/>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来源</w:t>
                  </w:r>
                  <w:r>
                    <w:rPr>
                      <w:rFonts w:hint="default" w:ascii="Times New Roman" w:hAnsi="Times New Roman" w:cs="Times New Roman"/>
                      <w:b/>
                      <w:bCs/>
                      <w:color w:val="auto"/>
                      <w:lang w:val="en-US" w:eastAsia="zh-CN"/>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282"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餐厨垃圾</w:t>
                  </w:r>
                </w:p>
              </w:tc>
              <w:tc>
                <w:tcPr>
                  <w:tcW w:w="706"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食材废料</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t/a</w:t>
                  </w:r>
                </w:p>
              </w:tc>
              <w:tc>
                <w:tcPr>
                  <w:tcW w:w="80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2100</w:t>
                  </w:r>
                </w:p>
              </w:tc>
              <w:tc>
                <w:tcPr>
                  <w:tcW w:w="619"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eastAsia="zh-CN"/>
                    </w:rPr>
                    <w:t>t/a</w:t>
                  </w:r>
                </w:p>
              </w:tc>
              <w:tc>
                <w:tcPr>
                  <w:tcW w:w="446"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2100</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7"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w:t>
                  </w:r>
                </w:p>
              </w:tc>
              <w:tc>
                <w:tcPr>
                  <w:tcW w:w="282" w:type="pct"/>
                  <w:vMerge w:val="continue"/>
                  <w:vAlign w:val="center"/>
                </w:tcPr>
                <w:p>
                  <w:pPr>
                    <w:pStyle w:val="68"/>
                    <w:rPr>
                      <w:rFonts w:hint="default" w:ascii="Times New Roman" w:hAnsi="Times New Roman" w:cs="Times New Roman"/>
                      <w:color w:val="auto"/>
                    </w:rPr>
                  </w:pPr>
                </w:p>
              </w:tc>
              <w:tc>
                <w:tcPr>
                  <w:tcW w:w="7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泔水</w:t>
                  </w:r>
                </w:p>
              </w:tc>
              <w:tc>
                <w:tcPr>
                  <w:tcW w:w="51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t/a</w:t>
                  </w:r>
                </w:p>
              </w:tc>
              <w:tc>
                <w:tcPr>
                  <w:tcW w:w="8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6000</w:t>
                  </w:r>
                </w:p>
              </w:tc>
              <w:tc>
                <w:tcPr>
                  <w:tcW w:w="619"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t/a</w:t>
                  </w:r>
                </w:p>
              </w:tc>
              <w:tc>
                <w:tcPr>
                  <w:tcW w:w="446"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6000</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7"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w:t>
                  </w:r>
                </w:p>
              </w:tc>
              <w:tc>
                <w:tcPr>
                  <w:tcW w:w="282" w:type="pct"/>
                  <w:vMerge w:val="continue"/>
                  <w:vAlign w:val="center"/>
                </w:tcPr>
                <w:p>
                  <w:pPr>
                    <w:pStyle w:val="68"/>
                    <w:rPr>
                      <w:rFonts w:hint="default" w:ascii="Times New Roman" w:hAnsi="Times New Roman" w:cs="Times New Roman"/>
                      <w:color w:val="auto"/>
                    </w:rPr>
                  </w:pPr>
                </w:p>
              </w:tc>
              <w:tc>
                <w:tcPr>
                  <w:tcW w:w="7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隔油池废油</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t/a</w:t>
                  </w:r>
                </w:p>
              </w:tc>
              <w:tc>
                <w:tcPr>
                  <w:tcW w:w="8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900</w:t>
                  </w:r>
                </w:p>
              </w:tc>
              <w:tc>
                <w:tcPr>
                  <w:tcW w:w="619"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t/a</w:t>
                  </w:r>
                </w:p>
              </w:tc>
              <w:tc>
                <w:tcPr>
                  <w:tcW w:w="446"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900</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007" w:type="pct"/>
                  <w:gridSpan w:val="4"/>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合计</w:t>
                  </w:r>
                </w:p>
              </w:tc>
              <w:tc>
                <w:tcPr>
                  <w:tcW w:w="8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9000t/a</w:t>
                  </w:r>
                </w:p>
              </w:tc>
              <w:tc>
                <w:tcPr>
                  <w:tcW w:w="1066" w:type="pct"/>
                  <w:gridSpan w:val="2"/>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合计</w:t>
                  </w:r>
                </w:p>
              </w:tc>
              <w:tc>
                <w:tcPr>
                  <w:tcW w:w="112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w:t>
                  </w:r>
                </w:p>
              </w:tc>
              <w:tc>
                <w:tcPr>
                  <w:tcW w:w="988"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万</w:t>
                  </w:r>
                  <w:r>
                    <w:rPr>
                      <w:rFonts w:hint="default" w:ascii="Times New Roman" w:hAnsi="Times New Roman" w:cs="Times New Roman"/>
                      <w:color w:val="auto"/>
                      <w:lang w:eastAsia="zh-CN"/>
                    </w:rPr>
                    <w:t>kW</w:t>
                  </w:r>
                  <w:r>
                    <w:rPr>
                      <w:rFonts w:hint="default" w:ascii="Times New Roman" w:hAnsi="Times New Roman" w:cs="Times New Roman"/>
                      <w:color w:val="auto"/>
                    </w:rPr>
                    <w:t>/h</w:t>
                  </w:r>
                </w:p>
              </w:tc>
              <w:tc>
                <w:tcPr>
                  <w:tcW w:w="80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30</w:t>
                  </w:r>
                </w:p>
              </w:tc>
              <w:tc>
                <w:tcPr>
                  <w:tcW w:w="619"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万</w:t>
                  </w:r>
                  <w:r>
                    <w:rPr>
                      <w:rFonts w:hint="default" w:ascii="Times New Roman" w:hAnsi="Times New Roman" w:cs="Times New Roman"/>
                      <w:color w:val="auto"/>
                      <w:lang w:eastAsia="zh-CN"/>
                    </w:rPr>
                    <w:t>kW</w:t>
                  </w:r>
                  <w:r>
                    <w:rPr>
                      <w:rFonts w:hint="default" w:ascii="Times New Roman" w:hAnsi="Times New Roman" w:cs="Times New Roman"/>
                      <w:color w:val="auto"/>
                    </w:rPr>
                    <w:t>/h</w:t>
                  </w:r>
                </w:p>
              </w:tc>
              <w:tc>
                <w:tcPr>
                  <w:tcW w:w="446"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30</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彩云镇</w:t>
                  </w:r>
                  <w:r>
                    <w:rPr>
                      <w:rFonts w:hint="default" w:ascii="Times New Roman" w:hAnsi="Times New Roman" w:cs="Times New Roman"/>
                      <w:color w:val="auto"/>
                    </w:rPr>
                    <w:t>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w:t>
                  </w:r>
                </w:p>
              </w:tc>
              <w:tc>
                <w:tcPr>
                  <w:tcW w:w="988"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新鲜水</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p>
              </w:tc>
              <w:tc>
                <w:tcPr>
                  <w:tcW w:w="80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3533</w:t>
                  </w:r>
                </w:p>
              </w:tc>
              <w:tc>
                <w:tcPr>
                  <w:tcW w:w="619" w:type="pct"/>
                  <w:vAlign w:val="center"/>
                </w:tcPr>
                <w:p>
                  <w:pPr>
                    <w:pStyle w:val="68"/>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w:t>
                  </w:r>
                  <w:r>
                    <w:rPr>
                      <w:rFonts w:hint="default" w:ascii="Times New Roman" w:hAnsi="Times New Roman" w:cs="Times New Roman"/>
                      <w:b/>
                      <w:bCs/>
                      <w:color w:val="auto"/>
                      <w:highlight w:val="none"/>
                      <w:vertAlign w:val="superscript"/>
                    </w:rPr>
                    <w:t>3</w:t>
                  </w:r>
                </w:p>
              </w:tc>
              <w:tc>
                <w:tcPr>
                  <w:tcW w:w="446" w:type="pct"/>
                  <w:vAlign w:val="center"/>
                </w:tcPr>
                <w:p>
                  <w:pPr>
                    <w:pStyle w:val="68"/>
                    <w:ind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6432</w:t>
                  </w:r>
                </w:p>
              </w:tc>
              <w:tc>
                <w:tcPr>
                  <w:tcW w:w="1121" w:type="pct"/>
                  <w:vMerge w:val="restart"/>
                  <w:vAlign w:val="center"/>
                </w:tcPr>
                <w:p>
                  <w:pPr>
                    <w:pStyle w:val="6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建设单位</w:t>
                  </w:r>
                  <w:r>
                    <w:rPr>
                      <w:rFonts w:hint="default" w:ascii="Times New Roman" w:hAnsi="Times New Roman" w:cs="Times New Roman"/>
                      <w:b/>
                      <w:bCs/>
                      <w:color w:val="auto"/>
                      <w:highlight w:val="none"/>
                      <w:shd w:val="clear" w:fill="FFFFFF"/>
                    </w:rPr>
                    <w:t>将</w:t>
                  </w:r>
                  <w:r>
                    <w:rPr>
                      <w:rFonts w:hint="default" w:ascii="Times New Roman" w:hAnsi="Times New Roman" w:cs="Times New Roman"/>
                      <w:b/>
                      <w:bCs/>
                      <w:color w:val="auto"/>
                      <w:highlight w:val="none"/>
                    </w:rPr>
                    <w:t>0.7t/h生物质锅炉更换为2.2t/h生物质锅炉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7" w:type="pct"/>
                  <w:vAlign w:val="center"/>
                </w:tcPr>
                <w:p>
                  <w:pPr>
                    <w:pStyle w:val="6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6</w:t>
                  </w:r>
                </w:p>
              </w:tc>
              <w:tc>
                <w:tcPr>
                  <w:tcW w:w="988" w:type="pct"/>
                  <w:gridSpan w:val="2"/>
                  <w:vAlign w:val="center"/>
                </w:tcPr>
                <w:p>
                  <w:pPr>
                    <w:pStyle w:val="6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生物质</w:t>
                  </w:r>
                  <w:r>
                    <w:rPr>
                      <w:rFonts w:hint="default" w:ascii="Times New Roman" w:hAnsi="Times New Roman" w:cs="Times New Roman"/>
                      <w:b/>
                      <w:bCs/>
                      <w:color w:val="auto"/>
                      <w:highlight w:val="none"/>
                      <w:lang w:eastAsia="zh-CN"/>
                    </w:rPr>
                    <w:t>成型燃料</w:t>
                  </w:r>
                </w:p>
              </w:tc>
              <w:tc>
                <w:tcPr>
                  <w:tcW w:w="511" w:type="pct"/>
                  <w:vAlign w:val="center"/>
                </w:tcPr>
                <w:p>
                  <w:pPr>
                    <w:pStyle w:val="6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t/</w:t>
                  </w:r>
                  <w:r>
                    <w:rPr>
                      <w:rFonts w:hint="default" w:ascii="Times New Roman" w:hAnsi="Times New Roman" w:cs="Times New Roman"/>
                      <w:b/>
                      <w:bCs/>
                      <w:color w:val="auto"/>
                      <w:highlight w:val="none"/>
                      <w:lang w:eastAsia="zh-CN"/>
                    </w:rPr>
                    <w:t>a</w:t>
                  </w:r>
                </w:p>
              </w:tc>
              <w:tc>
                <w:tcPr>
                  <w:tcW w:w="803" w:type="pct"/>
                  <w:vAlign w:val="center"/>
                </w:tcPr>
                <w:p>
                  <w:pPr>
                    <w:pStyle w:val="6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310</w:t>
                  </w:r>
                </w:p>
              </w:tc>
              <w:tc>
                <w:tcPr>
                  <w:tcW w:w="619" w:type="pct"/>
                  <w:vAlign w:val="center"/>
                </w:tcPr>
                <w:p>
                  <w:pPr>
                    <w:pStyle w:val="68"/>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t/</w:t>
                  </w:r>
                  <w:r>
                    <w:rPr>
                      <w:rFonts w:hint="default" w:ascii="Times New Roman" w:hAnsi="Times New Roman" w:cs="Times New Roman"/>
                      <w:b/>
                      <w:bCs/>
                      <w:color w:val="auto"/>
                      <w:highlight w:val="none"/>
                      <w:lang w:eastAsia="zh-CN"/>
                    </w:rPr>
                    <w:t>a</w:t>
                  </w:r>
                </w:p>
              </w:tc>
              <w:tc>
                <w:tcPr>
                  <w:tcW w:w="446" w:type="pct"/>
                  <w:vAlign w:val="center"/>
                </w:tcPr>
                <w:p>
                  <w:pPr>
                    <w:pStyle w:val="68"/>
                    <w:ind w:firstLine="0" w:firstLineChars="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980</w:t>
                  </w:r>
                </w:p>
              </w:tc>
              <w:tc>
                <w:tcPr>
                  <w:tcW w:w="1121" w:type="pct"/>
                  <w:vMerge w:val="continue"/>
                  <w:vAlign w:val="center"/>
                </w:tcPr>
                <w:p>
                  <w:pPr>
                    <w:pStyle w:val="68"/>
                    <w:rPr>
                      <w:rFonts w:hint="default" w:ascii="Times New Roman" w:hAnsi="Times New Roman" w:cs="Times New Roman"/>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7</w:t>
                  </w:r>
                </w:p>
              </w:tc>
              <w:tc>
                <w:tcPr>
                  <w:tcW w:w="988"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好氧发酵菌剂</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80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40</w:t>
                  </w:r>
                </w:p>
              </w:tc>
              <w:tc>
                <w:tcPr>
                  <w:tcW w:w="619"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446"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40</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师宗周边市场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w:t>
                  </w:r>
                </w:p>
              </w:tc>
              <w:tc>
                <w:tcPr>
                  <w:tcW w:w="988" w:type="pct"/>
                  <w:gridSpan w:val="2"/>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生物洗涤滤芯</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80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619"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446" w:type="pct"/>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12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07"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w:t>
                  </w:r>
                </w:p>
              </w:tc>
              <w:tc>
                <w:tcPr>
                  <w:tcW w:w="988" w:type="pct"/>
                  <w:gridSpan w:val="2"/>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生物除臭剂</w:t>
                  </w:r>
                </w:p>
              </w:tc>
              <w:tc>
                <w:tcPr>
                  <w:tcW w:w="51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8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w:t>
                  </w:r>
                </w:p>
              </w:tc>
              <w:tc>
                <w:tcPr>
                  <w:tcW w:w="619"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446"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2</w:t>
                  </w:r>
                </w:p>
              </w:tc>
              <w:tc>
                <w:tcPr>
                  <w:tcW w:w="112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rPr>
                    <w:t>师宗周边市场</w:t>
                  </w:r>
                </w:p>
              </w:tc>
            </w:tr>
          </w:tbl>
          <w:p>
            <w:pPr>
              <w:pStyle w:val="84"/>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4、生产设备变动情况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本项目主要生产设备</w:t>
            </w:r>
            <w:r>
              <w:rPr>
                <w:rFonts w:hint="default" w:ascii="Times New Roman" w:hAnsi="Times New Roman" w:cs="Times New Roman"/>
                <w:color w:val="auto"/>
                <w:lang w:val="en-US" w:eastAsia="zh-CN"/>
              </w:rPr>
              <w:t>变动情况</w:t>
            </w:r>
            <w:r>
              <w:rPr>
                <w:rFonts w:hint="default" w:ascii="Times New Roman" w:hAnsi="Times New Roman" w:cs="Times New Roman"/>
                <w:color w:val="auto"/>
              </w:rPr>
              <w:t>见表2.1-</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项目除生物质锅炉调整外，其他与原环评阶段一致</w:t>
            </w:r>
            <w:r>
              <w:rPr>
                <w:rFonts w:hint="default" w:ascii="Times New Roman" w:hAnsi="Times New Roman" w:cs="Times New Roman"/>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本项目主要生产设备</w:t>
            </w:r>
            <w:r>
              <w:rPr>
                <w:rFonts w:hint="default" w:ascii="Times New Roman" w:hAnsi="Times New Roman" w:cs="Times New Roman"/>
                <w:color w:val="auto"/>
                <w:lang w:val="en-US" w:eastAsia="zh-CN"/>
              </w:rPr>
              <w:t>变动情况</w:t>
            </w:r>
            <w:r>
              <w:rPr>
                <w:rFonts w:hint="default" w:ascii="Times New Roman" w:hAnsi="Times New Roman" w:cs="Times New Roman"/>
                <w:color w:val="auto"/>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68"/>
              <w:gridCol w:w="1021"/>
              <w:gridCol w:w="1921"/>
              <w:gridCol w:w="1195"/>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shd w:val="clear" w:fill="FFFFFF"/>
                      <w:lang w:val="en-US" w:eastAsia="zh-CN"/>
                    </w:rPr>
                    <w:t>原</w:t>
                  </w:r>
                  <w:r>
                    <w:rPr>
                      <w:rFonts w:hint="default" w:ascii="Times New Roman" w:hAnsi="Times New Roman" w:cs="Times New Roman"/>
                      <w:b/>
                      <w:bCs/>
                      <w:color w:val="auto"/>
                      <w:lang w:val="en-US" w:eastAsia="zh-CN"/>
                    </w:rPr>
                    <w:t>环评批复阶段拟建设设备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设备名称</w:t>
                  </w:r>
                </w:p>
              </w:tc>
              <w:tc>
                <w:tcPr>
                  <w:tcW w:w="489"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数量</w:t>
                  </w:r>
                </w:p>
              </w:tc>
              <w:tc>
                <w:tcPr>
                  <w:tcW w:w="3805" w:type="pct"/>
                  <w:gridSpan w:val="4"/>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生物质锅炉（含低氮燃烧器）</w:t>
                  </w:r>
                </w:p>
              </w:tc>
              <w:tc>
                <w:tcPr>
                  <w:tcW w:w="489"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1台</w:t>
                  </w:r>
                </w:p>
              </w:tc>
              <w:tc>
                <w:tcPr>
                  <w:tcW w:w="65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燃料</w:t>
                  </w:r>
                </w:p>
              </w:tc>
              <w:tc>
                <w:tcPr>
                  <w:tcW w:w="122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生物质成型燃料</w:t>
                  </w:r>
                </w:p>
              </w:tc>
              <w:tc>
                <w:tcPr>
                  <w:tcW w:w="76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用水类型</w:t>
                  </w:r>
                </w:p>
              </w:tc>
              <w:tc>
                <w:tcPr>
                  <w:tcW w:w="116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65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22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0.7</w:t>
                  </w:r>
                  <w:r>
                    <w:rPr>
                      <w:rFonts w:hint="default" w:ascii="Times New Roman" w:hAnsi="Times New Roman" w:cs="Times New Roman"/>
                      <w:color w:val="auto"/>
                      <w:lang w:eastAsia="zh-CN"/>
                    </w:rPr>
                    <w:t>t/h</w:t>
                  </w:r>
                </w:p>
              </w:tc>
              <w:tc>
                <w:tcPr>
                  <w:tcW w:w="76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排烟温度</w:t>
                  </w:r>
                </w:p>
              </w:tc>
              <w:tc>
                <w:tcPr>
                  <w:tcW w:w="116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85</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65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过量空气系数</w:t>
                  </w:r>
                </w:p>
              </w:tc>
              <w:tc>
                <w:tcPr>
                  <w:tcW w:w="122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1.625</w:t>
                  </w:r>
                </w:p>
              </w:tc>
              <w:tc>
                <w:tcPr>
                  <w:tcW w:w="76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16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不锈</w:t>
                  </w:r>
                  <w:r>
                    <w:rPr>
                      <w:rFonts w:hint="default" w:ascii="Times New Roman" w:hAnsi="Times New Roman" w:cs="Times New Roman"/>
                      <w:color w:val="auto"/>
                      <w:lang w:eastAsia="zh-CN"/>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本项目拟建设设备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rPr>
                    <w:t>设备名称</w:t>
                  </w:r>
                </w:p>
              </w:tc>
              <w:tc>
                <w:tcPr>
                  <w:tcW w:w="489"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lang w:eastAsia="zh-CN"/>
                    </w:rPr>
                    <w:t>数量</w:t>
                  </w:r>
                </w:p>
              </w:tc>
              <w:tc>
                <w:tcPr>
                  <w:tcW w:w="3805" w:type="pct"/>
                  <w:gridSpan w:val="4"/>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生物质锅炉（含低氮燃烧器）</w:t>
                  </w:r>
                </w:p>
              </w:tc>
              <w:tc>
                <w:tcPr>
                  <w:tcW w:w="489" w:type="pct"/>
                  <w:vMerge w:val="restar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1台</w:t>
                  </w:r>
                </w:p>
              </w:tc>
              <w:tc>
                <w:tcPr>
                  <w:tcW w:w="651"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燃料</w:t>
                  </w:r>
                </w:p>
              </w:tc>
              <w:tc>
                <w:tcPr>
                  <w:tcW w:w="1225"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生物质成型燃料</w:t>
                  </w:r>
                </w:p>
              </w:tc>
              <w:tc>
                <w:tcPr>
                  <w:tcW w:w="762"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用水类型</w:t>
                  </w:r>
                </w:p>
              </w:tc>
              <w:tc>
                <w:tcPr>
                  <w:tcW w:w="1167"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651"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rPr>
                    <w:t>功率</w:t>
                  </w:r>
                </w:p>
              </w:tc>
              <w:tc>
                <w:tcPr>
                  <w:tcW w:w="1225"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val="en-US" w:eastAsia="zh-CN"/>
                    </w:rPr>
                    <w:t>2.2</w:t>
                  </w:r>
                  <w:r>
                    <w:rPr>
                      <w:rFonts w:hint="default" w:ascii="Times New Roman" w:hAnsi="Times New Roman" w:cs="Times New Roman"/>
                      <w:color w:val="auto"/>
                      <w:lang w:eastAsia="zh-CN"/>
                    </w:rPr>
                    <w:t>t/h</w:t>
                  </w:r>
                </w:p>
              </w:tc>
              <w:tc>
                <w:tcPr>
                  <w:tcW w:w="762"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val="en-US" w:eastAsia="zh-CN"/>
                    </w:rPr>
                    <w:t>热效率</w:t>
                  </w:r>
                </w:p>
              </w:tc>
              <w:tc>
                <w:tcPr>
                  <w:tcW w:w="1167"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rPr>
                    <w:t>≥</w:t>
                  </w:r>
                  <w:r>
                    <w:rPr>
                      <w:rFonts w:hint="default" w:ascii="Times New Roman" w:hAnsi="Times New Roman" w:cs="Times New Roman"/>
                      <w:color w:val="auto"/>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651"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val="en-US" w:eastAsia="zh-CN"/>
                    </w:rPr>
                    <w:t>规格型号</w:t>
                  </w:r>
                </w:p>
              </w:tc>
              <w:tc>
                <w:tcPr>
                  <w:tcW w:w="1225"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val="en-US" w:eastAsia="zh-CN"/>
                    </w:rPr>
                    <w:t>SQLS2.2-009-SM</w:t>
                  </w:r>
                </w:p>
              </w:tc>
              <w:tc>
                <w:tcPr>
                  <w:tcW w:w="762"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rPr>
                    <w:t>材质</w:t>
                  </w:r>
                </w:p>
              </w:tc>
              <w:tc>
                <w:tcPr>
                  <w:tcW w:w="1167"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rPr>
                    <w:t>不锈</w:t>
                  </w:r>
                  <w:r>
                    <w:rPr>
                      <w:rFonts w:hint="default" w:ascii="Times New Roman" w:hAnsi="Times New Roman" w:cs="Times New Roman"/>
                      <w:color w:val="auto"/>
                      <w:lang w:eastAsia="zh-CN"/>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651" w:type="pct"/>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重量</w:t>
                  </w:r>
                </w:p>
              </w:tc>
              <w:tc>
                <w:tcPr>
                  <w:tcW w:w="1225" w:type="pct"/>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3.2t</w:t>
                  </w:r>
                </w:p>
              </w:tc>
              <w:tc>
                <w:tcPr>
                  <w:tcW w:w="762" w:type="pct"/>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使用压力</w:t>
                  </w:r>
                </w:p>
              </w:tc>
              <w:tc>
                <w:tcPr>
                  <w:tcW w:w="1167" w:type="pct"/>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0.09MPA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89" w:type="pct"/>
                  <w:vMerge w:val="continue"/>
                  <w:vAlign w:val="center"/>
                </w:tcPr>
                <w:p>
                  <w:pPr>
                    <w:pStyle w:val="68"/>
                    <w:rPr>
                      <w:rFonts w:hint="default" w:ascii="Times New Roman" w:hAnsi="Times New Roman" w:cs="Times New Roman"/>
                      <w:color w:val="auto"/>
                    </w:rPr>
                  </w:pPr>
                </w:p>
              </w:tc>
              <w:tc>
                <w:tcPr>
                  <w:tcW w:w="2638" w:type="pct"/>
                  <w:gridSpan w:val="3"/>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产品尺寸</w:t>
                  </w:r>
                </w:p>
              </w:tc>
              <w:tc>
                <w:tcPr>
                  <w:tcW w:w="1167" w:type="pct"/>
                  <w:shd w:val="clear" w:color="auto" w:fill="auto"/>
                  <w:vAlign w:val="center"/>
                </w:tcPr>
                <w:p>
                  <w:pPr>
                    <w:pStyle w:val="68"/>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2400mm×1700mm×2550mm</w:t>
                  </w:r>
                </w:p>
              </w:tc>
            </w:tr>
          </w:tbl>
          <w:p>
            <w:pPr>
              <w:pStyle w:val="84"/>
              <w:numPr>
                <w:ilvl w:val="0"/>
                <w:numId w:val="0"/>
              </w:numPr>
              <w:ind w:leftChars="0"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rPr>
              <w:t>本项目主要环保设备/设施</w:t>
            </w:r>
            <w:r>
              <w:rPr>
                <w:rFonts w:hint="default" w:ascii="Times New Roman" w:hAnsi="Times New Roman" w:cs="Times New Roman"/>
                <w:b w:val="0"/>
                <w:bCs/>
                <w:color w:val="auto"/>
                <w:lang w:val="en-US" w:eastAsia="zh-CN"/>
              </w:rPr>
              <w:t>变动情况</w:t>
            </w:r>
            <w:r>
              <w:rPr>
                <w:rFonts w:hint="default" w:ascii="Times New Roman" w:hAnsi="Times New Roman" w:cs="Times New Roman"/>
                <w:b w:val="0"/>
                <w:bCs/>
                <w:color w:val="auto"/>
              </w:rPr>
              <w:t>见表2.1-</w:t>
            </w:r>
            <w:r>
              <w:rPr>
                <w:rFonts w:hint="default" w:ascii="Times New Roman" w:hAnsi="Times New Roman" w:cs="Times New Roman"/>
                <w:b w:val="0"/>
                <w:bCs/>
                <w:color w:val="auto"/>
                <w:lang w:val="en-US" w:eastAsia="zh-CN"/>
              </w:rPr>
              <w:t>4</w:t>
            </w:r>
            <w:r>
              <w:rPr>
                <w:rFonts w:hint="default" w:ascii="Times New Roman" w:hAnsi="Times New Roman" w:cs="Times New Roman"/>
                <w:b w:val="0"/>
                <w:bCs/>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本项目主要环保设备/设施一览表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709"/>
              <w:gridCol w:w="705"/>
              <w:gridCol w:w="1314"/>
              <w:gridCol w:w="3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shd w:val="clear" w:fill="FFFFFF"/>
                      <w:lang w:val="en-US" w:eastAsia="zh-CN"/>
                    </w:rPr>
                    <w:t>原</w:t>
                  </w:r>
                  <w:r>
                    <w:rPr>
                      <w:rFonts w:hint="default" w:ascii="Times New Roman" w:hAnsi="Times New Roman" w:cs="Times New Roman"/>
                      <w:b/>
                      <w:bCs/>
                      <w:color w:val="auto"/>
                      <w:lang w:val="en-US" w:eastAsia="zh-CN"/>
                    </w:rPr>
                    <w:t>环评阶段拟建环保/设施情况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rPr>
                    <w:t>名称</w:t>
                  </w:r>
                </w:p>
              </w:tc>
              <w:tc>
                <w:tcPr>
                  <w:tcW w:w="452" w:type="pct"/>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数量</w:t>
                  </w:r>
                </w:p>
              </w:tc>
              <w:tc>
                <w:tcPr>
                  <w:tcW w:w="449"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单位</w:t>
                  </w:r>
                </w:p>
              </w:tc>
              <w:tc>
                <w:tcPr>
                  <w:tcW w:w="838"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规格</w:t>
                  </w:r>
                </w:p>
              </w:tc>
              <w:tc>
                <w:tcPr>
                  <w:tcW w:w="2014"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一体化污水处理站</w:t>
                  </w:r>
                </w:p>
              </w:tc>
              <w:tc>
                <w:tcPr>
                  <w:tcW w:w="452"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49"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8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处理规模</w:t>
                  </w:r>
                  <w:r>
                    <w:rPr>
                      <w:rFonts w:hint="default" w:ascii="Times New Roman" w:hAnsi="Times New Roman" w:cs="Times New Roman"/>
                      <w:color w:val="auto"/>
                      <w:lang w:val="en-US" w:eastAsia="zh-CN"/>
                    </w:rPr>
                    <w:t>15</w:t>
                  </w:r>
                  <w:r>
                    <w:rPr>
                      <w:rFonts w:hint="default" w:ascii="Times New Roman" w:hAnsi="Times New Roman" w:cs="Times New Roman"/>
                      <w:color w:val="auto"/>
                      <w:lang w:eastAsia="zh-CN"/>
                    </w:rPr>
                    <w:t>m³/d</w:t>
                  </w:r>
                </w:p>
              </w:tc>
              <w:tc>
                <w:tcPr>
                  <w:tcW w:w="2014"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“格栅+调节池+气浮沉淀预处理+UASB厌氧处理+两级AO+MBR膜处理”工艺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（2）实际拟建环保/设施情况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rPr>
                    <w:t>名称</w:t>
                  </w:r>
                </w:p>
              </w:tc>
              <w:tc>
                <w:tcPr>
                  <w:tcW w:w="452"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lang w:eastAsia="zh-CN"/>
                    </w:rPr>
                    <w:t>数量</w:t>
                  </w:r>
                </w:p>
              </w:tc>
              <w:tc>
                <w:tcPr>
                  <w:tcW w:w="449"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lang w:eastAsia="zh-CN"/>
                    </w:rPr>
                    <w:t>单位</w:t>
                  </w:r>
                </w:p>
              </w:tc>
              <w:tc>
                <w:tcPr>
                  <w:tcW w:w="838"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lang w:eastAsia="zh-CN"/>
                    </w:rPr>
                    <w:t>规格</w:t>
                  </w:r>
                </w:p>
              </w:tc>
              <w:tc>
                <w:tcPr>
                  <w:tcW w:w="2014" w:type="pct"/>
                  <w:shd w:val="clear" w:color="auto" w:fill="auto"/>
                  <w:vAlign w:val="center"/>
                </w:tcPr>
                <w:p>
                  <w:pPr>
                    <w:pStyle w:val="68"/>
                    <w:ind w:firstLine="0" w:firstLineChars="0"/>
                    <w:rPr>
                      <w:rFonts w:hint="default" w:ascii="Times New Roman" w:hAnsi="Times New Roman" w:eastAsia="宋体" w:cs="Times New Roman"/>
                      <w:b/>
                      <w:bCs/>
                      <w:color w:val="auto"/>
                      <w:kern w:val="0"/>
                      <w:sz w:val="21"/>
                      <w:szCs w:val="20"/>
                      <w:lang w:val="zh-CN" w:eastAsia="zh-CN" w:bidi="ar-SA"/>
                    </w:rPr>
                  </w:pPr>
                  <w:r>
                    <w:rPr>
                      <w:rFonts w:hint="default" w:ascii="Times New Roman" w:hAnsi="Times New Roman" w:cs="Times New Roman"/>
                      <w:b/>
                      <w:bCs/>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一体化污水处理站</w:t>
                  </w:r>
                </w:p>
              </w:tc>
              <w:tc>
                <w:tcPr>
                  <w:tcW w:w="452"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1</w:t>
                  </w:r>
                </w:p>
              </w:tc>
              <w:tc>
                <w:tcPr>
                  <w:tcW w:w="449"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套</w:t>
                  </w:r>
                </w:p>
              </w:tc>
              <w:tc>
                <w:tcPr>
                  <w:tcW w:w="838"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处理规模</w:t>
                  </w:r>
                  <w:r>
                    <w:rPr>
                      <w:rFonts w:hint="default" w:ascii="Times New Roman" w:hAnsi="Times New Roman" w:cs="Times New Roman"/>
                      <w:color w:val="auto"/>
                      <w:lang w:val="en-US" w:eastAsia="zh-CN"/>
                    </w:rPr>
                    <w:t>31</w:t>
                  </w:r>
                  <w:r>
                    <w:rPr>
                      <w:rFonts w:hint="default" w:ascii="Times New Roman" w:hAnsi="Times New Roman" w:cs="Times New Roman"/>
                      <w:color w:val="auto"/>
                      <w:lang w:eastAsia="zh-CN"/>
                    </w:rPr>
                    <w:t>m³/d</w:t>
                  </w:r>
                </w:p>
              </w:tc>
              <w:tc>
                <w:tcPr>
                  <w:tcW w:w="2014" w:type="pct"/>
                  <w:shd w:val="clear" w:color="auto" w:fill="auto"/>
                  <w:vAlign w:val="center"/>
                </w:tcPr>
                <w:p>
                  <w:pPr>
                    <w:pStyle w:val="68"/>
                    <w:ind w:firstLine="0" w:firstLineChars="0"/>
                    <w:rPr>
                      <w:rFonts w:hint="default" w:ascii="Times New Roman" w:hAnsi="Times New Roman" w:eastAsia="宋体" w:cs="Times New Roman"/>
                      <w:color w:val="auto"/>
                      <w:kern w:val="0"/>
                      <w:sz w:val="21"/>
                      <w:szCs w:val="20"/>
                      <w:lang w:val="zh-CN" w:eastAsia="zh-CN" w:bidi="ar-SA"/>
                    </w:rPr>
                  </w:pPr>
                  <w:r>
                    <w:rPr>
                      <w:rFonts w:hint="default" w:ascii="Times New Roman" w:hAnsi="Times New Roman" w:cs="Times New Roman"/>
                      <w:color w:val="auto"/>
                      <w:lang w:eastAsia="zh-CN"/>
                    </w:rPr>
                    <w:t>“格栅+调节池+气浮沉淀预处理+UASB厌氧处理+两级AO+MBR膜处理”工艺</w:t>
                  </w:r>
                </w:p>
              </w:tc>
            </w:tr>
          </w:tbl>
          <w:p>
            <w:pPr>
              <w:pStyle w:val="84"/>
              <w:numPr>
                <w:ilvl w:val="0"/>
                <w:numId w:val="0"/>
              </w:numPr>
              <w:ind w:leftChars="0" w:firstLine="48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由于</w:t>
            </w:r>
            <w:r>
              <w:rPr>
                <w:rFonts w:hint="default" w:ascii="Times New Roman" w:hAnsi="Times New Roman" w:cs="Times New Roman"/>
                <w:b/>
                <w:bCs/>
                <w:color w:val="auto"/>
                <w:highlight w:val="none"/>
              </w:rPr>
              <w:t>建设单位</w:t>
            </w:r>
            <w:r>
              <w:rPr>
                <w:rFonts w:hint="default" w:ascii="Times New Roman" w:hAnsi="Times New Roman" w:cs="Times New Roman"/>
                <w:b/>
                <w:bCs/>
                <w:color w:val="auto"/>
                <w:highlight w:val="none"/>
                <w:shd w:val="clear" w:fill="FFFFFF"/>
              </w:rPr>
              <w:t>将</w:t>
            </w:r>
            <w:r>
              <w:rPr>
                <w:rFonts w:hint="default" w:ascii="Times New Roman" w:hAnsi="Times New Roman" w:cs="Times New Roman"/>
                <w:b/>
                <w:bCs/>
                <w:color w:val="auto"/>
                <w:highlight w:val="none"/>
              </w:rPr>
              <w:t>0.7t/h生物质锅炉更换为2.2t/h生物质锅炉</w:t>
            </w:r>
            <w:r>
              <w:rPr>
                <w:rFonts w:hint="default" w:ascii="Times New Roman" w:hAnsi="Times New Roman" w:cs="Times New Roman"/>
                <w:b/>
                <w:bCs/>
                <w:color w:val="auto"/>
                <w:highlight w:val="none"/>
                <w:lang w:eastAsia="zh-CN"/>
              </w:rPr>
              <w:t>，</w:t>
            </w:r>
            <w:r>
              <w:rPr>
                <w:rFonts w:hint="default" w:ascii="Times New Roman" w:hAnsi="Times New Roman" w:cs="Times New Roman"/>
                <w:b w:val="0"/>
                <w:bCs/>
                <w:color w:val="auto"/>
                <w:lang w:val="en-US" w:eastAsia="zh-CN"/>
              </w:rPr>
              <w:t>项目一体化污水处理站规模由15m</w:t>
            </w:r>
            <w:r>
              <w:rPr>
                <w:rFonts w:hint="default" w:ascii="Times New Roman" w:hAnsi="Times New Roman" w:cs="Times New Roman"/>
                <w:b w:val="0"/>
                <w:bCs/>
                <w:color w:val="auto"/>
                <w:vertAlign w:val="superscript"/>
                <w:lang w:val="en-US" w:eastAsia="zh-CN"/>
              </w:rPr>
              <w:t>3</w:t>
            </w:r>
            <w:r>
              <w:rPr>
                <w:rFonts w:hint="default" w:ascii="Times New Roman" w:hAnsi="Times New Roman" w:cs="Times New Roman"/>
                <w:b w:val="0"/>
                <w:bCs/>
                <w:color w:val="auto"/>
                <w:lang w:val="en-US" w:eastAsia="zh-CN"/>
              </w:rPr>
              <w:t>/d增大为31m</w:t>
            </w:r>
            <w:r>
              <w:rPr>
                <w:rFonts w:hint="default" w:ascii="Times New Roman" w:hAnsi="Times New Roman" w:cs="Times New Roman"/>
                <w:b w:val="0"/>
                <w:bCs/>
                <w:color w:val="auto"/>
                <w:vertAlign w:val="superscript"/>
                <w:lang w:val="en-US" w:eastAsia="zh-CN"/>
              </w:rPr>
              <w:t>3</w:t>
            </w:r>
            <w:r>
              <w:rPr>
                <w:rFonts w:hint="default" w:ascii="Times New Roman" w:hAnsi="Times New Roman" w:cs="Times New Roman"/>
                <w:b w:val="0"/>
                <w:bCs/>
                <w:color w:val="auto"/>
                <w:lang w:val="en-US" w:eastAsia="zh-CN"/>
              </w:rPr>
              <w:t>/d，其他设施与原环评阶段一致。</w:t>
            </w:r>
          </w:p>
          <w:p>
            <w:pPr>
              <w:pStyle w:val="84"/>
              <w:ind w:firstLine="482"/>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重大变动分析判定</w:t>
            </w:r>
          </w:p>
          <w:p>
            <w:pPr>
              <w:ind w:firstLine="480"/>
              <w:rPr>
                <w:rFonts w:hint="default" w:ascii="Times New Roman" w:hAnsi="Times New Roman" w:cs="Times New Roman"/>
                <w:color w:val="auto"/>
              </w:rPr>
            </w:pPr>
            <w:r>
              <w:rPr>
                <w:rFonts w:hint="default" w:ascii="Times New Roman" w:hAnsi="Times New Roman" w:cs="Times New Roman"/>
                <w:color w:val="auto"/>
              </w:rPr>
              <w:t>根据前文分析，本项目建设内容与2020年12月13日下发《</w:t>
            </w:r>
            <w:r>
              <w:rPr>
                <w:rFonts w:hint="default" w:ascii="Times New Roman" w:hAnsi="Times New Roman" w:cs="Times New Roman"/>
                <w:bCs/>
                <w:color w:val="auto"/>
              </w:rPr>
              <w:t>污染影响类建设项目重大变动清</w:t>
            </w:r>
            <w:r>
              <w:rPr>
                <w:rFonts w:hint="default" w:ascii="Times New Roman" w:hAnsi="Times New Roman" w:cs="Times New Roman"/>
                <w:color w:val="auto"/>
              </w:rPr>
              <w:t>单》对照分析见下</w:t>
            </w:r>
            <w:r>
              <w:rPr>
                <w:rFonts w:hint="default" w:ascii="Times New Roman" w:hAnsi="Times New Roman" w:cs="Times New Roman"/>
                <w:color w:val="auto"/>
                <w:lang w:val="en-US" w:eastAsia="zh-CN"/>
              </w:rPr>
              <w:t>表所示</w:t>
            </w:r>
            <w:r>
              <w:rPr>
                <w:rFonts w:hint="default" w:ascii="Times New Roman" w:hAnsi="Times New Roman" w:cs="Times New Roman"/>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 xml:space="preserve">表2.1-5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本项目变动与《</w:t>
            </w:r>
            <w:r>
              <w:rPr>
                <w:rFonts w:hint="default" w:ascii="Times New Roman" w:hAnsi="Times New Roman" w:cs="Times New Roman"/>
                <w:bCs/>
                <w:color w:val="auto"/>
              </w:rPr>
              <w:t>污染影响类建设项目重大变动清</w:t>
            </w:r>
            <w:r>
              <w:rPr>
                <w:rFonts w:hint="default" w:ascii="Times New Roman" w:hAnsi="Times New Roman" w:cs="Times New Roman"/>
                <w:color w:val="auto"/>
              </w:rPr>
              <w:t>单》对比</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536"/>
              <w:gridCol w:w="3102"/>
              <w:gridCol w:w="25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6"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320" w:type="pct"/>
                  <w:gridSpan w:val="2"/>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污染影响类建设项目重大变动清单</w:t>
                  </w:r>
                </w:p>
              </w:tc>
              <w:tc>
                <w:tcPr>
                  <w:tcW w:w="1601"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732"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是否构成重大变动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34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性质</w:t>
                  </w: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建设项目开发、使用功能发生变化的</w:t>
                  </w:r>
                </w:p>
              </w:tc>
              <w:tc>
                <w:tcPr>
                  <w:tcW w:w="160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shd w:val="clear" w:fill="FFFFFF"/>
                      <w:lang w:eastAsia="zh-CN"/>
                    </w:rPr>
                    <w:t>原</w:t>
                  </w:r>
                  <w:r>
                    <w:rPr>
                      <w:rFonts w:hint="default" w:ascii="Times New Roman" w:hAnsi="Times New Roman" w:cs="Times New Roman"/>
                      <w:color w:val="auto"/>
                      <w:lang w:eastAsia="zh-CN"/>
                    </w:rPr>
                    <w:t>环评一致</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w:t>
                  </w:r>
                </w:p>
              </w:tc>
              <w:tc>
                <w:tcPr>
                  <w:tcW w:w="341"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规模</w:t>
                  </w: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生产、处置或储存能力增大30%及以上的</w:t>
                  </w:r>
                </w:p>
              </w:tc>
              <w:tc>
                <w:tcPr>
                  <w:tcW w:w="160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shd w:val="clear" w:fill="FFFFFF"/>
                      <w:lang w:eastAsia="zh-CN"/>
                    </w:rPr>
                    <w:t>原</w:t>
                  </w:r>
                  <w:r>
                    <w:rPr>
                      <w:rFonts w:hint="default" w:ascii="Times New Roman" w:hAnsi="Times New Roman" w:cs="Times New Roman"/>
                      <w:color w:val="auto"/>
                      <w:lang w:eastAsia="zh-CN"/>
                    </w:rPr>
                    <w:t>环评一致</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w:t>
                  </w:r>
                </w:p>
              </w:tc>
              <w:tc>
                <w:tcPr>
                  <w:tcW w:w="341" w:type="pct"/>
                  <w:vMerge w:val="continue"/>
                  <w:vAlign w:val="center"/>
                </w:tcPr>
                <w:p>
                  <w:pPr>
                    <w:pStyle w:val="68"/>
                    <w:rPr>
                      <w:rFonts w:hint="default" w:ascii="Times New Roman" w:hAnsi="Times New Roman" w:cs="Times New Roman"/>
                      <w:color w:val="auto"/>
                    </w:rPr>
                  </w:pP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生产、处置或储存能力增大，导致废水第一类污染物排放量增加的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本项目不涉及排放废水第一类污染物</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w:t>
                  </w:r>
                </w:p>
              </w:tc>
              <w:tc>
                <w:tcPr>
                  <w:tcW w:w="341" w:type="pct"/>
                  <w:vMerge w:val="continue"/>
                  <w:vAlign w:val="center"/>
                </w:tcPr>
                <w:p>
                  <w:pPr>
                    <w:pStyle w:val="68"/>
                    <w:rPr>
                      <w:rFonts w:hint="default" w:ascii="Times New Roman" w:hAnsi="Times New Roman" w:cs="Times New Roman"/>
                      <w:color w:val="auto"/>
                    </w:rPr>
                  </w:pP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01" w:type="pct"/>
                  <w:vAlign w:val="center"/>
                </w:tcPr>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（1）项目建设位于环境质量达标区内，原环评阶段项目颗粒物排放量：0.021t/a、二氧化硫排放量：0.17t/a、氮氧化物排放量：</w:t>
                  </w:r>
                </w:p>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0.224t/a;</w:t>
                  </w:r>
                </w:p>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建设单位</w:t>
                  </w:r>
                  <w:r>
                    <w:rPr>
                      <w:rFonts w:hint="default" w:ascii="Times New Roman" w:hAnsi="Times New Roman" w:cs="Times New Roman"/>
                      <w:b/>
                      <w:bCs/>
                      <w:color w:val="auto"/>
                      <w:highlight w:val="none"/>
                      <w:shd w:val="clear" w:fill="FFFFFF"/>
                    </w:rPr>
                    <w:t>将</w:t>
                  </w:r>
                  <w:r>
                    <w:rPr>
                      <w:rFonts w:hint="default" w:ascii="Times New Roman" w:hAnsi="Times New Roman" w:cs="Times New Roman"/>
                      <w:b/>
                      <w:bCs/>
                      <w:color w:val="auto"/>
                      <w:highlight w:val="none"/>
                    </w:rPr>
                    <w:t>0.7t/h生物质锅炉更换为2.2t/h生物质锅炉</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项目</w:t>
                  </w:r>
                  <w:r>
                    <w:rPr>
                      <w:rFonts w:hint="default" w:ascii="Times New Roman" w:hAnsi="Times New Roman" w:cs="Times New Roman"/>
                      <w:b/>
                      <w:bCs/>
                      <w:color w:val="auto"/>
                      <w:lang w:val="en-US" w:eastAsia="zh-CN"/>
                    </w:rPr>
                    <w:t>颗粒物排放量：0.001t/a、二氧化硫排放量：0.55t/a、氮氧化物排放量：0.70t/a。</w:t>
                  </w:r>
                </w:p>
                <w:p>
                  <w:pPr>
                    <w:pStyle w:val="68"/>
                    <w:numPr>
                      <w:ilvl w:val="0"/>
                      <w:numId w:val="0"/>
                    </w:numPr>
                    <w:jc w:val="center"/>
                    <w:rPr>
                      <w:rFonts w:hint="default" w:ascii="Times New Roman" w:hAnsi="Times New Roman" w:cs="Times New Roman"/>
                      <w:color w:val="auto"/>
                    </w:rPr>
                  </w:pPr>
                  <w:r>
                    <w:rPr>
                      <w:rFonts w:hint="default" w:ascii="Times New Roman" w:hAnsi="Times New Roman" w:cs="Times New Roman"/>
                      <w:b/>
                      <w:bCs/>
                      <w:color w:val="auto"/>
                      <w:highlight w:val="none"/>
                      <w:lang w:val="en-US" w:eastAsia="zh-CN"/>
                    </w:rPr>
                    <w:t>项目二氧化硫、氮氧化物排放量</w:t>
                  </w:r>
                  <w:r>
                    <w:rPr>
                      <w:rFonts w:hint="default" w:ascii="Times New Roman" w:hAnsi="Times New Roman" w:cs="Times New Roman"/>
                      <w:b/>
                      <w:bCs/>
                      <w:color w:val="auto"/>
                      <w:lang w:eastAsia="zh-CN"/>
                    </w:rPr>
                    <w:t>超过原环评</w:t>
                  </w:r>
                  <w:r>
                    <w:rPr>
                      <w:rFonts w:hint="default" w:ascii="Times New Roman" w:hAnsi="Times New Roman" w:cs="Times New Roman"/>
                      <w:b/>
                      <w:bCs/>
                      <w:color w:val="auto"/>
                    </w:rPr>
                    <w:t>10%及以上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w:t>
                  </w:r>
                </w:p>
              </w:tc>
              <w:tc>
                <w:tcPr>
                  <w:tcW w:w="34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地点</w:t>
                  </w: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重新选址；在原厂址附近调整（包括总平面布置变化）导致环境防护距离范围变化且新增敏感点的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本项目建设地点和</w:t>
                  </w:r>
                  <w:r>
                    <w:rPr>
                      <w:rFonts w:hint="default" w:ascii="Times New Roman" w:hAnsi="Times New Roman" w:cs="Times New Roman"/>
                      <w:color w:val="auto"/>
                      <w:lang w:eastAsia="zh-CN"/>
                    </w:rPr>
                    <w:t>原环评一致</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6</w:t>
                  </w:r>
                </w:p>
              </w:tc>
              <w:tc>
                <w:tcPr>
                  <w:tcW w:w="341"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生产工艺</w:t>
                  </w: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新增产品品种或生产工艺（含主要生产装置、设备及配套设施）、主要原辅材料、燃料变化，导致以下情形之一：新增排放污染物种类的（毒性、挥发性降低的除外）</w:t>
                  </w:r>
                </w:p>
              </w:tc>
              <w:tc>
                <w:tcPr>
                  <w:tcW w:w="1601" w:type="pct"/>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项目产品品种或生产工艺</w:t>
                  </w:r>
                  <w:r>
                    <w:rPr>
                      <w:rFonts w:hint="default" w:ascii="Times New Roman" w:hAnsi="Times New Roman" w:cs="Times New Roman"/>
                      <w:color w:val="auto"/>
                    </w:rPr>
                    <w:t>（含主要生产装置、设备及配套设施）、主要原辅材料、燃料</w:t>
                  </w:r>
                  <w:r>
                    <w:rPr>
                      <w:rFonts w:hint="default" w:ascii="Times New Roman" w:hAnsi="Times New Roman" w:cs="Times New Roman"/>
                      <w:color w:val="auto"/>
                      <w:lang w:eastAsia="zh-CN"/>
                    </w:rPr>
                    <w:t>与原环评相比均</w:t>
                  </w:r>
                  <w:r>
                    <w:rPr>
                      <w:rFonts w:hint="default" w:ascii="Times New Roman" w:hAnsi="Times New Roman" w:cs="Times New Roman"/>
                      <w:color w:val="auto"/>
                      <w:lang w:val="en-US" w:eastAsia="zh-CN"/>
                    </w:rPr>
                    <w:t>未</w:t>
                  </w:r>
                  <w:r>
                    <w:rPr>
                      <w:rFonts w:hint="default" w:ascii="Times New Roman" w:hAnsi="Times New Roman" w:cs="Times New Roman"/>
                      <w:color w:val="auto"/>
                      <w:lang w:eastAsia="zh-CN"/>
                    </w:rPr>
                    <w:t>发生变化；</w:t>
                  </w:r>
                  <w:r>
                    <w:rPr>
                      <w:rFonts w:hint="default" w:ascii="Times New Roman" w:hAnsi="Times New Roman" w:cs="Times New Roman"/>
                      <w:color w:val="auto"/>
                      <w:lang w:val="en-US" w:eastAsia="zh-CN"/>
                    </w:rPr>
                    <w:t>项目排放污染种类与原环评阶段一致</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7</w:t>
                  </w:r>
                </w:p>
              </w:tc>
              <w:tc>
                <w:tcPr>
                  <w:tcW w:w="341" w:type="pct"/>
                  <w:vMerge w:val="continue"/>
                  <w:vAlign w:val="center"/>
                </w:tcPr>
                <w:p>
                  <w:pPr>
                    <w:pStyle w:val="68"/>
                    <w:rPr>
                      <w:rFonts w:hint="default" w:ascii="Times New Roman" w:hAnsi="Times New Roman" w:cs="Times New Roman"/>
                      <w:color w:val="auto"/>
                    </w:rPr>
                  </w:pP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位于环境质量不达标区的建设项目相应污染物排放量增加的</w:t>
                  </w:r>
                </w:p>
              </w:tc>
              <w:tc>
                <w:tcPr>
                  <w:tcW w:w="1601"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项目位于环境质量达标区</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w:t>
                  </w:r>
                </w:p>
              </w:tc>
              <w:tc>
                <w:tcPr>
                  <w:tcW w:w="341" w:type="pct"/>
                  <w:vMerge w:val="continue"/>
                  <w:vAlign w:val="center"/>
                </w:tcPr>
                <w:p>
                  <w:pPr>
                    <w:pStyle w:val="68"/>
                    <w:rPr>
                      <w:rFonts w:hint="default" w:ascii="Times New Roman" w:hAnsi="Times New Roman" w:cs="Times New Roman"/>
                      <w:color w:val="auto"/>
                    </w:rPr>
                  </w:pP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废水第一类污染物排放量增加的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本项目不涉及排放废水第一类污染物</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9</w:t>
                  </w:r>
                </w:p>
              </w:tc>
              <w:tc>
                <w:tcPr>
                  <w:tcW w:w="341" w:type="pct"/>
                  <w:vMerge w:val="continue"/>
                  <w:vAlign w:val="center"/>
                </w:tcPr>
                <w:p>
                  <w:pPr>
                    <w:pStyle w:val="68"/>
                    <w:rPr>
                      <w:rFonts w:hint="default" w:ascii="Times New Roman" w:hAnsi="Times New Roman" w:cs="Times New Roman"/>
                      <w:color w:val="auto"/>
                    </w:rPr>
                  </w:pP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其他污染物排放量增加10%及以上的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本项目不涉及其他污染物排放</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10</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物料运输、装卸、贮存方式变化，导致大气污染物无组织排放量增加10%及以上的</w:t>
                  </w:r>
                </w:p>
              </w:tc>
              <w:tc>
                <w:tcPr>
                  <w:tcW w:w="1601"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本项目与原项目相比，</w:t>
                  </w:r>
                  <w:r>
                    <w:rPr>
                      <w:rFonts w:hint="default" w:ascii="Times New Roman" w:hAnsi="Times New Roman" w:cs="Times New Roman"/>
                      <w:color w:val="auto"/>
                    </w:rPr>
                    <w:t>物料运输、装卸、贮存方式变化</w:t>
                  </w:r>
                  <w:r>
                    <w:rPr>
                      <w:rFonts w:hint="default" w:ascii="Times New Roman" w:hAnsi="Times New Roman" w:cs="Times New Roman"/>
                      <w:color w:val="auto"/>
                      <w:lang w:val="en-US" w:eastAsia="zh-CN"/>
                    </w:rPr>
                    <w:t>均未发生改变</w:t>
                  </w:r>
                  <w:r>
                    <w:rPr>
                      <w:rFonts w:hint="default" w:ascii="Times New Roman" w:hAnsi="Times New Roman" w:cs="Times New Roman"/>
                      <w:color w:val="auto"/>
                    </w:rPr>
                    <w:t>，大气污染物无组织排放量</w:t>
                  </w:r>
                  <w:r>
                    <w:rPr>
                      <w:rFonts w:hint="default" w:ascii="Times New Roman" w:hAnsi="Times New Roman" w:cs="Times New Roman"/>
                      <w:color w:val="auto"/>
                      <w:lang w:val="en-US" w:eastAsia="zh-CN"/>
                    </w:rPr>
                    <w:t>与原环评阶段一致</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11</w:t>
                  </w:r>
                </w:p>
              </w:tc>
              <w:tc>
                <w:tcPr>
                  <w:tcW w:w="34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环境保护措施</w:t>
                  </w:r>
                </w:p>
              </w:tc>
              <w:tc>
                <w:tcPr>
                  <w:tcW w:w="19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废气、废水污染防治措施变化，导致第6条中所</w:t>
                  </w:r>
                  <w:r>
                    <w:rPr>
                      <w:rFonts w:hint="default" w:ascii="Times New Roman" w:hAnsi="Times New Roman" w:cs="Times New Roman"/>
                      <w:color w:val="auto"/>
                      <w:shd w:val="clear" w:fill="FFFFFF"/>
                    </w:rPr>
                    <w:t>列情形之一</w:t>
                  </w:r>
                  <w:r>
                    <w:rPr>
                      <w:rFonts w:hint="default" w:ascii="Times New Roman" w:hAnsi="Times New Roman" w:cs="Times New Roman"/>
                      <w:color w:val="auto"/>
                    </w:rPr>
                    <w:t>（废气无组织排放改为有组织排放、污染防治措施强化或改进的除外）或大气污染物无组织排放量增加10%及以上的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12</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新增废水直接排放口；废水</w:t>
                  </w:r>
                  <w:r>
                    <w:rPr>
                      <w:rFonts w:hint="default" w:ascii="Times New Roman" w:hAnsi="Times New Roman" w:cs="Times New Roman"/>
                      <w:color w:val="auto"/>
                      <w:shd w:val="clear" w:fill="FFFFFF"/>
                    </w:rPr>
                    <w:t>由</w:t>
                  </w:r>
                  <w:r>
                    <w:rPr>
                      <w:rFonts w:hint="default" w:ascii="Times New Roman" w:hAnsi="Times New Roman" w:cs="Times New Roman"/>
                      <w:color w:val="auto"/>
                    </w:rPr>
                    <w:t>间接排放改为直接排放；废水直接排放口位置变化，导致不利环境影响加重的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13</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新增废气主要排放口（废气无组织排放改为有组织排放的除外）；主要排放口排气筒高度降低10%及以上的</w:t>
                  </w:r>
                </w:p>
              </w:tc>
              <w:tc>
                <w:tcPr>
                  <w:tcW w:w="160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14</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噪声、土壤或地下水污染防治措施变化，导致不利环境影响加重的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15</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固体废物利用处置方式由委托外单位利用处置改为自行利用处置的（自行利用处置设施单独开展环境影响评价的除外）；固体废物自行处置方式变化，导致不利环境影响加重的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16</w:t>
                  </w:r>
                </w:p>
              </w:tc>
              <w:tc>
                <w:tcPr>
                  <w:tcW w:w="2320"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事故废水暂存能力或拦截设施变化，导致环境风险防范能力弱化或降低的</w:t>
                  </w:r>
                </w:p>
              </w:tc>
              <w:tc>
                <w:tcPr>
                  <w:tcW w:w="16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不涉及</w:t>
                  </w:r>
                </w:p>
              </w:tc>
              <w:tc>
                <w:tcPr>
                  <w:tcW w:w="732"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否</w:t>
                  </w:r>
                </w:p>
              </w:tc>
            </w:tr>
          </w:tbl>
          <w:p>
            <w:pPr>
              <w:pStyle w:val="61"/>
              <w:spacing w:before="60" w:after="60"/>
              <w:rPr>
                <w:rFonts w:hint="default" w:ascii="Times New Roman" w:hAnsi="Times New Roman" w:cs="Times New Roman"/>
                <w:color w:val="auto"/>
              </w:rPr>
            </w:pPr>
            <w:r>
              <w:rPr>
                <w:rFonts w:hint="default" w:ascii="Times New Roman" w:hAnsi="Times New Roman" w:cs="Times New Roman"/>
                <w:color w:val="auto"/>
              </w:rPr>
              <w:t>2.1.</w:t>
            </w:r>
            <w:r>
              <w:rPr>
                <w:rFonts w:hint="default" w:ascii="Times New Roman" w:hAnsi="Times New Roman" w:cs="Times New Roman"/>
                <w:color w:val="auto"/>
                <w:lang w:val="en-US" w:eastAsia="zh-CN"/>
              </w:rPr>
              <w:t>3变更后项目概况</w:t>
            </w:r>
          </w:p>
          <w:p>
            <w:pPr>
              <w:ind w:firstLine="482"/>
              <w:rPr>
                <w:rFonts w:hint="default" w:ascii="Times New Roman" w:hAnsi="Times New Roman" w:eastAsia="宋体" w:cs="Times New Roman"/>
                <w:color w:val="auto"/>
                <w:lang w:eastAsia="zh-CN"/>
              </w:rPr>
            </w:pPr>
            <w:r>
              <w:rPr>
                <w:rFonts w:hint="default" w:ascii="Times New Roman" w:hAnsi="Times New Roman" w:cs="Times New Roman"/>
                <w:b/>
                <w:bCs/>
                <w:color w:val="auto"/>
              </w:rPr>
              <w:t>项目名称：</w:t>
            </w:r>
            <w:r>
              <w:rPr>
                <w:rFonts w:hint="default" w:ascii="Times New Roman" w:hAnsi="Times New Roman" w:cs="Times New Roman"/>
                <w:color w:val="auto"/>
                <w:lang w:eastAsia="zh-CN"/>
              </w:rPr>
              <w:t>师宗县餐厨废弃油脂回收综合利用项目一期工程</w:t>
            </w:r>
            <w:r>
              <w:rPr>
                <w:rFonts w:hint="eastAsia" w:cs="Times New Roman"/>
                <w:color w:val="auto"/>
                <w:lang w:eastAsia="zh-CN"/>
              </w:rPr>
              <w:t>（</w:t>
            </w:r>
            <w:r>
              <w:rPr>
                <w:rFonts w:hint="eastAsia" w:cs="Times New Roman"/>
                <w:color w:val="auto"/>
                <w:lang w:val="en-US" w:eastAsia="zh-CN"/>
              </w:rPr>
              <w:t>重新报批</w:t>
            </w:r>
            <w:r>
              <w:rPr>
                <w:rFonts w:hint="eastAsia" w:cs="Times New Roman"/>
                <w:color w:val="auto"/>
                <w:lang w:eastAsia="zh-CN"/>
              </w:rPr>
              <w:t>）</w:t>
            </w:r>
          </w:p>
          <w:p>
            <w:pPr>
              <w:ind w:firstLine="482"/>
              <w:rPr>
                <w:rFonts w:hint="default" w:ascii="Times New Roman" w:hAnsi="Times New Roman" w:eastAsia="宋体" w:cs="Times New Roman"/>
                <w:snapToGrid w:val="0"/>
                <w:color w:val="auto"/>
                <w:lang w:eastAsia="zh-CN"/>
              </w:rPr>
            </w:pPr>
            <w:r>
              <w:rPr>
                <w:rFonts w:hint="default" w:ascii="Times New Roman" w:hAnsi="Times New Roman" w:cs="Times New Roman"/>
                <w:b/>
                <w:color w:val="auto"/>
              </w:rPr>
              <w:t>建设地点：</w:t>
            </w:r>
            <w:r>
              <w:rPr>
                <w:rFonts w:hint="default" w:ascii="Times New Roman" w:hAnsi="Times New Roman" w:cs="Times New Roman"/>
                <w:color w:val="auto"/>
                <w:lang w:eastAsia="zh-CN"/>
              </w:rPr>
              <w:t>师宗县彩云镇彩云中学砖厂</w:t>
            </w:r>
            <w:r>
              <w:rPr>
                <w:rFonts w:hint="default" w:ascii="Times New Roman" w:hAnsi="Times New Roman" w:cs="Times New Roman"/>
                <w:color w:val="auto"/>
                <w:shd w:val="clear" w:fill="FFFFFF"/>
                <w:lang w:eastAsia="zh-CN"/>
              </w:rPr>
              <w:t>旁</w:t>
            </w:r>
          </w:p>
          <w:p>
            <w:pPr>
              <w:ind w:firstLine="482"/>
              <w:rPr>
                <w:rFonts w:hint="default" w:ascii="Times New Roman" w:hAnsi="Times New Roman" w:cs="Times New Roman"/>
                <w:color w:val="auto"/>
              </w:rPr>
            </w:pPr>
            <w:r>
              <w:rPr>
                <w:rFonts w:hint="default" w:ascii="Times New Roman" w:hAnsi="Times New Roman" w:cs="Times New Roman"/>
                <w:b/>
                <w:bCs/>
                <w:color w:val="auto"/>
              </w:rPr>
              <w:t>建设单位：</w:t>
            </w:r>
            <w:r>
              <w:rPr>
                <w:rFonts w:hint="default" w:ascii="Times New Roman" w:hAnsi="Times New Roman" w:cs="Times New Roman"/>
                <w:bCs/>
                <w:color w:val="auto"/>
              </w:rPr>
              <w:t>云南志国餐厨废弃物综合利用有限公司</w:t>
            </w:r>
          </w:p>
          <w:p>
            <w:pPr>
              <w:ind w:firstLine="482"/>
              <w:rPr>
                <w:rFonts w:hint="default" w:ascii="Times New Roman" w:hAnsi="Times New Roman" w:cs="Times New Roman"/>
                <w:color w:val="auto"/>
              </w:rPr>
            </w:pPr>
            <w:r>
              <w:rPr>
                <w:rFonts w:hint="default" w:ascii="Times New Roman" w:hAnsi="Times New Roman" w:cs="Times New Roman"/>
                <w:b/>
                <w:color w:val="auto"/>
              </w:rPr>
              <w:t>建设性质：</w:t>
            </w:r>
            <w:r>
              <w:rPr>
                <w:rFonts w:hint="default" w:ascii="Times New Roman" w:hAnsi="Times New Roman" w:cs="Times New Roman"/>
                <w:color w:val="auto"/>
              </w:rPr>
              <w:t>新建</w:t>
            </w:r>
          </w:p>
          <w:p>
            <w:pPr>
              <w:ind w:firstLine="482"/>
              <w:rPr>
                <w:rFonts w:hint="default" w:ascii="Times New Roman" w:hAnsi="Times New Roman" w:eastAsia="宋体" w:cs="Times New Roman"/>
                <w:bCs/>
                <w:color w:val="auto"/>
                <w:lang w:eastAsia="zh-CN"/>
              </w:rPr>
            </w:pPr>
            <w:r>
              <w:rPr>
                <w:rFonts w:hint="default" w:ascii="Times New Roman" w:hAnsi="Times New Roman" w:cs="Times New Roman"/>
                <w:b/>
                <w:bCs/>
                <w:color w:val="auto"/>
              </w:rPr>
              <w:t>备案证规模：</w:t>
            </w:r>
            <w:r>
              <w:rPr>
                <w:rFonts w:hint="default" w:ascii="Times New Roman" w:hAnsi="Times New Roman" w:cs="Times New Roman"/>
                <w:bCs/>
                <w:color w:val="auto"/>
              </w:rPr>
              <w:t>建设油水，</w:t>
            </w:r>
            <w:r>
              <w:rPr>
                <w:rFonts w:hint="default" w:ascii="Times New Roman" w:hAnsi="Times New Roman" w:cs="Times New Roman"/>
                <w:bCs/>
                <w:color w:val="auto"/>
                <w:shd w:val="clear" w:fill="FFFFFF"/>
              </w:rPr>
              <w:t>沉</w:t>
            </w:r>
            <w:r>
              <w:rPr>
                <w:rFonts w:hint="default" w:ascii="Times New Roman" w:hAnsi="Times New Roman" w:cs="Times New Roman"/>
                <w:bCs/>
                <w:color w:val="auto"/>
              </w:rPr>
              <w:t>油水分离</w:t>
            </w:r>
            <w:r>
              <w:rPr>
                <w:rFonts w:hint="default" w:ascii="Times New Roman" w:hAnsi="Times New Roman" w:cs="Times New Roman"/>
                <w:bCs/>
                <w:color w:val="auto"/>
                <w:shd w:val="clear" w:fill="FFFFFF"/>
              </w:rPr>
              <w:t>陵乳</w:t>
            </w:r>
            <w:r>
              <w:rPr>
                <w:rFonts w:hint="default" w:ascii="Times New Roman" w:hAnsi="Times New Roman" w:cs="Times New Roman"/>
                <w:bCs/>
                <w:color w:val="auto"/>
              </w:rPr>
              <w:t>调节油</w:t>
            </w:r>
            <w:r>
              <w:rPr>
                <w:rFonts w:hint="default" w:ascii="Times New Roman" w:hAnsi="Times New Roman" w:cs="Times New Roman"/>
                <w:bCs/>
                <w:color w:val="auto"/>
                <w:shd w:val="clear" w:fill="FFFFFF"/>
              </w:rPr>
              <w:t>庆</w:t>
            </w:r>
            <w:r>
              <w:rPr>
                <w:rFonts w:hint="default" w:ascii="Times New Roman" w:hAnsi="Times New Roman" w:cs="Times New Roman"/>
                <w:bCs/>
                <w:color w:val="auto"/>
              </w:rPr>
              <w:t>生化处理器，SBR生化处理器，生产设施设备4000平方米，配套建设公用工程辅助工程；一期日处理餐厨废弃物30吨；二期日处理餐厨废弃物30吨</w:t>
            </w:r>
            <w:r>
              <w:rPr>
                <w:rFonts w:hint="default" w:ascii="Times New Roman" w:hAnsi="Times New Roman" w:cs="Times New Roman"/>
                <w:bCs/>
                <w:color w:val="auto"/>
                <w:lang w:eastAsia="zh-CN"/>
              </w:rPr>
              <w:t>。</w:t>
            </w:r>
          </w:p>
          <w:p>
            <w:pPr>
              <w:ind w:firstLine="482"/>
              <w:rPr>
                <w:rFonts w:hint="default" w:ascii="Times New Roman" w:hAnsi="Times New Roman" w:cs="Times New Roman"/>
                <w:b/>
                <w:color w:val="auto"/>
              </w:rPr>
            </w:pPr>
            <w:r>
              <w:rPr>
                <w:rFonts w:hint="default" w:ascii="Times New Roman" w:hAnsi="Times New Roman" w:cs="Times New Roman"/>
                <w:b/>
                <w:bCs/>
                <w:color w:val="auto"/>
              </w:rPr>
              <w:t>实际建设规模：</w:t>
            </w:r>
            <w:r>
              <w:rPr>
                <w:rFonts w:hint="default" w:ascii="Times New Roman" w:hAnsi="Times New Roman" w:cs="Times New Roman"/>
                <w:bCs/>
                <w:color w:val="auto"/>
              </w:rPr>
              <w:t>项目占地面积1231</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，主体工程建设餐厨垃圾处置车间，配套建设生物质锅炉、成品油罐、一体化污水处理站、办公休息区等，一期工程日处理</w:t>
            </w:r>
            <w:r>
              <w:rPr>
                <w:rFonts w:hint="default" w:ascii="Times New Roman" w:hAnsi="Times New Roman" w:cs="Times New Roman"/>
                <w:bCs/>
                <w:color w:val="auto"/>
              </w:rPr>
              <w:t>餐厨废弃物30吨</w:t>
            </w:r>
          </w:p>
          <w:p>
            <w:pPr>
              <w:ind w:firstLine="482"/>
              <w:rPr>
                <w:rFonts w:hint="default" w:ascii="Times New Roman" w:hAnsi="Times New Roman" w:cs="Times New Roman"/>
                <w:color w:val="auto"/>
              </w:rPr>
            </w:pPr>
            <w:r>
              <w:rPr>
                <w:rFonts w:hint="default" w:ascii="Times New Roman" w:hAnsi="Times New Roman" w:cs="Times New Roman"/>
                <w:b/>
                <w:color w:val="auto"/>
              </w:rPr>
              <w:t>工作制度及劳动定员：</w:t>
            </w:r>
            <w:r>
              <w:rPr>
                <w:rFonts w:hint="default" w:ascii="Times New Roman" w:hAnsi="Times New Roman" w:cs="Times New Roman"/>
                <w:color w:val="auto"/>
              </w:rPr>
              <w:t>年工作300天，1班制，8小时/班，好氧发酵仓工作时间24h/d，新增员工10人</w:t>
            </w:r>
          </w:p>
          <w:p>
            <w:pPr>
              <w:ind w:firstLine="482"/>
              <w:rPr>
                <w:rFonts w:hint="default" w:ascii="Times New Roman" w:hAnsi="Times New Roman" w:cs="Times New Roman"/>
                <w:color w:val="auto"/>
              </w:rPr>
            </w:pPr>
            <w:r>
              <w:rPr>
                <w:rFonts w:hint="default" w:ascii="Times New Roman" w:hAnsi="Times New Roman" w:cs="Times New Roman"/>
                <w:b/>
                <w:color w:val="auto"/>
              </w:rPr>
              <w:t>用地面积：</w:t>
            </w:r>
            <w:r>
              <w:rPr>
                <w:rFonts w:hint="default" w:ascii="Times New Roman" w:hAnsi="Times New Roman" w:cs="Times New Roman"/>
                <w:color w:val="auto"/>
              </w:rPr>
              <w:t>本项目总占地面积</w:t>
            </w:r>
            <w:r>
              <w:rPr>
                <w:rFonts w:hint="default" w:ascii="Times New Roman" w:hAnsi="Times New Roman" w:cs="Times New Roman"/>
                <w:bCs/>
                <w:color w:val="auto"/>
              </w:rPr>
              <w:t>1231</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，总建筑面积470m</w:t>
            </w:r>
            <w:r>
              <w:rPr>
                <w:rFonts w:hint="default" w:ascii="Times New Roman" w:hAnsi="Times New Roman" w:cs="Times New Roman"/>
                <w:color w:val="auto"/>
                <w:vertAlign w:val="superscript"/>
              </w:rPr>
              <w:t>2</w:t>
            </w:r>
          </w:p>
          <w:p>
            <w:pPr>
              <w:ind w:firstLine="482"/>
              <w:rPr>
                <w:rFonts w:hint="default" w:ascii="Times New Roman" w:hAnsi="Times New Roman" w:cs="Times New Roman"/>
                <w:color w:val="auto"/>
              </w:rPr>
            </w:pPr>
            <w:r>
              <w:rPr>
                <w:rFonts w:hint="default" w:ascii="Times New Roman" w:hAnsi="Times New Roman" w:cs="Times New Roman"/>
                <w:b/>
                <w:color w:val="auto"/>
              </w:rPr>
              <w:t>建设时间：</w:t>
            </w:r>
            <w:r>
              <w:rPr>
                <w:rFonts w:hint="eastAsia" w:cs="Times New Roman"/>
                <w:color w:val="auto"/>
                <w:lang w:val="en-US" w:eastAsia="zh-CN"/>
              </w:rPr>
              <w:t>3</w:t>
            </w:r>
            <w:r>
              <w:rPr>
                <w:rFonts w:hint="default" w:ascii="Times New Roman" w:hAnsi="Times New Roman" w:cs="Times New Roman"/>
                <w:color w:val="auto"/>
              </w:rPr>
              <w:t>个月</w:t>
            </w:r>
          </w:p>
          <w:p>
            <w:pPr>
              <w:ind w:firstLine="482"/>
              <w:rPr>
                <w:rFonts w:hint="default" w:ascii="Times New Roman" w:hAnsi="Times New Roman" w:cs="Times New Roman"/>
                <w:color w:val="auto"/>
                <w:highlight w:val="none"/>
              </w:rPr>
            </w:pPr>
            <w:r>
              <w:rPr>
                <w:rFonts w:hint="default" w:ascii="Times New Roman" w:hAnsi="Times New Roman" w:cs="Times New Roman"/>
                <w:b/>
                <w:bCs/>
                <w:color w:val="auto"/>
              </w:rPr>
              <w:t>项目总投资：</w:t>
            </w:r>
            <w:r>
              <w:rPr>
                <w:rFonts w:hint="default" w:ascii="Times New Roman" w:hAnsi="Times New Roman" w:cs="Times New Roman"/>
                <w:bCs/>
                <w:color w:val="auto"/>
                <w:highlight w:val="none"/>
              </w:rPr>
              <w:t>项目总投资</w:t>
            </w:r>
            <w:r>
              <w:rPr>
                <w:rFonts w:hint="default" w:ascii="Times New Roman" w:hAnsi="Times New Roman" w:cs="Times New Roman"/>
                <w:color w:val="auto"/>
                <w:highlight w:val="none"/>
              </w:rPr>
              <w:t>4539.58万元，其中</w:t>
            </w:r>
            <w:r>
              <w:rPr>
                <w:rFonts w:hint="default" w:ascii="Times New Roman" w:hAnsi="Times New Roman" w:cs="Times New Roman"/>
                <w:bCs/>
                <w:color w:val="auto"/>
                <w:highlight w:val="none"/>
              </w:rPr>
              <w:t>项目一期工程</w:t>
            </w:r>
            <w:r>
              <w:rPr>
                <w:rFonts w:hint="default" w:ascii="Times New Roman" w:hAnsi="Times New Roman" w:cs="Times New Roman"/>
                <w:color w:val="auto"/>
                <w:highlight w:val="none"/>
              </w:rPr>
              <w:t>投资为2269.79万元，环境保护投资</w:t>
            </w:r>
            <w:r>
              <w:rPr>
                <w:rFonts w:hint="default" w:ascii="Times New Roman" w:hAnsi="Times New Roman" w:cs="Times New Roman"/>
                <w:color w:val="auto"/>
                <w:highlight w:val="none"/>
                <w:lang w:val="en-US" w:eastAsia="zh-CN"/>
              </w:rPr>
              <w:t>8</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万元，环保投资占</w:t>
            </w:r>
            <w:r>
              <w:rPr>
                <w:rFonts w:hint="default" w:ascii="Times New Roman" w:hAnsi="Times New Roman" w:cs="Times New Roman"/>
                <w:bCs/>
                <w:color w:val="auto"/>
                <w:highlight w:val="none"/>
              </w:rPr>
              <w:t>一期工程的</w:t>
            </w:r>
            <w:r>
              <w:rPr>
                <w:rFonts w:hint="eastAsia" w:cs="Times New Roman"/>
                <w:color w:val="auto"/>
                <w:highlight w:val="none"/>
                <w:lang w:val="en-US" w:eastAsia="zh-CN"/>
              </w:rPr>
              <w:t>3.90</w:t>
            </w:r>
            <w:r>
              <w:rPr>
                <w:rFonts w:hint="default" w:ascii="Times New Roman" w:hAnsi="Times New Roman" w:cs="Times New Roman"/>
                <w:color w:val="auto"/>
                <w:highlight w:val="none"/>
              </w:rPr>
              <w:t>%</w:t>
            </w:r>
          </w:p>
          <w:p>
            <w:pPr>
              <w:pStyle w:val="61"/>
              <w:spacing w:before="60" w:after="60"/>
              <w:rPr>
                <w:rFonts w:hint="default" w:ascii="Times New Roman" w:hAnsi="Times New Roman" w:cs="Times New Roman"/>
                <w:color w:val="auto"/>
              </w:rPr>
            </w:pPr>
            <w:r>
              <w:rPr>
                <w:rFonts w:hint="default" w:ascii="Times New Roman" w:hAnsi="Times New Roman" w:cs="Times New Roman"/>
                <w:color w:val="auto"/>
              </w:rPr>
              <w:t>2.1.</w:t>
            </w:r>
            <w:r>
              <w:rPr>
                <w:rFonts w:hint="default" w:ascii="Times New Roman" w:hAnsi="Times New Roman" w:cs="Times New Roman"/>
                <w:color w:val="auto"/>
                <w:lang w:val="en-US" w:eastAsia="zh-CN"/>
              </w:rPr>
              <w:t>4变更后</w:t>
            </w:r>
            <w:r>
              <w:rPr>
                <w:rFonts w:hint="default" w:ascii="Times New Roman" w:hAnsi="Times New Roman" w:cs="Times New Roman"/>
                <w:color w:val="auto"/>
              </w:rPr>
              <w:t>主要建设内容</w:t>
            </w:r>
          </w:p>
          <w:p>
            <w:pPr>
              <w:pStyle w:val="84"/>
              <w:ind w:firstLine="482"/>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变更后</w:t>
            </w:r>
            <w:r>
              <w:rPr>
                <w:rFonts w:hint="default" w:ascii="Times New Roman" w:hAnsi="Times New Roman" w:cs="Times New Roman"/>
                <w:color w:val="auto"/>
              </w:rPr>
              <w:t>工程内容</w:t>
            </w:r>
          </w:p>
          <w:p>
            <w:pPr>
              <w:ind w:firstLine="480"/>
              <w:rPr>
                <w:rFonts w:hint="default" w:ascii="Times New Roman" w:hAnsi="Times New Roman" w:cs="Times New Roman"/>
                <w:color w:val="auto"/>
              </w:rPr>
            </w:pPr>
            <w:r>
              <w:rPr>
                <w:rFonts w:hint="default" w:ascii="Times New Roman" w:hAnsi="Times New Roman" w:cs="Times New Roman"/>
                <w:color w:val="auto"/>
              </w:rPr>
              <w:t>本项目主要建设内容见下表。</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建设项目工程组成表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63"/>
              <w:gridCol w:w="426"/>
              <w:gridCol w:w="764"/>
              <w:gridCol w:w="3656"/>
              <w:gridCol w:w="2331"/>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2" w:type="pct"/>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758" w:type="pct"/>
                  <w:gridSpan w:val="2"/>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建设内容及规模</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主体工程</w:t>
                  </w: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餐厨垃圾处置车间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建筑面积248㎡</w:t>
                  </w:r>
                  <w:r>
                    <w:rPr>
                      <w:rFonts w:hint="default" w:ascii="Times New Roman" w:hAnsi="Times New Roman" w:cs="Times New Roman"/>
                      <w:color w:val="auto"/>
                      <w:lang w:eastAsia="zh-CN"/>
                    </w:rPr>
                    <w:t>，</w:t>
                  </w:r>
                  <w:r>
                    <w:rPr>
                      <w:rFonts w:hint="default" w:ascii="Times New Roman" w:hAnsi="Times New Roman" w:cs="Times New Roman"/>
                      <w:color w:val="auto"/>
                    </w:rPr>
                    <w:t>地面混凝土硬化，</w:t>
                  </w:r>
                  <w:r>
                    <w:rPr>
                      <w:rFonts w:hint="default" w:ascii="Times New Roman" w:hAnsi="Times New Roman" w:cs="Times New Roman"/>
                      <w:color w:val="auto"/>
                      <w:lang w:eastAsia="zh-CN"/>
                    </w:rPr>
                    <w:t>钢混</w:t>
                  </w:r>
                  <w:r>
                    <w:rPr>
                      <w:rFonts w:hint="default" w:ascii="Times New Roman" w:hAnsi="Times New Roman" w:cs="Times New Roman"/>
                      <w:color w:val="auto"/>
                    </w:rPr>
                    <w:t>结构，1F，</w:t>
                  </w:r>
                  <w:r>
                    <w:rPr>
                      <w:rFonts w:hint="default" w:ascii="Times New Roman" w:hAnsi="Times New Roman" w:cs="Times New Roman"/>
                      <w:color w:val="auto"/>
                      <w:lang w:eastAsia="zh-CN"/>
                    </w:rPr>
                    <w:t>全封闭式车间</w:t>
                  </w:r>
                  <w:r>
                    <w:rPr>
                      <w:rFonts w:hint="default" w:ascii="Times New Roman" w:hAnsi="Times New Roman" w:cs="Times New Roman"/>
                      <w:color w:val="auto"/>
                    </w:rPr>
                    <w:t>，只留</w:t>
                  </w:r>
                  <w:r>
                    <w:rPr>
                      <w:rFonts w:hint="default" w:ascii="Times New Roman" w:hAnsi="Times New Roman" w:cs="Times New Roman"/>
                      <w:color w:val="auto"/>
                      <w:lang w:eastAsia="zh-CN"/>
                    </w:rPr>
                    <w:t>车辆</w:t>
                  </w:r>
                  <w:r>
                    <w:rPr>
                      <w:rFonts w:hint="default" w:ascii="Times New Roman" w:hAnsi="Times New Roman" w:cs="Times New Roman"/>
                      <w:color w:val="auto"/>
                    </w:rPr>
                    <w:t>进出口</w:t>
                  </w:r>
                  <w:r>
                    <w:rPr>
                      <w:rFonts w:hint="default" w:ascii="Times New Roman" w:hAnsi="Times New Roman" w:cs="Times New Roman"/>
                      <w:color w:val="auto"/>
                      <w:lang w:eastAsia="zh-CN"/>
                    </w:rPr>
                    <w:t>，车辆进出口设置自动卷帘门</w:t>
                  </w:r>
                  <w:r>
                    <w:rPr>
                      <w:rFonts w:hint="default" w:ascii="Times New Roman" w:hAnsi="Times New Roman" w:cs="Times New Roman"/>
                      <w:color w:val="auto"/>
                    </w:rPr>
                    <w:t>，</w:t>
                  </w:r>
                  <w:r>
                    <w:rPr>
                      <w:rFonts w:hint="default" w:ascii="Times New Roman" w:hAnsi="Times New Roman" w:cs="Times New Roman"/>
                      <w:color w:val="auto"/>
                      <w:lang w:val="en-US" w:eastAsia="zh-CN"/>
                    </w:rPr>
                    <w:t>厂房内设置一条餐厨垃圾处理生产线，安装进</w:t>
                  </w:r>
                  <w:r>
                    <w:rPr>
                      <w:rFonts w:hint="default" w:ascii="Times New Roman" w:hAnsi="Times New Roman" w:cs="Times New Roman"/>
                      <w:color w:val="auto"/>
                      <w:shd w:val="clear" w:fill="FFFFFF"/>
                      <w:lang w:val="en-US" w:eastAsia="zh-CN"/>
                    </w:rPr>
                    <w:t>料料仓</w:t>
                  </w:r>
                  <w:r>
                    <w:rPr>
                      <w:rFonts w:hint="default" w:ascii="Times New Roman" w:hAnsi="Times New Roman" w:cs="Times New Roman"/>
                      <w:color w:val="auto"/>
                      <w:lang w:val="en-US" w:eastAsia="zh-CN"/>
                    </w:rPr>
                    <w:t>、固液分离甩干机、无</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螺旋提升机、有</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螺旋提升机、三相</w:t>
                  </w:r>
                  <w:r>
                    <w:rPr>
                      <w:rFonts w:hint="default" w:ascii="Times New Roman" w:hAnsi="Times New Roman" w:cs="Times New Roman"/>
                      <w:color w:val="auto"/>
                      <w:shd w:val="clear" w:fill="FFFFFF"/>
                      <w:lang w:val="en-US" w:eastAsia="zh-CN"/>
                    </w:rPr>
                    <w:t>卧螺</w:t>
                  </w:r>
                  <w:r>
                    <w:rPr>
                      <w:rFonts w:hint="default" w:ascii="Times New Roman" w:hAnsi="Times New Roman" w:cs="Times New Roman"/>
                      <w:color w:val="auto"/>
                      <w:lang w:val="en-US" w:eastAsia="zh-CN"/>
                    </w:rPr>
                    <w:t>分离机、好氧发酵仓、生物质锅炉等设备，配套安装各项环保设施</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项目已建成</w:t>
                  </w:r>
                  <w:r>
                    <w:rPr>
                      <w:rFonts w:hint="default" w:ascii="Times New Roman" w:hAnsi="Times New Roman" w:cs="Times New Roman"/>
                      <w:color w:val="auto"/>
                      <w:lang w:eastAsia="zh-CN"/>
                    </w:rPr>
                    <w:t>全封闭式车间</w:t>
                  </w:r>
                  <w:r>
                    <w:rPr>
                      <w:rFonts w:hint="default" w:ascii="Times New Roman" w:hAnsi="Times New Roman" w:cs="Times New Roman"/>
                      <w:color w:val="auto"/>
                    </w:rPr>
                    <w:t>，</w:t>
                  </w:r>
                  <w:r>
                    <w:rPr>
                      <w:rFonts w:hint="default" w:ascii="Times New Roman" w:hAnsi="Times New Roman" w:cs="Times New Roman"/>
                      <w:color w:val="auto"/>
                      <w:lang w:val="en-US" w:eastAsia="zh-CN"/>
                    </w:rPr>
                    <w:t>厂房内已设置一条餐厨垃圾处理生产线，并完成进料料仓、固液分离甩干机、无</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螺旋提升机、有</w:t>
                  </w:r>
                  <w:r>
                    <w:rPr>
                      <w:rFonts w:hint="default" w:ascii="Times New Roman" w:hAnsi="Times New Roman" w:cs="Times New Roman"/>
                      <w:color w:val="auto"/>
                      <w:shd w:val="clear" w:fill="FFFFFF"/>
                      <w:lang w:val="en-US" w:eastAsia="zh-CN"/>
                    </w:rPr>
                    <w:t>轴</w:t>
                  </w:r>
                  <w:r>
                    <w:rPr>
                      <w:rFonts w:hint="default" w:ascii="Times New Roman" w:hAnsi="Times New Roman" w:cs="Times New Roman"/>
                      <w:color w:val="auto"/>
                      <w:lang w:val="en-US" w:eastAsia="zh-CN"/>
                    </w:rPr>
                    <w:t>螺旋提升机、三相</w:t>
                  </w:r>
                  <w:r>
                    <w:rPr>
                      <w:rFonts w:hint="default" w:ascii="Times New Roman" w:hAnsi="Times New Roman" w:cs="Times New Roman"/>
                      <w:color w:val="auto"/>
                      <w:shd w:val="clear" w:fill="FFFFFF"/>
                      <w:lang w:val="en-US" w:eastAsia="zh-CN"/>
                    </w:rPr>
                    <w:t>卧螺</w:t>
                  </w:r>
                  <w:r>
                    <w:rPr>
                      <w:rFonts w:hint="default" w:ascii="Times New Roman" w:hAnsi="Times New Roman" w:cs="Times New Roman"/>
                      <w:color w:val="auto"/>
                      <w:lang w:val="en-US" w:eastAsia="zh-CN"/>
                    </w:rPr>
                    <w:t>分离机等安装；其他新建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辅助工程</w:t>
                  </w: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办公休息区</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位于靠近道路一侧，1F，砖混结构，</w:t>
                  </w:r>
                  <w:r>
                    <w:rPr>
                      <w:rFonts w:hint="default" w:ascii="Times New Roman" w:hAnsi="Times New Roman" w:cs="Times New Roman"/>
                      <w:color w:val="auto"/>
                    </w:rPr>
                    <w:t>建筑面积108㎡</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门卫室</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位于项目区</w:t>
                  </w:r>
                  <w:r>
                    <w:rPr>
                      <w:rFonts w:hint="default" w:ascii="Times New Roman" w:hAnsi="Times New Roman" w:cs="Times New Roman"/>
                      <w:color w:val="auto"/>
                      <w:lang w:val="en-US" w:eastAsia="zh-CN"/>
                    </w:rPr>
                    <w:t>入口处</w:t>
                  </w:r>
                  <w:r>
                    <w:rPr>
                      <w:rFonts w:hint="default" w:ascii="Times New Roman" w:hAnsi="Times New Roman" w:cs="Times New Roman"/>
                      <w:color w:val="auto"/>
                      <w:lang w:val="en-US"/>
                    </w:rPr>
                    <w:t>，砖混结构，1F</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建筑面积</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2"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公用工程</w:t>
                  </w: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供电</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由</w:t>
                  </w:r>
                  <w:r>
                    <w:rPr>
                      <w:rFonts w:hint="default" w:ascii="Times New Roman" w:hAnsi="Times New Roman" w:cs="Times New Roman"/>
                      <w:color w:val="auto"/>
                      <w:lang w:eastAsia="zh-CN"/>
                    </w:rPr>
                    <w:t>彩云镇</w:t>
                  </w:r>
                  <w:r>
                    <w:rPr>
                      <w:rFonts w:hint="default" w:ascii="Times New Roman" w:hAnsi="Times New Roman" w:cs="Times New Roman"/>
                      <w:color w:val="auto"/>
                    </w:rPr>
                    <w:t>市政供电线路提供</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供水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由</w:t>
                  </w:r>
                  <w:r>
                    <w:rPr>
                      <w:rFonts w:hint="default" w:ascii="Times New Roman" w:hAnsi="Times New Roman" w:cs="Times New Roman"/>
                      <w:color w:val="auto"/>
                      <w:lang w:eastAsia="zh-CN"/>
                    </w:rPr>
                    <w:t>彩云镇</w:t>
                  </w:r>
                  <w:r>
                    <w:rPr>
                      <w:rFonts w:hint="default" w:ascii="Times New Roman" w:hAnsi="Times New Roman" w:cs="Times New Roman"/>
                      <w:color w:val="auto"/>
                    </w:rPr>
                    <w:t>市政供水管网提供</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依托现有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排水</w:t>
                  </w:r>
                </w:p>
              </w:tc>
              <w:tc>
                <w:tcPr>
                  <w:tcW w:w="2331" w:type="pct"/>
                  <w:tcBorders>
                    <w:right w:val="single" w:color="auto" w:sz="4" w:space="0"/>
                  </w:tcBorders>
                  <w:shd w:val="clear" w:color="auto" w:fill="auto"/>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rPr>
                    <w:t>项目区采用</w:t>
                  </w:r>
                  <w:r>
                    <w:rPr>
                      <w:rFonts w:hint="default" w:ascii="Times New Roman" w:hAnsi="Times New Roman" w:cs="Times New Roman"/>
                      <w:color w:val="auto"/>
                      <w:lang w:eastAsia="zh-CN"/>
                    </w:rPr>
                    <w:t>“</w:t>
                  </w:r>
                  <w:r>
                    <w:rPr>
                      <w:rFonts w:hint="default" w:ascii="Times New Roman" w:hAnsi="Times New Roman" w:cs="Times New Roman"/>
                      <w:color w:val="auto"/>
                    </w:rPr>
                    <w:t>雨污分流制</w:t>
                  </w:r>
                  <w:r>
                    <w:rPr>
                      <w:rFonts w:hint="default" w:ascii="Times New Roman" w:hAnsi="Times New Roman" w:cs="Times New Roman"/>
                      <w:color w:val="auto"/>
                      <w:lang w:eastAsia="zh-CN"/>
                    </w:rPr>
                    <w:t>”</w:t>
                  </w:r>
                </w:p>
              </w:tc>
              <w:tc>
                <w:tcPr>
                  <w:tcW w:w="1486" w:type="pct"/>
                  <w:tcBorders>
                    <w:left w:val="single" w:color="auto" w:sz="4" w:space="0"/>
                  </w:tcBorders>
                  <w:shd w:val="clear" w:color="auto" w:fill="auto"/>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已</w:t>
                  </w:r>
                  <w:r>
                    <w:rPr>
                      <w:rFonts w:hint="default" w:ascii="Times New Roman" w:hAnsi="Times New Roman" w:cs="Times New Roman"/>
                      <w:color w:val="auto"/>
                    </w:rPr>
                    <w:t>改造</w:t>
                  </w:r>
                  <w:r>
                    <w:rPr>
                      <w:rFonts w:hint="default" w:ascii="Times New Roman" w:hAnsi="Times New Roman" w:cs="Times New Roman"/>
                      <w:color w:val="auto"/>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continue"/>
                  <w:shd w:val="clear" w:color="auto" w:fill="auto"/>
                  <w:vAlign w:val="center"/>
                </w:tcPr>
                <w:p>
                  <w:pPr>
                    <w:pStyle w:val="68"/>
                    <w:rPr>
                      <w:rFonts w:hint="default" w:ascii="Times New Roman" w:hAnsi="Times New Roman" w:cs="Times New Roman"/>
                      <w:color w:val="auto"/>
                    </w:rPr>
                  </w:pP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项目区内</w:t>
                  </w:r>
                  <w:r>
                    <w:rPr>
                      <w:rFonts w:hint="default" w:ascii="Times New Roman" w:hAnsi="Times New Roman" w:cs="Times New Roman"/>
                      <w:color w:val="auto"/>
                      <w:lang w:eastAsia="zh-CN"/>
                    </w:rPr>
                    <w:t>建筑</w:t>
                  </w:r>
                  <w:r>
                    <w:rPr>
                      <w:rFonts w:hint="default" w:ascii="Times New Roman" w:hAnsi="Times New Roman" w:cs="Times New Roman"/>
                      <w:color w:val="auto"/>
                    </w:rPr>
                    <w:t>顶部雨水</w:t>
                  </w:r>
                  <w:r>
                    <w:rPr>
                      <w:rFonts w:hint="default" w:ascii="Times New Roman" w:hAnsi="Times New Roman" w:cs="Times New Roman"/>
                      <w:color w:val="auto"/>
                      <w:shd w:val="clear" w:fill="FFFFFF"/>
                    </w:rPr>
                    <w:t>经雨落管</w:t>
                  </w:r>
                  <w:r>
                    <w:rPr>
                      <w:rFonts w:hint="default" w:ascii="Times New Roman" w:hAnsi="Times New Roman" w:cs="Times New Roman"/>
                      <w:color w:val="auto"/>
                    </w:rPr>
                    <w:t>接入</w:t>
                  </w:r>
                  <w:r>
                    <w:rPr>
                      <w:rFonts w:hint="default" w:ascii="Times New Roman" w:hAnsi="Times New Roman" w:cs="Times New Roman"/>
                      <w:color w:val="auto"/>
                      <w:lang w:val="en-US"/>
                    </w:rPr>
                    <w:t>周边雨水沟</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项目已建成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continue"/>
                  <w:shd w:val="clear" w:color="auto" w:fill="auto"/>
                  <w:vAlign w:val="center"/>
                </w:tcPr>
                <w:p>
                  <w:pPr>
                    <w:pStyle w:val="68"/>
                    <w:rPr>
                      <w:rFonts w:hint="default" w:ascii="Times New Roman" w:hAnsi="Times New Roman" w:cs="Times New Roman"/>
                      <w:color w:val="auto"/>
                    </w:rPr>
                  </w:pP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生活污水经新建化粪池收集，定期清掏用于周边农田施肥，生产废水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一体化污水处理站处理后车辆运输至彩云污水处理站进行处置</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供热</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项目采用</w:t>
                  </w:r>
                  <w:r>
                    <w:rPr>
                      <w:rFonts w:hint="default" w:ascii="Times New Roman" w:hAnsi="Times New Roman" w:cs="Times New Roman"/>
                      <w:color w:val="auto"/>
                      <w:lang w:val="en-US" w:eastAsia="zh-CN"/>
                    </w:rPr>
                    <w:t>1台2.2t/h生物质锅炉</w:t>
                  </w:r>
                  <w:r>
                    <w:rPr>
                      <w:rFonts w:hint="default" w:ascii="Times New Roman" w:hAnsi="Times New Roman" w:cs="Times New Roman"/>
                      <w:color w:val="auto"/>
                      <w:lang w:eastAsia="zh-CN"/>
                    </w:rPr>
                    <w:t>供热</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储运工程</w:t>
                  </w: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成品油罐</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highlight w:val="yellow"/>
                      <w:lang w:eastAsia="zh-CN"/>
                    </w:rPr>
                  </w:pPr>
                  <w:r>
                    <w:rPr>
                      <w:rFonts w:hint="default" w:ascii="Times New Roman" w:hAnsi="Times New Roman" w:cs="Times New Roman"/>
                      <w:color w:val="auto"/>
                      <w:lang w:eastAsia="zh-CN"/>
                    </w:rPr>
                    <w:t>位于厂区最西侧，占地面积80</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设置成品油罐2个，规格为30m³/个，四周设置围堰，围堰占地面积80㎡，围堰高度0.8m，围堰有效收集容积64m³，用于粗油脂的暂存</w:t>
                  </w:r>
                </w:p>
              </w:tc>
              <w:tc>
                <w:tcPr>
                  <w:tcW w:w="1486" w:type="pct"/>
                  <w:tcBorders>
                    <w:left w:val="single" w:color="auto" w:sz="4" w:space="0"/>
                  </w:tcBorders>
                  <w:shd w:val="clear" w:color="auto" w:fill="auto"/>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项目已完成成品油罐安装，其他新建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临时暂存库</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位于厂区危废暂存间西侧，建筑面积25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钢架</w:t>
                  </w:r>
                  <w:r>
                    <w:rPr>
                      <w:rFonts w:hint="default" w:ascii="Times New Roman" w:hAnsi="Times New Roman" w:cs="Times New Roman"/>
                      <w:color w:val="auto"/>
                      <w:lang w:val="en-US"/>
                    </w:rPr>
                    <w:t>结构，1F</w:t>
                  </w:r>
                  <w:r>
                    <w:rPr>
                      <w:rFonts w:hint="default" w:ascii="Times New Roman" w:hAnsi="Times New Roman" w:cs="Times New Roman"/>
                      <w:color w:val="auto"/>
                      <w:lang w:val="en-US" w:eastAsia="zh-CN"/>
                    </w:rPr>
                    <w:t>，用于有机肥原料的暂存</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环保工程</w:t>
                  </w:r>
                </w:p>
              </w:tc>
              <w:tc>
                <w:tcPr>
                  <w:tcW w:w="271"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废气</w:t>
                  </w: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处置车间恶臭</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highlight w:val="yellow"/>
                      <w:lang w:eastAsia="zh-CN"/>
                    </w:rPr>
                  </w:pPr>
                  <w:r>
                    <w:rPr>
                      <w:rFonts w:hint="default" w:ascii="Times New Roman" w:hAnsi="Times New Roman" w:cs="Times New Roman"/>
                      <w:color w:val="auto"/>
                      <w:lang w:eastAsia="zh-CN"/>
                    </w:rPr>
                    <w:t>处置车间设置为全封闭式车间，只留车辆进出口，车辆进出口设置自动卷帘门，卸车、固液分离、三相分离、好氧发酵废气通过微负压集气罩收集，送入除臭系统进行处置，除臭采用生物洗涤工艺，恶臭经处置后通过15m高DA001排气筒排放</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燃烧废气</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生物质锅炉采用低氮燃烧技术，</w:t>
                  </w:r>
                  <w:r>
                    <w:rPr>
                      <w:rFonts w:hint="default" w:ascii="Times New Roman" w:hAnsi="Times New Roman" w:eastAsia="宋体" w:cs="Times New Roman"/>
                      <w:snapToGrid w:val="0"/>
                      <w:color w:val="auto"/>
                      <w:sz w:val="21"/>
                      <w:szCs w:val="21"/>
                      <w:lang w:val="en-US" w:eastAsia="zh-CN"/>
                    </w:rPr>
                    <w:t>生物质锅炉燃烧废气通过</w:t>
                  </w:r>
                  <w:r>
                    <w:rPr>
                      <w:rFonts w:hint="default" w:ascii="Times New Roman" w:hAnsi="Times New Roman" w:cs="Times New Roman"/>
                      <w:snapToGrid w:val="0"/>
                      <w:color w:val="auto"/>
                      <w:sz w:val="21"/>
                      <w:szCs w:val="21"/>
                      <w:lang w:val="en-US" w:eastAsia="zh-CN"/>
                    </w:rPr>
                    <w:t>布袋除尘器</w:t>
                  </w:r>
                  <w:r>
                    <w:rPr>
                      <w:rFonts w:hint="default" w:ascii="Times New Roman" w:hAnsi="Times New Roman" w:eastAsia="宋体" w:cs="Times New Roman"/>
                      <w:snapToGrid w:val="0"/>
                      <w:color w:val="auto"/>
                      <w:sz w:val="21"/>
                      <w:szCs w:val="21"/>
                      <w:lang w:val="en-US" w:eastAsia="zh-CN"/>
                    </w:rPr>
                    <w:t>处理后经</w:t>
                  </w:r>
                  <w:r>
                    <w:rPr>
                      <w:rFonts w:hint="default" w:ascii="Times New Roman" w:hAnsi="Times New Roman" w:cs="Times New Roman"/>
                      <w:snapToGrid w:val="0"/>
                      <w:color w:val="auto"/>
                      <w:sz w:val="21"/>
                      <w:szCs w:val="21"/>
                      <w:lang w:val="en-US" w:eastAsia="zh-CN"/>
                    </w:rPr>
                    <w:t>30</w:t>
                  </w:r>
                  <w:r>
                    <w:rPr>
                      <w:rFonts w:hint="default" w:ascii="Times New Roman" w:hAnsi="Times New Roman" w:eastAsia="宋体" w:cs="Times New Roman"/>
                      <w:snapToGrid w:val="0"/>
                      <w:color w:val="auto"/>
                      <w:sz w:val="21"/>
                      <w:szCs w:val="21"/>
                      <w:lang w:val="en-US" w:eastAsia="zh-CN"/>
                    </w:rPr>
                    <w:t>m高DA002排气筒排放</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污水站恶臭</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污水站设置为一体式，各</w:t>
                  </w:r>
                  <w:r>
                    <w:rPr>
                      <w:rFonts w:hint="default" w:ascii="Times New Roman" w:hAnsi="Times New Roman" w:cs="Times New Roman"/>
                      <w:color w:val="auto"/>
                      <w:shd w:val="clear" w:fill="FFFFFF"/>
                      <w:lang w:eastAsia="zh-CN"/>
                    </w:rPr>
                    <w:t>池</w:t>
                  </w:r>
                  <w:r>
                    <w:rPr>
                      <w:rFonts w:hint="default" w:ascii="Times New Roman" w:hAnsi="Times New Roman" w:cs="Times New Roman"/>
                      <w:color w:val="auto"/>
                      <w:lang w:eastAsia="zh-CN"/>
                    </w:rPr>
                    <w:t>体加盖密闭，定期喷洒生物除臭剂</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废水</w:t>
                  </w:r>
                </w:p>
              </w:tc>
              <w:tc>
                <w:tcPr>
                  <w:tcW w:w="487"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分离废水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污水管接入一体化污水处理站进行处置，采用“格栅+调节池+气浮沉淀预处理+UASB厌氧处理+两级AO+MBR膜处理”的工艺，处理规模</w:t>
                  </w:r>
                  <w:r>
                    <w:rPr>
                      <w:rFonts w:hint="default" w:ascii="Times New Roman" w:hAnsi="Times New Roman" w:cs="Times New Roman"/>
                      <w:color w:val="auto"/>
                      <w:lang w:val="en-US" w:eastAsia="zh-CN"/>
                    </w:rPr>
                    <w:t>31</w:t>
                  </w:r>
                  <w:r>
                    <w:rPr>
                      <w:rFonts w:hint="default" w:ascii="Times New Roman" w:hAnsi="Times New Roman" w:cs="Times New Roman"/>
                      <w:color w:val="auto"/>
                      <w:lang w:eastAsia="zh-CN"/>
                    </w:rPr>
                    <w:t>m³/d，处理达标后暂存在污水池（1个，容积</w:t>
                  </w:r>
                  <w:r>
                    <w:rPr>
                      <w:rFonts w:hint="default" w:ascii="Times New Roman" w:hAnsi="Times New Roman" w:cs="Times New Roman"/>
                      <w:color w:val="auto"/>
                      <w:lang w:val="en-US" w:eastAsia="zh-CN"/>
                    </w:rPr>
                    <w:t>100</w:t>
                  </w:r>
                  <w:r>
                    <w:rPr>
                      <w:rFonts w:hint="default" w:ascii="Times New Roman" w:hAnsi="Times New Roman" w:cs="Times New Roman"/>
                      <w:color w:val="auto"/>
                      <w:lang w:eastAsia="zh-CN"/>
                    </w:rPr>
                    <w:t>m³）内，采用罐车运送至彩云镇生活污水处理站进行处理</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清洗废水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车辆清洗废水、设备清洗废水、地面清洗废水收集后经污水管接入一体化污水处理站进行处置，在处置车间设置1套DN150清洗废水收集管网，</w:t>
                  </w:r>
                  <w:r>
                    <w:rPr>
                      <w:rFonts w:hint="default" w:ascii="Times New Roman" w:hAnsi="Times New Roman" w:cs="Times New Roman"/>
                      <w:color w:val="auto"/>
                      <w:shd w:val="clear" w:fill="FFFFFF"/>
                      <w:lang w:eastAsia="zh-CN"/>
                    </w:rPr>
                    <w:t>沿</w:t>
                  </w:r>
                  <w:r>
                    <w:rPr>
                      <w:rFonts w:hint="default" w:ascii="Times New Roman" w:hAnsi="Times New Roman" w:cs="Times New Roman"/>
                      <w:color w:val="auto"/>
                      <w:lang w:eastAsia="zh-CN"/>
                    </w:rPr>
                    <w:t>处置车间地势较低一处布设，长度40m</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洗涤废水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洗涤废水</w:t>
                  </w:r>
                  <w:r>
                    <w:rPr>
                      <w:rFonts w:hint="default" w:ascii="Times New Roman" w:hAnsi="Times New Roman" w:cs="Times New Roman"/>
                      <w:color w:val="auto"/>
                      <w:shd w:val="clear" w:fill="FFFFFF"/>
                      <w:lang w:eastAsia="zh-CN"/>
                    </w:rPr>
                    <w:t>经</w:t>
                  </w:r>
                  <w:r>
                    <w:rPr>
                      <w:rFonts w:hint="default" w:ascii="Times New Roman" w:hAnsi="Times New Roman" w:cs="Times New Roman"/>
                      <w:color w:val="auto"/>
                      <w:lang w:eastAsia="zh-CN"/>
                    </w:rPr>
                    <w:t>污水管接入一体化污水处理站进行处置</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锅炉废水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锅炉排污水产生后用</w:t>
                  </w:r>
                  <w:r>
                    <w:rPr>
                      <w:rFonts w:hint="default" w:ascii="Times New Roman" w:hAnsi="Times New Roman" w:cs="Times New Roman"/>
                      <w:color w:val="auto"/>
                      <w:lang w:val="zh-CN"/>
                    </w:rPr>
                    <w:t>锅炉废水收集塑料桶（</w:t>
                  </w:r>
                  <w:r>
                    <w:rPr>
                      <w:rFonts w:hint="default" w:ascii="Times New Roman" w:hAnsi="Times New Roman" w:cs="Times New Roman"/>
                      <w:color w:val="auto"/>
                      <w:lang w:val="en-US" w:eastAsia="zh-CN"/>
                    </w:rPr>
                    <w:t>1个，容积300L</w:t>
                  </w:r>
                  <w:r>
                    <w:rPr>
                      <w:rFonts w:hint="default" w:ascii="Times New Roman" w:hAnsi="Times New Roman" w:cs="Times New Roman"/>
                      <w:color w:val="auto"/>
                      <w:lang w:val="zh-CN"/>
                    </w:rPr>
                    <w:t>）</w:t>
                  </w:r>
                  <w:r>
                    <w:rPr>
                      <w:rFonts w:hint="default" w:ascii="Times New Roman" w:hAnsi="Times New Roman" w:cs="Times New Roman"/>
                      <w:color w:val="auto"/>
                      <w:lang w:eastAsia="zh-CN"/>
                    </w:rPr>
                    <w:t>收集，用于餐厨垃圾处置车间地面清洗</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生活污水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生活污水排入</w:t>
                  </w:r>
                  <w:r>
                    <w:rPr>
                      <w:rFonts w:hint="default" w:ascii="Times New Roman" w:hAnsi="Times New Roman" w:cs="Times New Roman"/>
                      <w:color w:val="auto"/>
                      <w:lang w:eastAsia="zh-CN"/>
                    </w:rPr>
                    <w:t>新建</w:t>
                  </w:r>
                  <w:r>
                    <w:rPr>
                      <w:rFonts w:hint="default" w:ascii="Times New Roman" w:hAnsi="Times New Roman" w:cs="Times New Roman"/>
                      <w:color w:val="auto"/>
                    </w:rPr>
                    <w:t>化粪池（1个，5m³）处理</w:t>
                  </w:r>
                  <w:r>
                    <w:rPr>
                      <w:rFonts w:hint="default" w:ascii="Times New Roman" w:hAnsi="Times New Roman" w:cs="Times New Roman"/>
                      <w:color w:val="auto"/>
                      <w:lang w:eastAsia="zh-CN"/>
                    </w:rPr>
                    <w:t>后定期清掏用于周边农田施肥</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初期雨水</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在事故应急池1侧设置1个容积</w:t>
                  </w:r>
                  <w:r>
                    <w:rPr>
                      <w:rFonts w:hint="default" w:ascii="Times New Roman" w:hAnsi="Times New Roman" w:cs="Times New Roman"/>
                      <w:color w:val="auto"/>
                      <w:lang w:val="en-US" w:eastAsia="zh-CN"/>
                    </w:rPr>
                    <w:t>30</w:t>
                  </w:r>
                  <w:r>
                    <w:rPr>
                      <w:rFonts w:hint="default" w:ascii="Times New Roman" w:hAnsi="Times New Roman" w:cs="Times New Roman"/>
                      <w:color w:val="auto"/>
                      <w:lang w:eastAsia="zh-CN"/>
                    </w:rPr>
                    <w:t>m³的初期雨水池，初期雨水收集后进入一体化污水处理站处置</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噪声</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生产车间</w:t>
                  </w:r>
                  <w:r>
                    <w:rPr>
                      <w:rFonts w:hint="default" w:ascii="Times New Roman" w:hAnsi="Times New Roman" w:cs="Times New Roman"/>
                      <w:color w:val="auto"/>
                    </w:rPr>
                    <w:t>设置为全封闭车间，对高噪声设备采取减振降噪措施</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restar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shd w:val="clear" w:fill="FFFFFF"/>
                    </w:rPr>
                    <w:t>固废</w:t>
                  </w: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危险废物</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危废暂存间</w:t>
                  </w:r>
                  <w:r>
                    <w:rPr>
                      <w:rFonts w:hint="default" w:ascii="Times New Roman" w:hAnsi="Times New Roman" w:cs="Times New Roman"/>
                      <w:color w:val="auto"/>
                      <w:lang w:eastAsia="zh-CN"/>
                    </w:rPr>
                    <w:t>，</w:t>
                  </w:r>
                  <w:r>
                    <w:rPr>
                      <w:rFonts w:hint="default" w:ascii="Times New Roman" w:hAnsi="Times New Roman" w:cs="Times New Roman"/>
                      <w:color w:val="auto"/>
                    </w:rPr>
                    <w:t>1间，建筑面积15㎡，砖混结构，重点防渗，全封闭；地面及墙裙进行防渗及防腐处理；用于各类危险废物分区储存，等效黏土防渗层Mb≥6.0m，K≤1×10</w:t>
                  </w:r>
                  <w:r>
                    <w:rPr>
                      <w:rFonts w:hint="eastAsia" w:cs="Times New Roman"/>
                      <w:color w:val="auto"/>
                      <w:vertAlign w:val="superscript"/>
                      <w:lang w:val="en-US" w:eastAsia="zh-CN"/>
                    </w:rPr>
                    <w:t>-</w:t>
                  </w:r>
                  <w:r>
                    <w:rPr>
                      <w:rFonts w:hint="default" w:ascii="Times New Roman" w:hAnsi="Times New Roman" w:cs="Times New Roman"/>
                      <w:color w:val="auto"/>
                      <w:vertAlign w:val="superscript"/>
                    </w:rPr>
                    <w:t>10</w:t>
                  </w:r>
                  <w:r>
                    <w:rPr>
                      <w:rFonts w:hint="default" w:ascii="Times New Roman" w:hAnsi="Times New Roman" w:cs="Times New Roman"/>
                      <w:color w:val="auto"/>
                    </w:rPr>
                    <w:t>cm/s；或参照GB18598执行，规范化设置危险废物识别标志和标牌</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一般固废</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一般固废</w:t>
                  </w:r>
                  <w:r>
                    <w:rPr>
                      <w:rFonts w:hint="default" w:ascii="Times New Roman" w:hAnsi="Times New Roman" w:cs="Times New Roman"/>
                      <w:color w:val="auto"/>
                      <w:shd w:val="clear" w:fill="FFFFFF"/>
                      <w:lang w:eastAsia="zh-CN"/>
                    </w:rPr>
                    <w:t>间</w:t>
                  </w:r>
                  <w:r>
                    <w:rPr>
                      <w:rFonts w:hint="default" w:ascii="Times New Roman" w:hAnsi="Times New Roman" w:cs="Times New Roman"/>
                      <w:color w:val="auto"/>
                    </w:rPr>
                    <w:t>1间，建筑面积15㎡，砖混结构，</w:t>
                  </w:r>
                  <w:r>
                    <w:rPr>
                      <w:rFonts w:hint="default" w:ascii="Times New Roman" w:hAnsi="Times New Roman" w:cs="Times New Roman"/>
                      <w:color w:val="auto"/>
                      <w:lang w:eastAsia="zh-CN"/>
                    </w:rPr>
                    <w:t>一般</w:t>
                  </w:r>
                  <w:r>
                    <w:rPr>
                      <w:rFonts w:hint="default" w:ascii="Times New Roman" w:hAnsi="Times New Roman" w:cs="Times New Roman"/>
                      <w:color w:val="auto"/>
                    </w:rPr>
                    <w:t>防渗</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271" w:type="pct"/>
                  <w:vMerge w:val="continue"/>
                  <w:shd w:val="clear" w:color="auto" w:fill="auto"/>
                  <w:vAlign w:val="center"/>
                </w:tcPr>
                <w:p>
                  <w:pPr>
                    <w:pStyle w:val="68"/>
                    <w:rPr>
                      <w:rFonts w:hint="default" w:ascii="Times New Roman" w:hAnsi="Times New Roman" w:cs="Times New Roman"/>
                      <w:color w:val="auto"/>
                    </w:rPr>
                  </w:pPr>
                </w:p>
              </w:tc>
              <w:tc>
                <w:tcPr>
                  <w:tcW w:w="487" w:type="pct"/>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生活垃圾</w:t>
                  </w:r>
                </w:p>
              </w:tc>
              <w:tc>
                <w:tcPr>
                  <w:tcW w:w="2331" w:type="pct"/>
                  <w:tcBorders>
                    <w:right w:val="single" w:color="auto" w:sz="4" w:space="0"/>
                  </w:tcBorders>
                  <w:shd w:val="clear" w:color="auto" w:fill="auto"/>
                  <w:vAlign w:val="center"/>
                </w:tcPr>
                <w:p>
                  <w:pPr>
                    <w:pStyle w:val="68"/>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办公区设置120L的生活垃圾桶若干</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restart"/>
                  <w:tcBorders>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环境风险防范</w:t>
                  </w:r>
                </w:p>
              </w:tc>
              <w:tc>
                <w:tcPr>
                  <w:tcW w:w="2331"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危废暂存间设置围堰，角落设置废液收集池</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2331"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污水池一侧设置1个事故应急池，容积为</w:t>
                  </w:r>
                  <w:r>
                    <w:rPr>
                      <w:rFonts w:hint="default" w:ascii="Times New Roman" w:hAnsi="Times New Roman" w:cs="Times New Roman"/>
                      <w:color w:val="auto"/>
                      <w:lang w:val="en-US" w:eastAsia="zh-CN"/>
                    </w:rPr>
                    <w:t>100</w:t>
                  </w:r>
                  <w:r>
                    <w:rPr>
                      <w:rFonts w:hint="default" w:ascii="Times New Roman" w:hAnsi="Times New Roman" w:cs="Times New Roman"/>
                      <w:color w:val="auto"/>
                      <w:lang w:eastAsia="zh-CN"/>
                    </w:rPr>
                    <w:t>m³</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2331"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成品油罐四周设置围堰，围堰占地面积80㎡，围堰高度0.8m，围堰有效收集容积64m³</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lang w:val="en-US"/>
                    </w:rPr>
                  </w:pPr>
                  <w:r>
                    <w:rPr>
                      <w:rFonts w:hint="default" w:ascii="Times New Roman" w:hAnsi="Times New Roman" w:cs="Times New Roman"/>
                      <w:color w:val="auto"/>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2" w:type="pct"/>
                  <w:vMerge w:val="continue"/>
                  <w:shd w:val="clear" w:color="auto" w:fill="auto"/>
                  <w:vAlign w:val="center"/>
                </w:tcPr>
                <w:p>
                  <w:pPr>
                    <w:pStyle w:val="68"/>
                    <w:rPr>
                      <w:rFonts w:hint="default" w:ascii="Times New Roman" w:hAnsi="Times New Roman" w:cs="Times New Roman"/>
                      <w:color w:val="auto"/>
                    </w:rPr>
                  </w:pPr>
                </w:p>
              </w:tc>
              <w:tc>
                <w:tcPr>
                  <w:tcW w:w="758" w:type="pct"/>
                  <w:gridSpan w:val="2"/>
                  <w:vMerge w:val="continue"/>
                  <w:tcBorders>
                    <w:right w:val="single" w:color="auto" w:sz="4" w:space="0"/>
                  </w:tcBorders>
                  <w:shd w:val="clear" w:color="auto" w:fill="auto"/>
                  <w:vAlign w:val="center"/>
                </w:tcPr>
                <w:p>
                  <w:pPr>
                    <w:pStyle w:val="68"/>
                    <w:rPr>
                      <w:rFonts w:hint="default" w:ascii="Times New Roman" w:hAnsi="Times New Roman" w:cs="Times New Roman"/>
                      <w:color w:val="auto"/>
                    </w:rPr>
                  </w:pPr>
                </w:p>
              </w:tc>
              <w:tc>
                <w:tcPr>
                  <w:tcW w:w="2331" w:type="pct"/>
                  <w:tcBorders>
                    <w:left w:val="single" w:color="auto" w:sz="4" w:space="0"/>
                    <w:righ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生产车间配置灭火器等环境应急物资</w:t>
                  </w:r>
                </w:p>
              </w:tc>
              <w:tc>
                <w:tcPr>
                  <w:tcW w:w="1486" w:type="pct"/>
                  <w:tcBorders>
                    <w:left w:val="single" w:color="auto" w:sz="4" w:space="0"/>
                  </w:tcBorders>
                  <w:shd w:val="clear" w:color="auto" w:fill="auto"/>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环评提出</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变更后</w:t>
            </w:r>
            <w:r>
              <w:rPr>
                <w:rFonts w:hint="default" w:ascii="Times New Roman" w:hAnsi="Times New Roman" w:cs="Times New Roman"/>
                <w:color w:val="auto"/>
              </w:rPr>
              <w:t>产品方案</w:t>
            </w:r>
          </w:p>
          <w:p>
            <w:pPr>
              <w:ind w:firstLine="480"/>
              <w:rPr>
                <w:rFonts w:hint="default" w:ascii="Times New Roman" w:hAnsi="Times New Roman" w:cs="Times New Roman"/>
                <w:color w:val="auto"/>
              </w:rPr>
            </w:pPr>
            <w:r>
              <w:rPr>
                <w:rFonts w:hint="default" w:ascii="Times New Roman" w:hAnsi="Times New Roman" w:cs="Times New Roman"/>
                <w:color w:val="auto"/>
              </w:rPr>
              <w:t>本项目日处理餐厨垃圾30t，运营期主产品为</w:t>
            </w:r>
            <w:r>
              <w:rPr>
                <w:rFonts w:hint="default" w:ascii="Times New Roman" w:hAnsi="Times New Roman" w:cs="Times New Roman"/>
                <w:color w:val="auto"/>
                <w:szCs w:val="21"/>
              </w:rPr>
              <w:t>粗油脂</w:t>
            </w:r>
            <w:r>
              <w:rPr>
                <w:rFonts w:hint="default" w:ascii="Times New Roman" w:hAnsi="Times New Roman" w:cs="Times New Roman"/>
                <w:bCs/>
                <w:color w:val="auto"/>
              </w:rPr>
              <w:t>，副产品为</w:t>
            </w:r>
            <w:r>
              <w:rPr>
                <w:rFonts w:hint="default" w:ascii="Times New Roman" w:hAnsi="Times New Roman" w:cs="Times New Roman"/>
                <w:color w:val="auto"/>
                <w:szCs w:val="21"/>
              </w:rPr>
              <w:t>有机肥原料</w:t>
            </w:r>
            <w:r>
              <w:rPr>
                <w:rFonts w:hint="default" w:ascii="Times New Roman" w:hAnsi="Times New Roman" w:cs="Times New Roman"/>
                <w:bCs/>
                <w:color w:val="auto"/>
              </w:rPr>
              <w:t>，</w:t>
            </w:r>
            <w:r>
              <w:rPr>
                <w:rFonts w:hint="default" w:ascii="Times New Roman" w:hAnsi="Times New Roman" w:cs="Times New Roman"/>
                <w:color w:val="auto"/>
              </w:rPr>
              <w:t>本项目餐厨垃圾平均含油率3.8%，项目年处理餐厨垃圾9000t，则粗油脂产生量为342t/a</w:t>
            </w:r>
            <w:r>
              <w:rPr>
                <w:rFonts w:hint="default" w:ascii="Times New Roman" w:hAnsi="Times New Roman" w:cs="Times New Roman"/>
                <w:color w:val="auto"/>
                <w:lang w:eastAsia="zh-CN"/>
              </w:rPr>
              <w:t>；</w:t>
            </w:r>
            <w:r>
              <w:rPr>
                <w:rFonts w:hint="default" w:ascii="Times New Roman" w:hAnsi="Times New Roman" w:cs="Times New Roman"/>
                <w:color w:val="auto"/>
              </w:rPr>
              <w:t>三相分离后有5%的水分仍然在粗油脂中无法分离，则最后得到的粗油脂为792t/a，项目产品方案如下：</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本项目产品方案一览表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922"/>
              <w:gridCol w:w="1358"/>
              <w:gridCol w:w="3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3"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22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866"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产量（t/年）</w:t>
                  </w:r>
                </w:p>
              </w:tc>
              <w:tc>
                <w:tcPr>
                  <w:tcW w:w="234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122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粗</w:t>
                  </w:r>
                  <w:r>
                    <w:rPr>
                      <w:rFonts w:hint="default" w:ascii="Times New Roman" w:hAnsi="Times New Roman" w:cs="Times New Roman"/>
                      <w:color w:val="auto"/>
                      <w:szCs w:val="21"/>
                      <w:lang w:val="en-US" w:eastAsia="zh-CN"/>
                    </w:rPr>
                    <w:t>油脂</w:t>
                  </w:r>
                </w:p>
              </w:tc>
              <w:tc>
                <w:tcPr>
                  <w:tcW w:w="866"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359.1</w:t>
                  </w:r>
                </w:p>
              </w:tc>
              <w:tc>
                <w:tcPr>
                  <w:tcW w:w="234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储存成品</w:t>
                  </w:r>
                  <w:r>
                    <w:rPr>
                      <w:rFonts w:hint="default" w:ascii="Times New Roman" w:hAnsi="Times New Roman" w:cs="Times New Roman"/>
                      <w:color w:val="auto"/>
                      <w:lang w:eastAsia="zh-CN"/>
                    </w:rPr>
                    <w:t>油罐</w:t>
                  </w:r>
                  <w:r>
                    <w:rPr>
                      <w:rFonts w:hint="default" w:ascii="Times New Roman" w:hAnsi="Times New Roman" w:cs="Times New Roman"/>
                      <w:color w:val="auto"/>
                    </w:rPr>
                    <w:t>，</w:t>
                  </w:r>
                  <w:r>
                    <w:rPr>
                      <w:rFonts w:hint="default" w:ascii="Times New Roman" w:hAnsi="Times New Roman" w:cs="Times New Roman"/>
                      <w:color w:val="auto"/>
                      <w:lang w:eastAsia="zh-CN"/>
                    </w:rPr>
                    <w:t>定期</w:t>
                  </w:r>
                  <w:r>
                    <w:rPr>
                      <w:rFonts w:hint="default" w:ascii="Times New Roman" w:hAnsi="Times New Roman" w:cs="Times New Roman"/>
                      <w:color w:val="auto"/>
                    </w:rPr>
                    <w:t>外售至四川蓝邦新能源科技有限公司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w:t>
                  </w:r>
                </w:p>
              </w:tc>
              <w:tc>
                <w:tcPr>
                  <w:tcW w:w="122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有机肥</w:t>
                  </w:r>
                  <w:r>
                    <w:rPr>
                      <w:rFonts w:hint="default" w:ascii="Times New Roman" w:hAnsi="Times New Roman" w:cs="Times New Roman"/>
                      <w:color w:val="auto"/>
                      <w:szCs w:val="21"/>
                      <w:lang w:eastAsia="zh-CN"/>
                    </w:rPr>
                    <w:t>原料（半成品）</w:t>
                  </w:r>
                </w:p>
              </w:tc>
              <w:tc>
                <w:tcPr>
                  <w:tcW w:w="866"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1285</w:t>
                  </w:r>
                </w:p>
              </w:tc>
              <w:tc>
                <w:tcPr>
                  <w:tcW w:w="2345" w:type="pct"/>
                  <w:tcBorders>
                    <w:top w:val="single" w:color="auto" w:sz="4" w:space="0"/>
                    <w:left w:val="single" w:color="auto" w:sz="4" w:space="0"/>
                    <w:bottom w:val="single" w:color="auto" w:sz="4" w:space="0"/>
                    <w:right w:val="single" w:color="auto" w:sz="4" w:space="0"/>
                  </w:tcBorders>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rPr>
                    <w:t>储存于</w:t>
                  </w:r>
                  <w:r>
                    <w:rPr>
                      <w:rFonts w:hint="default" w:ascii="Times New Roman" w:hAnsi="Times New Roman" w:cs="Times New Roman"/>
                      <w:color w:val="auto"/>
                      <w:lang w:eastAsia="zh-CN"/>
                    </w:rPr>
                    <w:t>临时暂存库</w:t>
                  </w:r>
                  <w:r>
                    <w:rPr>
                      <w:rFonts w:hint="default" w:ascii="Times New Roman" w:hAnsi="Times New Roman" w:cs="Times New Roman"/>
                      <w:color w:val="auto"/>
                    </w:rPr>
                    <w:t>，</w:t>
                  </w:r>
                  <w:r>
                    <w:rPr>
                      <w:rFonts w:hint="default" w:ascii="Times New Roman" w:hAnsi="Times New Roman" w:cs="Times New Roman"/>
                      <w:color w:val="auto"/>
                      <w:lang w:eastAsia="zh-CN"/>
                    </w:rPr>
                    <w:t>定期</w:t>
                  </w:r>
                  <w:r>
                    <w:rPr>
                      <w:rFonts w:hint="default" w:ascii="Times New Roman" w:hAnsi="Times New Roman" w:cs="Times New Roman"/>
                      <w:color w:val="auto"/>
                    </w:rPr>
                    <w:t>外售</w:t>
                  </w:r>
                  <w:r>
                    <w:rPr>
                      <w:rFonts w:hint="default" w:ascii="Times New Roman" w:hAnsi="Times New Roman" w:cs="Times New Roman"/>
                      <w:color w:val="auto"/>
                      <w:shd w:val="clear" w:fill="FFFFFF"/>
                    </w:rPr>
                    <w:t>至</w:t>
                  </w:r>
                  <w:r>
                    <w:rPr>
                      <w:rFonts w:hint="default" w:ascii="Times New Roman" w:hAnsi="Times New Roman" w:cs="Times New Roman"/>
                      <w:color w:val="auto"/>
                      <w:lang w:eastAsia="zh-CN"/>
                    </w:rPr>
                    <w:t>师宗周边有机肥厂家</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产品生产、储存情况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本项目产生的有机肥原料在项目区临时暂存库进行暂存，暂存周期为21d，暂存周期内定期清运</w:t>
            </w:r>
            <w:r>
              <w:rPr>
                <w:rFonts w:hint="default" w:ascii="Times New Roman" w:hAnsi="Times New Roman" w:cs="Times New Roman"/>
                <w:color w:val="auto"/>
                <w:shd w:val="clear" w:fill="FFFFFF"/>
              </w:rPr>
              <w:t>外售至</w:t>
            </w:r>
            <w:r>
              <w:rPr>
                <w:rFonts w:hint="default" w:ascii="Times New Roman" w:hAnsi="Times New Roman" w:cs="Times New Roman"/>
                <w:color w:val="auto"/>
              </w:rPr>
              <w:t>师宗县周边有机肥厂商。</w:t>
            </w:r>
          </w:p>
          <w:p>
            <w:pPr>
              <w:ind w:firstLine="480"/>
              <w:rPr>
                <w:rFonts w:hint="default" w:ascii="Times New Roman" w:hAnsi="Times New Roman" w:cs="Times New Roman"/>
                <w:color w:val="auto"/>
              </w:rPr>
            </w:pPr>
            <w:r>
              <w:rPr>
                <w:rFonts w:hint="default" w:ascii="Times New Roman" w:hAnsi="Times New Roman" w:cs="Times New Roman"/>
                <w:color w:val="auto"/>
              </w:rPr>
              <w:t>粗油脂装在单个容积30m³的密闭储油罐内，储存过程中不产生恶臭气体，每月外运出售至四川蓝邦新能源科技有限公司，最大储存量为48t。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项目资源化利用产品规格指标</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74"/>
              <w:gridCol w:w="2644"/>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8" w:type="dxa"/>
                  <w:vAlign w:val="center"/>
                </w:tcPr>
                <w:p>
                  <w:pPr>
                    <w:pStyle w:val="68"/>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产品名称</w:t>
                  </w:r>
                </w:p>
              </w:tc>
              <w:tc>
                <w:tcPr>
                  <w:tcW w:w="1274"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规格</w:t>
                  </w:r>
                </w:p>
              </w:tc>
              <w:tc>
                <w:tcPr>
                  <w:tcW w:w="2644"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清运方式</w:t>
                  </w:r>
                </w:p>
              </w:tc>
              <w:tc>
                <w:tcPr>
                  <w:tcW w:w="1959"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质量指标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粗</w:t>
                  </w:r>
                  <w:r>
                    <w:rPr>
                      <w:rFonts w:hint="default" w:ascii="Times New Roman" w:hAnsi="Times New Roman" w:cs="Times New Roman"/>
                      <w:color w:val="auto"/>
                      <w:szCs w:val="21"/>
                      <w:lang w:val="en-US" w:eastAsia="zh-CN"/>
                    </w:rPr>
                    <w:t>油脂</w:t>
                  </w:r>
                </w:p>
              </w:tc>
              <w:tc>
                <w:tcPr>
                  <w:tcW w:w="1274"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w:t>
                  </w:r>
                </w:p>
              </w:tc>
              <w:tc>
                <w:tcPr>
                  <w:tcW w:w="2644"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车辆转运，每月转运1次</w:t>
                  </w:r>
                </w:p>
              </w:tc>
              <w:tc>
                <w:tcPr>
                  <w:tcW w:w="1959"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含水率≤5%，油脂含量≥95%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有机肥</w:t>
                  </w:r>
                  <w:r>
                    <w:rPr>
                      <w:rFonts w:hint="default" w:ascii="Times New Roman" w:hAnsi="Times New Roman" w:cs="Times New Roman"/>
                      <w:color w:val="auto"/>
                      <w:szCs w:val="21"/>
                      <w:lang w:eastAsia="zh-CN"/>
                    </w:rPr>
                    <w:t>原料</w:t>
                  </w:r>
                </w:p>
              </w:tc>
              <w:tc>
                <w:tcPr>
                  <w:tcW w:w="1274"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散装</w:t>
                  </w:r>
                </w:p>
              </w:tc>
              <w:tc>
                <w:tcPr>
                  <w:tcW w:w="2644"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rPr>
                    <w:t>暂存周期为21</w:t>
                  </w:r>
                  <w:r>
                    <w:rPr>
                      <w:rFonts w:hint="default" w:ascii="Times New Roman" w:hAnsi="Times New Roman" w:cs="Times New Roman"/>
                      <w:color w:val="auto"/>
                      <w:lang w:eastAsia="zh-CN"/>
                    </w:rPr>
                    <w:t>d，定期清运</w:t>
                  </w:r>
                </w:p>
              </w:tc>
              <w:tc>
                <w:tcPr>
                  <w:tcW w:w="195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rPr>
                    <w:t>含水率≤30%</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szCs w:val="21"/>
              </w:rPr>
              <w:t>粗油脂理化性质</w:t>
            </w:r>
          </w:p>
          <w:p>
            <w:pPr>
              <w:ind w:firstLine="480"/>
              <w:rPr>
                <w:rFonts w:hint="default" w:ascii="Times New Roman" w:hAnsi="Times New Roman" w:cs="Times New Roman"/>
                <w:color w:val="auto"/>
              </w:rPr>
            </w:pPr>
            <w:r>
              <w:rPr>
                <w:rFonts w:hint="default" w:ascii="Times New Roman" w:hAnsi="Times New Roman" w:cs="Times New Roman"/>
                <w:color w:val="auto"/>
                <w:szCs w:val="21"/>
              </w:rPr>
              <w:t>粗</w:t>
            </w:r>
            <w:r>
              <w:rPr>
                <w:rFonts w:hint="default" w:ascii="Times New Roman" w:hAnsi="Times New Roman" w:cs="Times New Roman"/>
                <w:color w:val="auto"/>
              </w:rPr>
              <w:t>油脂为半凝固态，红色或棕褐色，有异味，具有易氧化、酸败和易挥发等特性，油脂的密度比水小，难溶于水，易溶于汽油，乙醚、氯仿等有机溶剂，没有恒定的熔沸点。成分性质详见下表。本项目分离得到的粗油脂全部外售。</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 xml:space="preserve">9 </w:t>
            </w:r>
            <w:r>
              <w:rPr>
                <w:rFonts w:hint="default" w:ascii="Times New Roman" w:hAnsi="Times New Roman" w:cs="Times New Roman"/>
                <w:color w:val="auto"/>
              </w:rPr>
              <w:t xml:space="preserve"> 粗油脂的成分性质（除水分外）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416"/>
              <w:gridCol w:w="870"/>
              <w:gridCol w:w="1368"/>
              <w:gridCol w:w="1307"/>
              <w:gridCol w:w="932"/>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22"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参数</w:t>
                  </w:r>
                </w:p>
              </w:tc>
              <w:tc>
                <w:tcPr>
                  <w:tcW w:w="1416" w:type="dxa"/>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酸值</w:t>
                  </w:r>
                </w:p>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shd w:val="clear" w:fill="FFFFFF"/>
                      <w:lang w:eastAsia="zh-CN"/>
                    </w:rPr>
                    <w:t>mgKOH</w:t>
                  </w:r>
                  <w:r>
                    <w:rPr>
                      <w:rFonts w:hint="default" w:ascii="Times New Roman" w:hAnsi="Times New Roman" w:cs="Times New Roman"/>
                      <w:b/>
                      <w:bCs/>
                      <w:color w:val="auto"/>
                      <w:lang w:eastAsia="zh-CN"/>
                    </w:rPr>
                    <w:t>/g)</w:t>
                  </w:r>
                </w:p>
              </w:tc>
              <w:tc>
                <w:tcPr>
                  <w:tcW w:w="870"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密度</w:t>
                  </w:r>
                </w:p>
                <w:p>
                  <w:pPr>
                    <w:pStyle w:val="68"/>
                    <w:rPr>
                      <w:rFonts w:hint="default" w:ascii="Times New Roman" w:hAnsi="Times New Roman" w:cs="Times New Roman"/>
                      <w:b/>
                      <w:bCs/>
                      <w:color w:val="auto"/>
                    </w:rPr>
                  </w:pPr>
                  <w:r>
                    <w:rPr>
                      <w:rFonts w:hint="default" w:ascii="Times New Roman" w:hAnsi="Times New Roman" w:cs="Times New Roman"/>
                      <w:b/>
                      <w:bCs/>
                      <w:color w:val="auto"/>
                    </w:rPr>
                    <w:t>(g/mL)</w:t>
                  </w:r>
                </w:p>
              </w:tc>
              <w:tc>
                <w:tcPr>
                  <w:tcW w:w="1368"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皂化值</w:t>
                  </w:r>
                </w:p>
                <w:p>
                  <w:pPr>
                    <w:pStyle w:val="68"/>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shd w:val="clear" w:fill="FFFFFF"/>
                    </w:rPr>
                    <w:t>mgKOH</w:t>
                  </w:r>
                  <w:r>
                    <w:rPr>
                      <w:rFonts w:hint="default" w:ascii="Times New Roman" w:hAnsi="Times New Roman" w:cs="Times New Roman"/>
                      <w:b/>
                      <w:bCs/>
                      <w:color w:val="auto"/>
                    </w:rPr>
                    <w:t>/g)</w:t>
                  </w:r>
                </w:p>
              </w:tc>
              <w:tc>
                <w:tcPr>
                  <w:tcW w:w="1307"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脂肪酸甘油酯占比</w:t>
                  </w:r>
                  <w:r>
                    <w:rPr>
                      <w:rFonts w:hint="default" w:ascii="Times New Roman" w:hAnsi="Times New Roman" w:cs="Times New Roman"/>
                      <w:b/>
                      <w:bCs/>
                      <w:color w:val="auto"/>
                      <w:lang w:eastAsia="zh-CN"/>
                    </w:rPr>
                    <w:t>（</w:t>
                  </w:r>
                  <w:r>
                    <w:rPr>
                      <w:rFonts w:hint="default" w:ascii="Times New Roman" w:hAnsi="Times New Roman" w:cs="Times New Roman"/>
                      <w:b/>
                      <w:bCs/>
                      <w:color w:val="auto"/>
                    </w:rPr>
                    <w:t>%</w:t>
                  </w:r>
                  <w:r>
                    <w:rPr>
                      <w:rFonts w:hint="default" w:ascii="Times New Roman" w:hAnsi="Times New Roman" w:cs="Times New Roman"/>
                      <w:b/>
                      <w:bCs/>
                      <w:color w:val="auto"/>
                      <w:lang w:eastAsia="zh-CN"/>
                    </w:rPr>
                    <w:t>）</w:t>
                  </w:r>
                </w:p>
              </w:tc>
              <w:tc>
                <w:tcPr>
                  <w:tcW w:w="932"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甘油占比</w:t>
                  </w:r>
                  <w:r>
                    <w:rPr>
                      <w:rFonts w:hint="default" w:ascii="Times New Roman" w:hAnsi="Times New Roman" w:cs="Times New Roman"/>
                      <w:b/>
                      <w:bCs/>
                      <w:color w:val="auto"/>
                      <w:lang w:eastAsia="zh-CN"/>
                    </w:rPr>
                    <w:t>（</w:t>
                  </w:r>
                  <w:r>
                    <w:rPr>
                      <w:rFonts w:hint="default" w:ascii="Times New Roman" w:hAnsi="Times New Roman" w:cs="Times New Roman"/>
                      <w:b/>
                      <w:bCs/>
                      <w:color w:val="auto"/>
                    </w:rPr>
                    <w:t>%</w:t>
                  </w:r>
                  <w:r>
                    <w:rPr>
                      <w:rFonts w:hint="default" w:ascii="Times New Roman" w:hAnsi="Times New Roman" w:cs="Times New Roman"/>
                      <w:b/>
                      <w:bCs/>
                      <w:color w:val="auto"/>
                      <w:lang w:eastAsia="zh-CN"/>
                    </w:rPr>
                    <w:t>）</w:t>
                  </w:r>
                </w:p>
              </w:tc>
              <w:tc>
                <w:tcPr>
                  <w:tcW w:w="1120"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杂质占比</w:t>
                  </w:r>
                </w:p>
                <w:p>
                  <w:pPr>
                    <w:pStyle w:val="68"/>
                    <w:rPr>
                      <w:rFonts w:hint="default" w:ascii="Times New Roman" w:hAnsi="Times New Roman" w:cs="Times New Roman"/>
                      <w:b/>
                      <w:bCs/>
                      <w:color w:val="auto"/>
                    </w:rPr>
                  </w:pPr>
                  <w:r>
                    <w:rPr>
                      <w:rFonts w:hint="default" w:ascii="Times New Roman" w:hAnsi="Times New Roman" w:cs="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2"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数值</w:t>
                  </w:r>
                </w:p>
              </w:tc>
              <w:tc>
                <w:tcPr>
                  <w:tcW w:w="1416"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4.51</w:t>
                  </w:r>
                </w:p>
              </w:tc>
              <w:tc>
                <w:tcPr>
                  <w:tcW w:w="870"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0.91</w:t>
                  </w:r>
                </w:p>
              </w:tc>
              <w:tc>
                <w:tcPr>
                  <w:tcW w:w="1368"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185.74</w:t>
                  </w:r>
                </w:p>
              </w:tc>
              <w:tc>
                <w:tcPr>
                  <w:tcW w:w="1307"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90.15</w:t>
                  </w:r>
                </w:p>
              </w:tc>
              <w:tc>
                <w:tcPr>
                  <w:tcW w:w="932"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9.02</w:t>
                  </w:r>
                </w:p>
              </w:tc>
              <w:tc>
                <w:tcPr>
                  <w:tcW w:w="1120" w:type="dxa"/>
                  <w:vAlign w:val="center"/>
                </w:tcPr>
                <w:p>
                  <w:pPr>
                    <w:pStyle w:val="68"/>
                    <w:rPr>
                      <w:rFonts w:hint="default" w:ascii="Times New Roman" w:hAnsi="Times New Roman" w:cs="Times New Roman"/>
                      <w:color w:val="auto"/>
                    </w:rPr>
                  </w:pPr>
                  <w:r>
                    <w:rPr>
                      <w:rFonts w:hint="default" w:ascii="Times New Roman" w:hAnsi="Times New Roman" w:cs="Times New Roman"/>
                      <w:color w:val="auto"/>
                    </w:rPr>
                    <w:t>0.83</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有机肥原料理化性质</w:t>
            </w:r>
          </w:p>
          <w:p>
            <w:pPr>
              <w:ind w:firstLine="480"/>
              <w:rPr>
                <w:rFonts w:hint="default" w:ascii="Times New Roman" w:hAnsi="Times New Roman" w:cs="Times New Roman"/>
                <w:color w:val="auto"/>
              </w:rPr>
            </w:pPr>
            <w:r>
              <w:rPr>
                <w:rFonts w:hint="default" w:ascii="Times New Roman" w:hAnsi="Times New Roman" w:cs="Times New Roman"/>
                <w:color w:val="auto"/>
              </w:rPr>
              <w:t>经过好氧发酵仓处理后的有机肥原料含水率≤30%，可以保持良好的松软度和可塑性，用手紧握有少量水分，一般来说物料含水率在35%以内属于干法堆存，本项目有机肥原辅料堆存在暂存库内，暂存库设有</w:t>
            </w:r>
            <w:r>
              <w:rPr>
                <w:rFonts w:hint="default" w:ascii="Times New Roman" w:hAnsi="Times New Roman" w:cs="Times New Roman"/>
                <w:color w:val="auto"/>
                <w:shd w:val="clear" w:fill="FFFFFF"/>
              </w:rPr>
              <w:t>彩钢</w:t>
            </w:r>
            <w:r>
              <w:rPr>
                <w:rFonts w:hint="default" w:ascii="Times New Roman" w:hAnsi="Times New Roman" w:cs="Times New Roman"/>
                <w:color w:val="auto"/>
              </w:rPr>
              <w:t>大棚，满足三防要求，不会有雨水混入，在暂存过程中基本不会产生渗滤液。</w:t>
            </w:r>
          </w:p>
          <w:p>
            <w:pPr>
              <w:pStyle w:val="84"/>
              <w:ind w:firstLine="482"/>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变更后</w:t>
            </w:r>
            <w:r>
              <w:rPr>
                <w:rFonts w:hint="default" w:ascii="Times New Roman" w:hAnsi="Times New Roman" w:cs="Times New Roman"/>
                <w:color w:val="auto"/>
              </w:rPr>
              <w:t>主要生产设备</w:t>
            </w:r>
          </w:p>
          <w:p>
            <w:pPr>
              <w:ind w:firstLine="480"/>
              <w:rPr>
                <w:rFonts w:hint="default" w:ascii="Times New Roman" w:hAnsi="Times New Roman" w:cs="Times New Roman"/>
                <w:color w:val="auto"/>
              </w:rPr>
            </w:pPr>
            <w:r>
              <w:rPr>
                <w:rFonts w:hint="default" w:ascii="Times New Roman" w:hAnsi="Times New Roman" w:cs="Times New Roman"/>
                <w:color w:val="auto"/>
              </w:rPr>
              <w:t>本项目主要生产设备见表2.1-</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10</w:t>
            </w:r>
            <w:r>
              <w:rPr>
                <w:rFonts w:hint="default" w:ascii="Times New Roman" w:hAnsi="Times New Roman" w:cs="Times New Roman"/>
                <w:color w:val="auto"/>
              </w:rPr>
              <w:t xml:space="preserve"> 本项目主要生产设备一览表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36"/>
              <w:gridCol w:w="1153"/>
              <w:gridCol w:w="1676"/>
              <w:gridCol w:w="1221"/>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设备名称</w:t>
                  </w:r>
                </w:p>
              </w:tc>
              <w:tc>
                <w:tcPr>
                  <w:tcW w:w="40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数量</w:t>
                  </w:r>
                </w:p>
              </w:tc>
              <w:tc>
                <w:tcPr>
                  <w:tcW w:w="3889" w:type="pct"/>
                  <w:gridSpan w:val="4"/>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进料</w:t>
                  </w:r>
                  <w:r>
                    <w:rPr>
                      <w:rFonts w:hint="default" w:ascii="Times New Roman" w:hAnsi="Times New Roman" w:cs="Times New Roman"/>
                      <w:color w:val="auto"/>
                    </w:rPr>
                    <w:t>料仓</w:t>
                  </w:r>
                </w:p>
              </w:tc>
              <w:tc>
                <w:tcPr>
                  <w:tcW w:w="405" w:type="pct"/>
                  <w:vMerge w:val="restar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外形尺寸</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3500*2000*2000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11</w:t>
                  </w:r>
                  <w:r>
                    <w:rPr>
                      <w:rFonts w:hint="default" w:ascii="Times New Roman" w:hAnsi="Times New Roman" w:cs="Times New Roman"/>
                      <w:color w:val="auto"/>
                      <w:shd w:val="clear" w:fill="FFFFFF"/>
                    </w:rPr>
                    <w:t>KW</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螺旋直径</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重量</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3.8T</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筛网缝隙</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容积</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10m</w:t>
                  </w:r>
                  <w:r>
                    <w:rPr>
                      <w:rFonts w:hint="default" w:ascii="Times New Roman" w:hAnsi="Times New Roman" w:cs="Times New Roman"/>
                      <w:color w:val="auto"/>
                      <w:vertAlign w:val="superscript"/>
                    </w:rPr>
                    <w:t>3</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普钢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固液分离甩干</w:t>
                  </w:r>
                  <w:r>
                    <w:rPr>
                      <w:rFonts w:hint="default" w:ascii="Times New Roman" w:hAnsi="Times New Roman" w:cs="Times New Roman"/>
                      <w:color w:val="auto"/>
                    </w:rPr>
                    <w:t>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卧式螺旋卸料沉降机</w:t>
                  </w:r>
                  <w:r>
                    <w:rPr>
                      <w:rFonts w:hint="default" w:ascii="Times New Roman" w:hAnsi="Times New Roman" w:cs="Times New Roman"/>
                      <w:color w:val="auto"/>
                      <w:lang w:eastAsia="zh-CN"/>
                    </w:rPr>
                    <w:t>）</w:t>
                  </w:r>
                </w:p>
              </w:tc>
              <w:tc>
                <w:tcPr>
                  <w:tcW w:w="405" w:type="pct"/>
                  <w:vMerge w:val="restar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型号</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CTYZ400</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重量</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500</w:t>
                  </w:r>
                  <w:r>
                    <w:rPr>
                      <w:rFonts w:hint="default" w:ascii="Times New Roman" w:hAnsi="Times New Roman" w:cs="Times New Roman"/>
                      <w:color w:val="auto"/>
                      <w:shd w:val="clear" w:fill="FFFFFF"/>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滤网直径</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11</w:t>
                  </w:r>
                  <w:r>
                    <w:rPr>
                      <w:rFonts w:hint="default" w:ascii="Times New Roman" w:hAnsi="Times New Roman" w:cs="Times New Roman"/>
                      <w:color w:val="auto"/>
                      <w:shd w:val="clear" w:fill="FFFFFF"/>
                    </w:rPr>
                    <w:t>KW</w:t>
                  </w:r>
                </w:p>
              </w:tc>
              <w:tc>
                <w:tcPr>
                  <w:tcW w:w="778"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306"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接触物料部分304不锈钢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处理量</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8T/H</w:t>
                  </w:r>
                </w:p>
              </w:tc>
              <w:tc>
                <w:tcPr>
                  <w:tcW w:w="778" w:type="pct"/>
                  <w:vMerge w:val="continue"/>
                  <w:vAlign w:val="center"/>
                </w:tcPr>
                <w:p>
                  <w:pPr>
                    <w:pStyle w:val="68"/>
                    <w:rPr>
                      <w:rFonts w:hint="default" w:ascii="Times New Roman" w:hAnsi="Times New Roman" w:cs="Times New Roman"/>
                      <w:color w:val="auto"/>
                    </w:rPr>
                  </w:pPr>
                </w:p>
              </w:tc>
              <w:tc>
                <w:tcPr>
                  <w:tcW w:w="1306" w:type="pct"/>
                  <w:vMerge w:val="continue"/>
                  <w:vAlign w:val="center"/>
                </w:tcPr>
                <w:p>
                  <w:pPr>
                    <w:pStyle w:val="68"/>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shd w:val="clear" w:fill="FFFFFF"/>
                    </w:rPr>
                    <w:t>无轴</w:t>
                  </w:r>
                  <w:r>
                    <w:rPr>
                      <w:rFonts w:hint="default" w:ascii="Times New Roman" w:hAnsi="Times New Roman" w:cs="Times New Roman"/>
                      <w:color w:val="auto"/>
                    </w:rPr>
                    <w:t>螺旋提升机</w:t>
                  </w:r>
                </w:p>
              </w:tc>
              <w:tc>
                <w:tcPr>
                  <w:tcW w:w="405" w:type="pct"/>
                  <w:vMerge w:val="restar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处理量</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6T/H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5.5</w:t>
                  </w:r>
                  <w:r>
                    <w:rPr>
                      <w:rFonts w:hint="default" w:ascii="Times New Roman" w:hAnsi="Times New Roman" w:cs="Times New Roman"/>
                      <w:color w:val="auto"/>
                      <w:shd w:val="clear" w:fill="FFFFFF"/>
                    </w:rPr>
                    <w:t>KW</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直径</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普钢</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长度</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有</w:t>
                  </w:r>
                  <w:r>
                    <w:rPr>
                      <w:rFonts w:hint="default" w:ascii="Times New Roman" w:hAnsi="Times New Roman" w:cs="Times New Roman"/>
                      <w:color w:val="auto"/>
                      <w:shd w:val="clear" w:fill="FFFFFF"/>
                    </w:rPr>
                    <w:t>轴</w:t>
                  </w:r>
                  <w:r>
                    <w:rPr>
                      <w:rFonts w:hint="default" w:ascii="Times New Roman" w:hAnsi="Times New Roman" w:cs="Times New Roman"/>
                      <w:color w:val="auto"/>
                    </w:rPr>
                    <w:t>螺旋提升机</w:t>
                  </w:r>
                </w:p>
              </w:tc>
              <w:tc>
                <w:tcPr>
                  <w:tcW w:w="405"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处理量</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eastAsia="zh-CN"/>
                    </w:rPr>
                    <w:t>—</w:t>
                  </w:r>
                  <w:r>
                    <w:rPr>
                      <w:rFonts w:hint="default" w:ascii="Times New Roman" w:hAnsi="Times New Roman" w:cs="Times New Roman"/>
                      <w:color w:val="auto"/>
                    </w:rPr>
                    <w:t>6T/H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5.5</w:t>
                  </w:r>
                  <w:r>
                    <w:rPr>
                      <w:rFonts w:hint="default" w:ascii="Times New Roman" w:hAnsi="Times New Roman" w:cs="Times New Roman"/>
                      <w:color w:val="auto"/>
                      <w:shd w:val="clear" w:fill="FFFFFF"/>
                    </w:rPr>
                    <w:t>KW</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直径</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普钢</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尺寸</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有机肥好氧发酵仓</w:t>
                  </w:r>
                </w:p>
              </w:tc>
              <w:tc>
                <w:tcPr>
                  <w:tcW w:w="405"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型号</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ZDPH-20</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工作温度</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55-60</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容积</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40</w:t>
                  </w:r>
                  <w:r>
                    <w:rPr>
                      <w:rFonts w:hint="default" w:ascii="Times New Roman" w:hAnsi="Times New Roman" w:cs="Times New Roman"/>
                      <w:color w:val="auto"/>
                      <w:szCs w:val="21"/>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30</w:t>
                  </w:r>
                  <w:r>
                    <w:rPr>
                      <w:rFonts w:hint="default" w:ascii="Times New Roman" w:hAnsi="Times New Roman" w:cs="Times New Roman"/>
                      <w:color w:val="auto"/>
                      <w:szCs w:val="21"/>
                      <w:shd w:val="clear" w:fill="FFFFFF"/>
                    </w:rPr>
                    <w:t>KW</w:t>
                  </w:r>
                </w:p>
              </w:tc>
              <w:tc>
                <w:tcPr>
                  <w:tcW w:w="778"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材质</w:t>
                  </w:r>
                </w:p>
              </w:tc>
              <w:tc>
                <w:tcPr>
                  <w:tcW w:w="1306"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接触物料部分304不锈材质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处理周期</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szCs w:val="21"/>
                    </w:rPr>
                    <w:t>48</w:t>
                  </w:r>
                  <w:r>
                    <w:rPr>
                      <w:rFonts w:hint="default" w:ascii="Times New Roman" w:hAnsi="Times New Roman" w:cs="Times New Roman"/>
                      <w:color w:val="auto"/>
                      <w:szCs w:val="21"/>
                      <w:lang w:eastAsia="zh-CN"/>
                    </w:rPr>
                    <w:t>小时</w:t>
                  </w:r>
                </w:p>
              </w:tc>
              <w:tc>
                <w:tcPr>
                  <w:tcW w:w="778" w:type="pct"/>
                  <w:vMerge w:val="continue"/>
                  <w:vAlign w:val="center"/>
                </w:tcPr>
                <w:p>
                  <w:pPr>
                    <w:pStyle w:val="68"/>
                    <w:rPr>
                      <w:rFonts w:hint="default" w:ascii="Times New Roman" w:hAnsi="Times New Roman" w:cs="Times New Roman"/>
                      <w:color w:val="auto"/>
                    </w:rPr>
                  </w:pPr>
                </w:p>
              </w:tc>
              <w:tc>
                <w:tcPr>
                  <w:tcW w:w="1306" w:type="pct"/>
                  <w:vMerge w:val="continue"/>
                  <w:vAlign w:val="center"/>
                </w:tcPr>
                <w:p>
                  <w:pPr>
                    <w:pStyle w:val="68"/>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三相</w:t>
                  </w:r>
                  <w:r>
                    <w:rPr>
                      <w:rFonts w:hint="default" w:ascii="Times New Roman" w:hAnsi="Times New Roman" w:cs="Times New Roman"/>
                      <w:color w:val="auto"/>
                      <w:shd w:val="clear" w:fill="FFFFFF"/>
                    </w:rPr>
                    <w:t>卧螺</w:t>
                  </w:r>
                  <w:r>
                    <w:rPr>
                      <w:rFonts w:hint="default" w:ascii="Times New Roman" w:hAnsi="Times New Roman" w:cs="Times New Roman"/>
                      <w:color w:val="auto"/>
                    </w:rPr>
                    <w:t>分离机</w:t>
                  </w:r>
                </w:p>
              </w:tc>
              <w:tc>
                <w:tcPr>
                  <w:tcW w:w="405"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电源</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380V</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处理量</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32</w:t>
                  </w:r>
                  <w:r>
                    <w:rPr>
                      <w:rFonts w:hint="default" w:ascii="Times New Roman" w:hAnsi="Times New Roman" w:cs="Times New Roman"/>
                      <w:color w:val="auto"/>
                      <w:shd w:val="clear" w:fill="FFFFFF"/>
                    </w:rPr>
                    <w:t>KW</w:t>
                  </w:r>
                </w:p>
              </w:tc>
              <w:tc>
                <w:tcPr>
                  <w:tcW w:w="77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工作温度</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120</w:t>
                  </w:r>
                  <w:r>
                    <w:rPr>
                      <w:rFonts w:hint="default" w:ascii="Times New Roman" w:hAnsi="Times New Roman" w:cs="Times New Roman"/>
                      <w:color w:val="auto"/>
                      <w:szCs w:val="21"/>
                    </w:rPr>
                    <w:t>-160</w:t>
                  </w: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特种钢材</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尺寸</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420*1800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生物质锅炉（含低氮燃烧器）</w:t>
                  </w:r>
                </w:p>
              </w:tc>
              <w:tc>
                <w:tcPr>
                  <w:tcW w:w="405"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1台</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燃料</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生物质成型燃料</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用水类型</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功率</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val="en-US" w:eastAsia="zh-CN"/>
                    </w:rPr>
                    <w:t>2.2</w:t>
                  </w:r>
                  <w:r>
                    <w:rPr>
                      <w:rFonts w:hint="default" w:ascii="Times New Roman" w:hAnsi="Times New Roman" w:cs="Times New Roman"/>
                      <w:color w:val="auto"/>
                      <w:lang w:eastAsia="zh-CN"/>
                    </w:rPr>
                    <w:t>t/h</w:t>
                  </w:r>
                </w:p>
              </w:tc>
              <w:tc>
                <w:tcPr>
                  <w:tcW w:w="778"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热效率</w:t>
                  </w:r>
                </w:p>
              </w:tc>
              <w:tc>
                <w:tcPr>
                  <w:tcW w:w="1306"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规格型号</w:t>
                  </w:r>
                </w:p>
              </w:tc>
              <w:tc>
                <w:tcPr>
                  <w:tcW w:w="1068"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SQLS2.2-009-SM</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材质</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不锈</w:t>
                  </w:r>
                  <w:r>
                    <w:rPr>
                      <w:rFonts w:hint="default" w:ascii="Times New Roman" w:hAnsi="Times New Roman" w:cs="Times New Roman"/>
                      <w:color w:val="auto"/>
                      <w:lang w:eastAsia="zh-CN"/>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重量</w:t>
                  </w:r>
                </w:p>
              </w:tc>
              <w:tc>
                <w:tcPr>
                  <w:tcW w:w="1068" w:type="pct"/>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3.2t</w:t>
                  </w:r>
                </w:p>
              </w:tc>
              <w:tc>
                <w:tcPr>
                  <w:tcW w:w="778"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使用压力</w:t>
                  </w:r>
                </w:p>
              </w:tc>
              <w:tc>
                <w:tcPr>
                  <w:tcW w:w="1306"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2582" w:type="pct"/>
                  <w:gridSpan w:val="3"/>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产品尺寸</w:t>
                  </w:r>
                </w:p>
              </w:tc>
              <w:tc>
                <w:tcPr>
                  <w:tcW w:w="1306" w:type="pct"/>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2400mm×1700mm×2550mm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成品油罐</w:t>
                  </w:r>
                </w:p>
              </w:tc>
              <w:tc>
                <w:tcPr>
                  <w:tcW w:w="405" w:type="pct"/>
                  <w:vMerge w:val="restar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2个</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容积</w:t>
                  </w:r>
                </w:p>
              </w:tc>
              <w:tc>
                <w:tcPr>
                  <w:tcW w:w="106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30</w:t>
                  </w:r>
                  <w:r>
                    <w:rPr>
                      <w:rFonts w:hint="default" w:ascii="Times New Roman" w:hAnsi="Times New Roman" w:cs="Times New Roman"/>
                      <w:color w:val="auto"/>
                      <w:szCs w:val="21"/>
                      <w:lang w:eastAsia="zh-CN"/>
                    </w:rPr>
                    <w:t>m³/个</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材质</w:t>
                  </w:r>
                </w:p>
              </w:tc>
              <w:tc>
                <w:tcPr>
                  <w:tcW w:w="1306"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不锈</w:t>
                  </w:r>
                  <w:r>
                    <w:rPr>
                      <w:rFonts w:hint="default" w:ascii="Times New Roman" w:hAnsi="Times New Roman" w:cs="Times New Roman"/>
                      <w:color w:val="auto"/>
                      <w:lang w:eastAsia="zh-CN"/>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continue"/>
                  <w:vAlign w:val="center"/>
                </w:tcPr>
                <w:p>
                  <w:pPr>
                    <w:pStyle w:val="68"/>
                    <w:rPr>
                      <w:rFonts w:hint="default" w:ascii="Times New Roman" w:hAnsi="Times New Roman" w:cs="Times New Roman"/>
                      <w:color w:val="auto"/>
                    </w:rPr>
                  </w:pPr>
                </w:p>
              </w:tc>
              <w:tc>
                <w:tcPr>
                  <w:tcW w:w="405" w:type="pct"/>
                  <w:vMerge w:val="continue"/>
                  <w:vAlign w:val="center"/>
                </w:tcPr>
                <w:p>
                  <w:pPr>
                    <w:pStyle w:val="68"/>
                    <w:rPr>
                      <w:rFonts w:hint="default" w:ascii="Times New Roman" w:hAnsi="Times New Roman" w:cs="Times New Roman"/>
                      <w:color w:val="auto"/>
                    </w:rPr>
                  </w:pP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类型</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立式储罐</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高度</w:t>
                  </w:r>
                </w:p>
              </w:tc>
              <w:tc>
                <w:tcPr>
                  <w:tcW w:w="1306"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餐厨垃圾运输车</w:t>
                  </w:r>
                </w:p>
              </w:tc>
              <w:tc>
                <w:tcPr>
                  <w:tcW w:w="40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辆</w:t>
                  </w:r>
                </w:p>
              </w:tc>
              <w:tc>
                <w:tcPr>
                  <w:tcW w:w="73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类型</w:t>
                  </w:r>
                </w:p>
              </w:tc>
              <w:tc>
                <w:tcPr>
                  <w:tcW w:w="106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专用罐车</w:t>
                  </w:r>
                </w:p>
              </w:tc>
              <w:tc>
                <w:tcPr>
                  <w:tcW w:w="778"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罐体容积</w:t>
                  </w:r>
                </w:p>
              </w:tc>
              <w:tc>
                <w:tcPr>
                  <w:tcW w:w="1306"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20</w:t>
                  </w:r>
                  <w:r>
                    <w:rPr>
                      <w:rFonts w:hint="default" w:ascii="Times New Roman" w:hAnsi="Times New Roman" w:cs="Times New Roman"/>
                      <w:color w:val="auto"/>
                      <w:szCs w:val="21"/>
                      <w:lang w:eastAsia="zh-CN"/>
                    </w:rPr>
                    <w:t>m³/个</w:t>
                  </w:r>
                </w:p>
              </w:tc>
            </w:tr>
          </w:tbl>
          <w:p>
            <w:pPr>
              <w:ind w:firstLine="480"/>
              <w:rPr>
                <w:rFonts w:hint="default" w:ascii="Times New Roman" w:hAnsi="Times New Roman" w:cs="Times New Roman"/>
                <w:color w:val="auto"/>
              </w:rPr>
            </w:pPr>
            <w:r>
              <w:rPr>
                <w:rFonts w:hint="default" w:ascii="Times New Roman" w:hAnsi="Times New Roman" w:cs="Times New Roman"/>
                <w:color w:val="auto"/>
              </w:rPr>
              <w:t>本项目主要环保设备/设施见表2.1-</w:t>
            </w:r>
            <w:r>
              <w:rPr>
                <w:rFonts w:hint="default" w:ascii="Times New Roman" w:hAnsi="Times New Roman" w:cs="Times New Roman"/>
                <w:color w:val="auto"/>
                <w:lang w:val="en-US" w:eastAsia="zh-CN"/>
              </w:rPr>
              <w:t>11</w:t>
            </w:r>
            <w:r>
              <w:rPr>
                <w:rFonts w:hint="default" w:ascii="Times New Roman" w:hAnsi="Times New Roman" w:cs="Times New Roman"/>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11</w:t>
            </w:r>
            <w:r>
              <w:rPr>
                <w:rFonts w:hint="default" w:ascii="Times New Roman" w:hAnsi="Times New Roman" w:cs="Times New Roman"/>
                <w:color w:val="auto"/>
              </w:rPr>
              <w:t xml:space="preserve"> 本项目主要环保设备/设施一览表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597"/>
              <w:gridCol w:w="688"/>
              <w:gridCol w:w="2126"/>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pct"/>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rPr>
                    <w:t>名称</w:t>
                  </w:r>
                </w:p>
              </w:tc>
              <w:tc>
                <w:tcPr>
                  <w:tcW w:w="380" w:type="pct"/>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数量</w:t>
                  </w:r>
                </w:p>
              </w:tc>
              <w:tc>
                <w:tcPr>
                  <w:tcW w:w="438"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单位</w:t>
                  </w:r>
                </w:p>
              </w:tc>
              <w:tc>
                <w:tcPr>
                  <w:tcW w:w="1355"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规格</w:t>
                  </w:r>
                </w:p>
              </w:tc>
              <w:tc>
                <w:tcPr>
                  <w:tcW w:w="1403"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68"/>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废水处理环保设施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一体化污水处理站</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处理规模</w:t>
                  </w:r>
                  <w:r>
                    <w:rPr>
                      <w:rFonts w:hint="default" w:ascii="Times New Roman" w:hAnsi="Times New Roman" w:cs="Times New Roman"/>
                      <w:color w:val="auto"/>
                      <w:lang w:val="en-US" w:eastAsia="zh-CN"/>
                    </w:rPr>
                    <w:t>31</w:t>
                  </w:r>
                  <w:r>
                    <w:rPr>
                      <w:rFonts w:hint="default" w:ascii="Times New Roman" w:hAnsi="Times New Roman" w:cs="Times New Roman"/>
                      <w:color w:val="auto"/>
                      <w:lang w:eastAsia="zh-CN"/>
                    </w:rPr>
                    <w:t>m³/d</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“格栅+调节池+气浮沉淀预处理+UASB厌氧处理+两级AO+MBR膜处理”工艺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板框压滤机</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台</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污水处理站配套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污水运输车</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辆</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罐体容积15m³</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用于污水运送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初期雨水池</w:t>
                  </w:r>
                </w:p>
              </w:tc>
              <w:tc>
                <w:tcPr>
                  <w:tcW w:w="38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个</w:t>
                  </w:r>
                </w:p>
              </w:tc>
              <w:tc>
                <w:tcPr>
                  <w:tcW w:w="1355"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容积2m³</w:t>
                  </w:r>
                </w:p>
              </w:tc>
              <w:tc>
                <w:tcPr>
                  <w:tcW w:w="1403"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污水池</w:t>
                  </w:r>
                </w:p>
              </w:tc>
              <w:tc>
                <w:tcPr>
                  <w:tcW w:w="38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个</w:t>
                  </w:r>
                </w:p>
              </w:tc>
              <w:tc>
                <w:tcPr>
                  <w:tcW w:w="1355"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容积</w:t>
                  </w:r>
                  <w:r>
                    <w:rPr>
                      <w:rFonts w:hint="default" w:ascii="Times New Roman" w:hAnsi="Times New Roman" w:cs="Times New Roman"/>
                      <w:color w:val="auto"/>
                      <w:lang w:val="en-US" w:eastAsia="zh-CN"/>
                    </w:rPr>
                    <w:t>100</w:t>
                  </w:r>
                  <w:r>
                    <w:rPr>
                      <w:rFonts w:hint="default" w:ascii="Times New Roman" w:hAnsi="Times New Roman" w:cs="Times New Roman"/>
                      <w:color w:val="auto"/>
                      <w:lang w:eastAsia="zh-CN"/>
                    </w:rPr>
                    <w:t>m³</w:t>
                  </w:r>
                </w:p>
              </w:tc>
              <w:tc>
                <w:tcPr>
                  <w:tcW w:w="1403"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pct"/>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锅炉废水收集塑料桶</w:t>
                  </w:r>
                </w:p>
              </w:tc>
              <w:tc>
                <w:tcPr>
                  <w:tcW w:w="380" w:type="pct"/>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438" w:type="pct"/>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个</w:t>
                  </w:r>
                </w:p>
              </w:tc>
              <w:tc>
                <w:tcPr>
                  <w:tcW w:w="1355" w:type="pct"/>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容积3</w:t>
                  </w:r>
                  <w:r>
                    <w:rPr>
                      <w:rFonts w:hint="default" w:ascii="Times New Roman" w:hAnsi="Times New Roman" w:cs="Times New Roman"/>
                      <w:color w:val="auto"/>
                      <w:lang w:val="en-US" w:eastAsia="zh-CN"/>
                    </w:rPr>
                    <w:t>00L</w:t>
                  </w:r>
                </w:p>
              </w:tc>
              <w:tc>
                <w:tcPr>
                  <w:tcW w:w="1403" w:type="pct"/>
                  <w:vAlign w:val="center"/>
                </w:tcPr>
                <w:p>
                  <w:pPr>
                    <w:pStyle w:val="68"/>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锅炉排污水配套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事故应急池</w:t>
                  </w:r>
                </w:p>
              </w:tc>
              <w:tc>
                <w:tcPr>
                  <w:tcW w:w="38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个</w:t>
                  </w:r>
                </w:p>
              </w:tc>
              <w:tc>
                <w:tcPr>
                  <w:tcW w:w="1355"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容积</w:t>
                  </w:r>
                  <w:r>
                    <w:rPr>
                      <w:rFonts w:hint="default" w:ascii="Times New Roman" w:hAnsi="Times New Roman" w:cs="Times New Roman"/>
                      <w:color w:val="auto"/>
                      <w:lang w:val="en-US" w:eastAsia="zh-CN"/>
                    </w:rPr>
                    <w:t>10</w:t>
                  </w:r>
                  <w:r>
                    <w:rPr>
                      <w:rFonts w:hint="default" w:ascii="Times New Roman" w:hAnsi="Times New Roman" w:cs="Times New Roman"/>
                      <w:color w:val="auto"/>
                      <w:lang w:eastAsia="zh-CN"/>
                    </w:rPr>
                    <w:t>0m³</w:t>
                  </w:r>
                </w:p>
              </w:tc>
              <w:tc>
                <w:tcPr>
                  <w:tcW w:w="1403"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清洗废水收集管网</w:t>
                  </w:r>
                </w:p>
              </w:tc>
              <w:tc>
                <w:tcPr>
                  <w:tcW w:w="38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DN150，长度40m</w:t>
                  </w:r>
                </w:p>
              </w:tc>
              <w:tc>
                <w:tcPr>
                  <w:tcW w:w="1403"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shd w:val="clear" w:fill="FFFFFF"/>
                      <w:lang w:eastAsia="zh-CN"/>
                    </w:rPr>
                    <w:t>沿</w:t>
                  </w:r>
                  <w:r>
                    <w:rPr>
                      <w:rFonts w:hint="default" w:ascii="Times New Roman" w:hAnsi="Times New Roman" w:cs="Times New Roman"/>
                      <w:color w:val="auto"/>
                      <w:lang w:eastAsia="zh-CN"/>
                    </w:rPr>
                    <w:t>处置车间内部地势较低一侧布设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初期雨水沟</w:t>
                  </w:r>
                </w:p>
              </w:tc>
              <w:tc>
                <w:tcPr>
                  <w:tcW w:w="380"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规格40cm×40cm×40cm，长度60m</w:t>
                  </w:r>
                </w:p>
              </w:tc>
              <w:tc>
                <w:tcPr>
                  <w:tcW w:w="1403" w:type="pct"/>
                  <w:vAlign w:val="center"/>
                </w:tcPr>
                <w:p>
                  <w:pPr>
                    <w:pStyle w:val="68"/>
                    <w:ind w:firstLine="0" w:firstLineChars="0"/>
                    <w:rPr>
                      <w:rFonts w:hint="default" w:ascii="Times New Roman" w:hAnsi="Times New Roman" w:cs="Times New Roman"/>
                      <w:color w:val="auto"/>
                      <w:lang w:eastAsia="zh-CN"/>
                    </w:rPr>
                  </w:pPr>
                  <w:r>
                    <w:rPr>
                      <w:rFonts w:hint="default" w:ascii="Times New Roman" w:hAnsi="Times New Roman" w:cs="Times New Roman"/>
                      <w:color w:val="auto"/>
                      <w:shd w:val="clear" w:fill="FFFFFF"/>
                      <w:lang w:eastAsia="zh-CN"/>
                    </w:rPr>
                    <w:t>沿</w:t>
                  </w:r>
                  <w:r>
                    <w:rPr>
                      <w:rFonts w:hint="default" w:ascii="Times New Roman" w:hAnsi="Times New Roman" w:cs="Times New Roman"/>
                      <w:color w:val="auto"/>
                      <w:lang w:eastAsia="zh-CN"/>
                    </w:rPr>
                    <w:t>厂区露天地面地势较低一侧布设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68"/>
                    <w:rPr>
                      <w:rFonts w:hint="default" w:ascii="Times New Roman" w:hAnsi="Times New Roman" w:cs="Times New Roman"/>
                      <w:color w:val="auto"/>
                      <w:lang w:eastAsia="zh-CN"/>
                    </w:rPr>
                  </w:pPr>
                  <w:r>
                    <w:rPr>
                      <w:rFonts w:hint="default" w:ascii="Times New Roman" w:hAnsi="Times New Roman" w:cs="Times New Roman"/>
                      <w:b/>
                      <w:bCs/>
                      <w:color w:val="auto"/>
                      <w:lang w:val="en-US" w:eastAsia="zh-CN"/>
                    </w:rPr>
                    <w:t>（2）废气处理环保设备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低氮燃烧器</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生物质锅炉配套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布袋除尘器</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生物质锅炉配套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生物洗涤塔</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循环水池尺寸长2m×宽1m×高1m，有效水深0.8m，有效容量为1.6m</w:t>
                  </w:r>
                  <w:r>
                    <w:rPr>
                      <w:rFonts w:hint="default" w:ascii="Times New Roman" w:hAnsi="Times New Roman" w:cs="Times New Roman"/>
                      <w:color w:val="auto"/>
                      <w:vertAlign w:val="superscript"/>
                      <w:lang w:val="en-US" w:eastAsia="zh-CN"/>
                    </w:rPr>
                    <w:t>3</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配套15m排气筒1根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处置车间废气收集设施</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套</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微负压收集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vAlign w:val="center"/>
                </w:tcPr>
                <w:p>
                  <w:pPr>
                    <w:pStyle w:val="68"/>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（3）固废处理环保设施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一般固废暂存间</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间</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建筑面积15㎡</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一般防渗处理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危废暂存间</w:t>
                  </w:r>
                </w:p>
              </w:tc>
              <w:tc>
                <w:tcPr>
                  <w:tcW w:w="38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w:t>
                  </w:r>
                </w:p>
              </w:tc>
              <w:tc>
                <w:tcPr>
                  <w:tcW w:w="438"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间</w:t>
                  </w:r>
                </w:p>
              </w:tc>
              <w:tc>
                <w:tcPr>
                  <w:tcW w:w="135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建筑面积15㎡</w:t>
                  </w:r>
                </w:p>
              </w:tc>
              <w:tc>
                <w:tcPr>
                  <w:tcW w:w="140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重点防渗处理</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t>4.主要原辅材料及燃料消耗量</w:t>
            </w:r>
          </w:p>
          <w:p>
            <w:pPr>
              <w:ind w:firstLine="480"/>
              <w:rPr>
                <w:rFonts w:hint="default" w:ascii="Times New Roman" w:hAnsi="Times New Roman" w:cs="Times New Roman"/>
                <w:color w:val="auto"/>
              </w:rPr>
            </w:pPr>
            <w:r>
              <w:rPr>
                <w:rFonts w:hint="default" w:ascii="Times New Roman" w:hAnsi="Times New Roman" w:cs="Times New Roman"/>
                <w:color w:val="auto"/>
              </w:rPr>
              <w:t>本项目主要原辅材料见下表</w:t>
            </w:r>
            <w:r>
              <w:rPr>
                <w:rFonts w:hint="default" w:ascii="Times New Roman" w:hAnsi="Times New Roman" w:cs="Times New Roman"/>
                <w:color w:val="auto"/>
                <w:lang w:val="en-US" w:eastAsia="zh-CN"/>
              </w:rPr>
              <w:t>2.1-12</w:t>
            </w:r>
            <w:r>
              <w:rPr>
                <w:rFonts w:hint="default" w:ascii="Times New Roman" w:hAnsi="Times New Roman" w:cs="Times New Roman"/>
                <w:color w:val="auto"/>
              </w:rPr>
              <w:t>。</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 xml:space="preserve">12 </w:t>
            </w:r>
            <w:r>
              <w:rPr>
                <w:rFonts w:hint="default" w:ascii="Times New Roman" w:hAnsi="Times New Roman" w:cs="Times New Roman"/>
                <w:color w:val="auto"/>
              </w:rPr>
              <w:t xml:space="preserve"> 项目原辅材料使用情况一览表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87"/>
              <w:gridCol w:w="1366"/>
              <w:gridCol w:w="1042"/>
              <w:gridCol w:w="1593"/>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373" w:type="pct"/>
                  <w:gridSpan w:val="2"/>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原料名称</w:t>
                  </w:r>
                </w:p>
              </w:tc>
              <w:tc>
                <w:tcPr>
                  <w:tcW w:w="664"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1015"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数量</w:t>
                  </w:r>
                </w:p>
              </w:tc>
              <w:tc>
                <w:tcPr>
                  <w:tcW w:w="1473"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501" w:type="pct"/>
                  <w:vMerge w:val="restar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餐厨垃圾</w:t>
                  </w:r>
                </w:p>
              </w:tc>
              <w:tc>
                <w:tcPr>
                  <w:tcW w:w="871"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食材废料</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t/a</w:t>
                  </w:r>
                </w:p>
              </w:tc>
              <w:tc>
                <w:tcPr>
                  <w:tcW w:w="101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2100</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7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w:t>
                  </w:r>
                </w:p>
              </w:tc>
              <w:tc>
                <w:tcPr>
                  <w:tcW w:w="501" w:type="pct"/>
                  <w:vMerge w:val="continue"/>
                  <w:vAlign w:val="center"/>
                </w:tcPr>
                <w:p>
                  <w:pPr>
                    <w:pStyle w:val="68"/>
                    <w:rPr>
                      <w:rFonts w:hint="default" w:ascii="Times New Roman" w:hAnsi="Times New Roman" w:cs="Times New Roman"/>
                      <w:color w:val="auto"/>
                    </w:rPr>
                  </w:pPr>
                </w:p>
              </w:tc>
              <w:tc>
                <w:tcPr>
                  <w:tcW w:w="87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泔水</w:t>
                  </w:r>
                </w:p>
              </w:tc>
              <w:tc>
                <w:tcPr>
                  <w:tcW w:w="664"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t/a</w:t>
                  </w:r>
                </w:p>
              </w:tc>
              <w:tc>
                <w:tcPr>
                  <w:tcW w:w="101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6000</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7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w:t>
                  </w:r>
                </w:p>
              </w:tc>
              <w:tc>
                <w:tcPr>
                  <w:tcW w:w="501" w:type="pct"/>
                  <w:vMerge w:val="continue"/>
                  <w:vAlign w:val="center"/>
                </w:tcPr>
                <w:p>
                  <w:pPr>
                    <w:pStyle w:val="68"/>
                    <w:rPr>
                      <w:rFonts w:hint="default" w:ascii="Times New Roman" w:hAnsi="Times New Roman" w:cs="Times New Roman"/>
                      <w:color w:val="auto"/>
                    </w:rPr>
                  </w:pPr>
                </w:p>
              </w:tc>
              <w:tc>
                <w:tcPr>
                  <w:tcW w:w="87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隔油池废油</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t/a</w:t>
                  </w:r>
                </w:p>
              </w:tc>
              <w:tc>
                <w:tcPr>
                  <w:tcW w:w="101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900</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w:t>
                  </w:r>
                  <w:r>
                    <w:rPr>
                      <w:rFonts w:hint="default" w:ascii="Times New Roman" w:hAnsi="Times New Roman" w:cs="Times New Roman"/>
                      <w:color w:val="auto"/>
                      <w:lang w:eastAsia="zh-CN"/>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0" w:type="pct"/>
                  <w:gridSpan w:val="4"/>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合计</w:t>
                  </w:r>
                </w:p>
              </w:tc>
              <w:tc>
                <w:tcPr>
                  <w:tcW w:w="1015" w:type="pct"/>
                  <w:vAlign w:val="center"/>
                </w:tcPr>
                <w:p>
                  <w:pPr>
                    <w:pStyle w:val="68"/>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9000t/a</w:t>
                  </w:r>
                </w:p>
              </w:tc>
              <w:tc>
                <w:tcPr>
                  <w:tcW w:w="147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w:t>
                  </w:r>
                </w:p>
              </w:tc>
              <w:tc>
                <w:tcPr>
                  <w:tcW w:w="1373"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电</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万</w:t>
                  </w:r>
                  <w:r>
                    <w:rPr>
                      <w:rFonts w:hint="default" w:ascii="Times New Roman" w:hAnsi="Times New Roman" w:cs="Times New Roman"/>
                      <w:color w:val="auto"/>
                      <w:lang w:eastAsia="zh-CN"/>
                    </w:rPr>
                    <w:t>kW</w:t>
                  </w:r>
                  <w:r>
                    <w:rPr>
                      <w:rFonts w:hint="default" w:ascii="Times New Roman" w:hAnsi="Times New Roman" w:cs="Times New Roman"/>
                      <w:color w:val="auto"/>
                    </w:rPr>
                    <w:t>/h</w:t>
                  </w:r>
                </w:p>
              </w:tc>
              <w:tc>
                <w:tcPr>
                  <w:tcW w:w="101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30</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彩云镇</w:t>
                  </w:r>
                  <w:r>
                    <w:rPr>
                      <w:rFonts w:hint="default" w:ascii="Times New Roman" w:hAnsi="Times New Roman" w:cs="Times New Roman"/>
                      <w:color w:val="auto"/>
                    </w:rPr>
                    <w:t>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5</w:t>
                  </w:r>
                </w:p>
              </w:tc>
              <w:tc>
                <w:tcPr>
                  <w:tcW w:w="1373"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rPr>
                    <w:t>新鲜水</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p>
              </w:tc>
              <w:tc>
                <w:tcPr>
                  <w:tcW w:w="1015" w:type="pct"/>
                  <w:vAlign w:val="center"/>
                </w:tcPr>
                <w:p>
                  <w:pPr>
                    <w:pStyle w:val="68"/>
                    <w:rPr>
                      <w:rFonts w:hint="default" w:ascii="Times New Roman" w:hAnsi="Times New Roman" w:eastAsia="宋体" w:cs="Times New Roman"/>
                      <w:color w:val="auto"/>
                      <w:lang w:val="en-US" w:eastAsia="zh-CN"/>
                    </w:rPr>
                  </w:pPr>
                  <w:r>
                    <w:rPr>
                      <w:rFonts w:hint="eastAsia" w:cs="Times New Roman"/>
                      <w:color w:val="auto"/>
                      <w:lang w:val="en-US" w:eastAsia="zh-CN"/>
                    </w:rPr>
                    <w:t>6432</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73" w:type="pct"/>
                  <w:vAlign w:val="center"/>
                </w:tcPr>
                <w:p>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373" w:type="pct"/>
                  <w:gridSpan w:val="2"/>
                  <w:vAlign w:val="center"/>
                </w:tcPr>
                <w:p>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生物质</w:t>
                  </w:r>
                  <w:r>
                    <w:rPr>
                      <w:rFonts w:hint="default" w:ascii="Times New Roman" w:hAnsi="Times New Roman" w:cs="Times New Roman"/>
                      <w:color w:val="auto"/>
                      <w:highlight w:val="none"/>
                      <w:lang w:eastAsia="zh-CN"/>
                    </w:rPr>
                    <w:t>成型燃料</w:t>
                  </w:r>
                </w:p>
              </w:tc>
              <w:tc>
                <w:tcPr>
                  <w:tcW w:w="664" w:type="pct"/>
                  <w:vAlign w:val="center"/>
                </w:tcPr>
                <w:p>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t/</w:t>
                  </w:r>
                  <w:r>
                    <w:rPr>
                      <w:rFonts w:hint="default" w:ascii="Times New Roman" w:hAnsi="Times New Roman" w:cs="Times New Roman"/>
                      <w:color w:val="auto"/>
                      <w:highlight w:val="none"/>
                      <w:lang w:eastAsia="zh-CN"/>
                    </w:rPr>
                    <w:t>a</w:t>
                  </w:r>
                </w:p>
              </w:tc>
              <w:tc>
                <w:tcPr>
                  <w:tcW w:w="1015" w:type="pct"/>
                  <w:vAlign w:val="center"/>
                </w:tcPr>
                <w:p>
                  <w:pPr>
                    <w:pStyle w:val="6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980</w:t>
                  </w:r>
                </w:p>
              </w:tc>
              <w:tc>
                <w:tcPr>
                  <w:tcW w:w="1473" w:type="pct"/>
                  <w:vAlign w:val="center"/>
                </w:tcPr>
                <w:p>
                  <w:pPr>
                    <w:pStyle w:val="68"/>
                    <w:rPr>
                      <w:rFonts w:hint="default" w:ascii="Times New Roman" w:hAnsi="Times New Roman" w:cs="Times New Roman"/>
                      <w:color w:val="auto"/>
                      <w:highlight w:val="none"/>
                    </w:rPr>
                  </w:pPr>
                  <w:r>
                    <w:rPr>
                      <w:rFonts w:hint="default" w:ascii="Times New Roman" w:hAnsi="Times New Roman" w:cs="Times New Roman"/>
                      <w:color w:val="auto"/>
                      <w:highlight w:val="none"/>
                    </w:rPr>
                    <w:t>师宗周边市场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7</w:t>
                  </w:r>
                </w:p>
              </w:tc>
              <w:tc>
                <w:tcPr>
                  <w:tcW w:w="1373" w:type="pct"/>
                  <w:gridSpan w:val="2"/>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好氧发酵菌剂</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101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40</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师宗周边市场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w:t>
                  </w:r>
                </w:p>
              </w:tc>
              <w:tc>
                <w:tcPr>
                  <w:tcW w:w="1373" w:type="pct"/>
                  <w:gridSpan w:val="2"/>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生物洗涤滤芯</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1015"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w:t>
                  </w:r>
                </w:p>
              </w:tc>
              <w:tc>
                <w:tcPr>
                  <w:tcW w:w="1473"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厂家提供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7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w:t>
                  </w:r>
                </w:p>
              </w:tc>
              <w:tc>
                <w:tcPr>
                  <w:tcW w:w="1373" w:type="pct"/>
                  <w:gridSpan w:val="2"/>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生物除臭剂</w:t>
                  </w:r>
                </w:p>
              </w:tc>
              <w:tc>
                <w:tcPr>
                  <w:tcW w:w="66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t/</w:t>
                  </w:r>
                  <w:r>
                    <w:rPr>
                      <w:rFonts w:hint="default" w:ascii="Times New Roman" w:hAnsi="Times New Roman" w:cs="Times New Roman"/>
                      <w:color w:val="auto"/>
                      <w:lang w:eastAsia="zh-CN"/>
                    </w:rPr>
                    <w:t>a</w:t>
                  </w:r>
                </w:p>
              </w:tc>
              <w:tc>
                <w:tcPr>
                  <w:tcW w:w="1015"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w:t>
                  </w:r>
                </w:p>
              </w:tc>
              <w:tc>
                <w:tcPr>
                  <w:tcW w:w="1473"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rPr>
                    <w:t>师宗周边市场</w:t>
                  </w:r>
                </w:p>
              </w:tc>
            </w:tr>
          </w:tbl>
          <w:p>
            <w:pPr>
              <w:pStyle w:val="84"/>
              <w:ind w:firstLine="482"/>
              <w:rPr>
                <w:rFonts w:hint="default" w:ascii="Times New Roman" w:hAnsi="Times New Roman" w:cs="Times New Roman"/>
                <w:color w:val="auto"/>
              </w:rPr>
            </w:pPr>
            <w:r>
              <w:rPr>
                <w:rFonts w:hint="default" w:ascii="Times New Roman" w:hAnsi="Times New Roman" w:cs="Times New Roman"/>
                <w:color w:val="auto"/>
              </w:rPr>
              <w:t>餐厨垃圾的主要特点：</w:t>
            </w:r>
          </w:p>
          <w:p>
            <w:pPr>
              <w:bidi w:val="0"/>
              <w:rPr>
                <w:rFonts w:hint="default" w:ascii="Times New Roman" w:hAnsi="Times New Roman" w:cs="Times New Roman"/>
                <w:color w:val="auto"/>
              </w:rPr>
            </w:pPr>
            <w:r>
              <w:rPr>
                <w:rFonts w:hint="default" w:ascii="Times New Roman" w:hAnsi="Times New Roman" w:cs="Times New Roman"/>
                <w:color w:val="auto"/>
              </w:rPr>
              <w:t>①高含水率。餐厨垃圾的含水率高（水的质量分数70%</w:t>
            </w:r>
            <w:r>
              <w:rPr>
                <w:rFonts w:hint="default" w:ascii="Times New Roman" w:hAnsi="Times New Roman" w:cs="Times New Roman"/>
                <w:color w:val="auto"/>
                <w:lang w:eastAsia="zh-CN"/>
              </w:rPr>
              <w:t>～</w:t>
            </w:r>
            <w:r>
              <w:rPr>
                <w:rFonts w:hint="default" w:ascii="Times New Roman" w:hAnsi="Times New Roman" w:cs="Times New Roman"/>
                <w:color w:val="auto"/>
              </w:rPr>
              <w:t>90%），这给其收集、运输和处理都带来很大难度。垃圾渗滤水可通过地表径流和渗透作用，污染地表水和地下水，而且由于餐厨垃圾单位质量的热值在2100kJ/kg左右，不能满足垃圾焚烧发电的热值要求。</w:t>
            </w:r>
          </w:p>
          <w:p>
            <w:pPr>
              <w:ind w:firstLine="480"/>
              <w:rPr>
                <w:rFonts w:hint="default" w:ascii="Times New Roman" w:hAnsi="Times New Roman" w:cs="Times New Roman"/>
                <w:color w:val="auto"/>
              </w:rPr>
            </w:pPr>
            <w:r>
              <w:rPr>
                <w:rFonts w:hint="default" w:ascii="Times New Roman" w:hAnsi="Times New Roman" w:cs="Times New Roman"/>
                <w:color w:val="auto"/>
              </w:rPr>
              <w:t>②易腐烂。餐厨垃圾中有机物含量高（约占干物质质量的95%以上），易腐败发臭，易滋生病菌，会造成疾病的传播。</w:t>
            </w:r>
          </w:p>
          <w:p>
            <w:pPr>
              <w:ind w:firstLine="480"/>
              <w:rPr>
                <w:rFonts w:hint="default" w:ascii="Times New Roman" w:hAnsi="Times New Roman" w:cs="Times New Roman"/>
                <w:color w:val="auto"/>
              </w:rPr>
            </w:pPr>
            <w:r>
              <w:rPr>
                <w:rFonts w:hint="default" w:ascii="Times New Roman" w:hAnsi="Times New Roman" w:cs="Times New Roman"/>
                <w:color w:val="auto"/>
              </w:rPr>
              <w:t>③营养丰富。除了有机物含量高外，餐厨垃圾还富含氮、磷、钾、钙以及各种微量元素，具有营养元素齐全，再利用价值高等特点。</w:t>
            </w:r>
            <w:r>
              <w:rPr>
                <w:rFonts w:hint="default" w:ascii="Times New Roman" w:hAnsi="Times New Roman" w:cs="Times New Roman"/>
                <w:color w:val="auto"/>
                <w:shd w:val="clear" w:fill="FFFFFF"/>
              </w:rPr>
              <w:t>厨余</w:t>
            </w:r>
            <w:r>
              <w:rPr>
                <w:rFonts w:hint="default" w:ascii="Times New Roman" w:hAnsi="Times New Roman" w:cs="Times New Roman"/>
                <w:color w:val="auto"/>
              </w:rPr>
              <w:t>中的糖类含量比率大，而泔水则以蛋白质、淀粉和动物脂肪类等为主要成分，且含盐、油脂量高（可达泔水总量的20%～30%，其中相当部分是游离态）。</w:t>
            </w:r>
          </w:p>
          <w:p>
            <w:pPr>
              <w:ind w:firstLine="480"/>
              <w:rPr>
                <w:rFonts w:hint="default" w:ascii="Times New Roman" w:hAnsi="Times New Roman" w:cs="Times New Roman"/>
                <w:color w:val="auto"/>
              </w:rPr>
            </w:pPr>
            <w:r>
              <w:rPr>
                <w:rFonts w:hint="default" w:ascii="Times New Roman" w:hAnsi="Times New Roman" w:cs="Times New Roman"/>
                <w:color w:val="auto"/>
              </w:rPr>
              <w:t>④再利用价值高。除了有机物含量高外，餐厨垃圾还富含氮、磷、钾、钙以及多种微量元素，具有营养元素齐全，再利用价值高等特点。餐</w:t>
            </w:r>
            <w:r>
              <w:rPr>
                <w:rFonts w:hint="default" w:ascii="Times New Roman" w:hAnsi="Times New Roman" w:cs="Times New Roman"/>
                <w:color w:val="auto"/>
                <w:shd w:val="clear" w:fill="FFFFFF"/>
              </w:rPr>
              <w:t>厨</w:t>
            </w:r>
            <w:r>
              <w:rPr>
                <w:rFonts w:hint="default" w:ascii="Times New Roman" w:hAnsi="Times New Roman" w:cs="Times New Roman"/>
                <w:color w:val="auto"/>
              </w:rPr>
              <w:t>中的糖类含量比率大，而泔水则以蛋白质、淀粉和动物脂肪类等为主要成分，且含盐、油脂</w:t>
            </w:r>
            <w:r>
              <w:rPr>
                <w:rFonts w:hint="default" w:ascii="Times New Roman" w:hAnsi="Times New Roman" w:cs="Times New Roman"/>
                <w:color w:val="auto"/>
                <w:lang w:eastAsia="zh-CN"/>
              </w:rPr>
              <w:t>含量</w:t>
            </w:r>
            <w:r>
              <w:rPr>
                <w:rFonts w:hint="default" w:ascii="Times New Roman" w:hAnsi="Times New Roman" w:cs="Times New Roman"/>
                <w:color w:val="auto"/>
              </w:rPr>
              <w:t>高。</w:t>
            </w:r>
          </w:p>
          <w:p>
            <w:pPr>
              <w:ind w:firstLine="480"/>
              <w:rPr>
                <w:rFonts w:hint="default" w:ascii="Times New Roman" w:hAnsi="Times New Roman" w:cs="Times New Roman"/>
                <w:color w:val="auto"/>
              </w:rPr>
            </w:pPr>
            <w:r>
              <w:rPr>
                <w:rFonts w:hint="default" w:ascii="Times New Roman" w:hAnsi="Times New Roman" w:cs="Times New Roman"/>
                <w:color w:val="auto"/>
              </w:rPr>
              <w:t>⑤油脂含量较高。油脂含量高易出现油脂抑制生物处理，增加处理难度，降低资源化利用率。</w:t>
            </w:r>
          </w:p>
          <w:p>
            <w:pPr>
              <w:ind w:firstLine="480"/>
              <w:rPr>
                <w:rFonts w:hint="default" w:ascii="Times New Roman" w:hAnsi="Times New Roman" w:cs="Times New Roman"/>
                <w:color w:val="auto"/>
              </w:rPr>
            </w:pPr>
            <w:r>
              <w:rPr>
                <w:rFonts w:hint="default" w:ascii="Times New Roman" w:hAnsi="Times New Roman" w:cs="Times New Roman"/>
                <w:color w:val="auto"/>
              </w:rPr>
              <w:t>⑥餐厨垃圾喂养生猪的危害：餐厨垃圾中含有大量人畜共患传染病的病原微生物，不但容易引起动物感染病毒，还容易造成人体感染口蹄疫、肝炎等疾病。猪食用后极易感染和诱发各种疾病，势必加大对病猪的药剂量，从而加大抗生素类药物残留，通过猪肉进入人体，容易对人体健康造成危害。</w:t>
            </w:r>
          </w:p>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13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餐厨垃圾组成（%）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19"/>
              <w:gridCol w:w="1119"/>
              <w:gridCol w:w="1119"/>
              <w:gridCol w:w="1119"/>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食物垃圾</w:t>
                  </w:r>
                </w:p>
              </w:tc>
              <w:tc>
                <w:tcPr>
                  <w:tcW w:w="1119"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骨头</w:t>
                  </w:r>
                </w:p>
              </w:tc>
              <w:tc>
                <w:tcPr>
                  <w:tcW w:w="1119"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塑料</w:t>
                  </w:r>
                </w:p>
              </w:tc>
              <w:tc>
                <w:tcPr>
                  <w:tcW w:w="1119"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油脂</w:t>
                  </w:r>
                </w:p>
              </w:tc>
              <w:tc>
                <w:tcPr>
                  <w:tcW w:w="1119"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织物</w:t>
                  </w:r>
                </w:p>
              </w:tc>
              <w:tc>
                <w:tcPr>
                  <w:tcW w:w="2240" w:type="dxa"/>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其他（纸张、木竹等）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75.1~90.1</w:t>
                  </w:r>
                </w:p>
              </w:tc>
              <w:tc>
                <w:tcPr>
                  <w:tcW w:w="1119"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5.2</w:t>
                  </w:r>
                </w:p>
              </w:tc>
              <w:tc>
                <w:tcPr>
                  <w:tcW w:w="1119"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0.1</w:t>
                  </w:r>
                </w:p>
              </w:tc>
              <w:tc>
                <w:tcPr>
                  <w:tcW w:w="1119"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2.6~17.6</w:t>
                  </w:r>
                </w:p>
              </w:tc>
              <w:tc>
                <w:tcPr>
                  <w:tcW w:w="1119"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0.1</w:t>
                  </w:r>
                </w:p>
              </w:tc>
              <w:tc>
                <w:tcPr>
                  <w:tcW w:w="2240" w:type="dxa"/>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1.9</w:t>
                  </w:r>
                </w:p>
              </w:tc>
            </w:tr>
          </w:tbl>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14</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餐厨垃圾成分（%）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79"/>
              <w:gridCol w:w="979"/>
              <w:gridCol w:w="979"/>
              <w:gridCol w:w="979"/>
              <w:gridCol w:w="1172"/>
              <w:gridCol w:w="788"/>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平均含水率</w:t>
                  </w:r>
                </w:p>
              </w:tc>
              <w:tc>
                <w:tcPr>
                  <w:tcW w:w="979"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平均含固率</w:t>
                  </w:r>
                </w:p>
              </w:tc>
              <w:tc>
                <w:tcPr>
                  <w:tcW w:w="979"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有机干物质</w:t>
                  </w:r>
                </w:p>
              </w:tc>
              <w:tc>
                <w:tcPr>
                  <w:tcW w:w="979" w:type="dxa"/>
                  <w:vAlign w:val="center"/>
                </w:tcPr>
                <w:p>
                  <w:pPr>
                    <w:pStyle w:val="68"/>
                    <w:rPr>
                      <w:rFonts w:hint="default" w:ascii="Times New Roman" w:hAnsi="Times New Roman" w:cs="Times New Roman"/>
                      <w:b/>
                      <w:bCs/>
                      <w:color w:val="auto"/>
                      <w:lang w:val="en-US"/>
                    </w:rPr>
                  </w:pPr>
                  <w:r>
                    <w:rPr>
                      <w:rFonts w:hint="default" w:ascii="Times New Roman" w:hAnsi="Times New Roman" w:cs="Times New Roman"/>
                      <w:b/>
                      <w:bCs/>
                      <w:color w:val="auto"/>
                      <w:lang w:eastAsia="zh-CN"/>
                    </w:rPr>
                    <w:t>平均含油率</w:t>
                  </w:r>
                  <w:r>
                    <w:rPr>
                      <w:rFonts w:hint="default" w:ascii="Times New Roman" w:hAnsi="Times New Roman" w:cs="Times New Roman"/>
                      <w:b/>
                      <w:bCs/>
                      <w:color w:val="auto"/>
                      <w:lang w:val="en-US" w:eastAsia="zh-CN"/>
                    </w:rPr>
                    <w:t>%</w:t>
                  </w:r>
                </w:p>
              </w:tc>
              <w:tc>
                <w:tcPr>
                  <w:tcW w:w="979"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粗蛋白</w:t>
                  </w:r>
                </w:p>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g/kg</w:t>
                  </w:r>
                  <w:r>
                    <w:rPr>
                      <w:rFonts w:hint="default" w:ascii="Times New Roman" w:hAnsi="Times New Roman" w:cs="Times New Roman"/>
                      <w:b/>
                      <w:bCs/>
                      <w:color w:val="auto"/>
                      <w:lang w:eastAsia="zh-CN"/>
                    </w:rPr>
                    <w:t>)</w:t>
                  </w:r>
                </w:p>
              </w:tc>
              <w:tc>
                <w:tcPr>
                  <w:tcW w:w="1172"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总含碳量（g/kg）</w:t>
                  </w:r>
                </w:p>
              </w:tc>
              <w:tc>
                <w:tcPr>
                  <w:tcW w:w="788"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碳氮比</w:t>
                  </w:r>
                </w:p>
              </w:tc>
              <w:tc>
                <w:tcPr>
                  <w:tcW w:w="980" w:type="dxa"/>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有机酸</w:t>
                  </w:r>
                </w:p>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mg/L</w:t>
                  </w:r>
                  <w:r>
                    <w:rPr>
                      <w:rFonts w:hint="default" w:ascii="Times New Roman" w:hAnsi="Times New Roman" w:cs="Times New Roman"/>
                      <w:b/>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90</w:t>
                  </w:r>
                </w:p>
              </w:tc>
              <w:tc>
                <w:tcPr>
                  <w:tcW w:w="97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10</w:t>
                  </w:r>
                </w:p>
              </w:tc>
              <w:tc>
                <w:tcPr>
                  <w:tcW w:w="97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96.2</w:t>
                  </w:r>
                </w:p>
              </w:tc>
              <w:tc>
                <w:tcPr>
                  <w:tcW w:w="97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3.8</w:t>
                  </w:r>
                </w:p>
              </w:tc>
              <w:tc>
                <w:tcPr>
                  <w:tcW w:w="979"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15</w:t>
                  </w:r>
                </w:p>
              </w:tc>
              <w:tc>
                <w:tcPr>
                  <w:tcW w:w="1172"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3620</w:t>
                  </w:r>
                </w:p>
              </w:tc>
              <w:tc>
                <w:tcPr>
                  <w:tcW w:w="788"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15</w:t>
                  </w:r>
                </w:p>
              </w:tc>
              <w:tc>
                <w:tcPr>
                  <w:tcW w:w="980" w:type="dxa"/>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1500</w:t>
                  </w:r>
                </w:p>
              </w:tc>
            </w:tr>
          </w:tbl>
          <w:p>
            <w:pPr>
              <w:pStyle w:val="71"/>
              <w:rPr>
                <w:rFonts w:hint="default" w:ascii="Times New Roman" w:hAnsi="Times New Roman" w:cs="Times New Roman"/>
                <w:color w:val="auto"/>
              </w:rPr>
            </w:pPr>
            <w:r>
              <w:rPr>
                <w:rFonts w:hint="default" w:ascii="Times New Roman" w:hAnsi="Times New Roman" w:cs="Times New Roman"/>
                <w:color w:val="auto"/>
              </w:rPr>
              <w:t>表2.1-</w:t>
            </w:r>
            <w:r>
              <w:rPr>
                <w:rFonts w:hint="default" w:ascii="Times New Roman" w:hAnsi="Times New Roman" w:cs="Times New Roman"/>
                <w:color w:val="auto"/>
                <w:lang w:val="en-US" w:eastAsia="zh-CN"/>
              </w:rPr>
              <w:t xml:space="preserve">15 </w:t>
            </w:r>
            <w:r>
              <w:rPr>
                <w:rFonts w:hint="default" w:ascii="Times New Roman" w:hAnsi="Times New Roman" w:cs="Times New Roman"/>
                <w:color w:val="auto"/>
              </w:rPr>
              <w:t xml:space="preserve"> 项目生物质燃料成分表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382"/>
              <w:gridCol w:w="827"/>
              <w:gridCol w:w="1125"/>
              <w:gridCol w:w="1253"/>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低位发热量</w:t>
                  </w:r>
                </w:p>
              </w:tc>
              <w:tc>
                <w:tcPr>
                  <w:tcW w:w="881"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高位发热量</w:t>
                  </w:r>
                </w:p>
              </w:tc>
              <w:tc>
                <w:tcPr>
                  <w:tcW w:w="527"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灰分</w:t>
                  </w:r>
                </w:p>
              </w:tc>
              <w:tc>
                <w:tcPr>
                  <w:tcW w:w="717"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硫含量</w:t>
                  </w:r>
                </w:p>
              </w:tc>
              <w:tc>
                <w:tcPr>
                  <w:tcW w:w="799"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全水分</w:t>
                  </w:r>
                </w:p>
              </w:tc>
              <w:tc>
                <w:tcPr>
                  <w:tcW w:w="871"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挥发分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41</w:t>
                  </w:r>
                  <w:r>
                    <w:rPr>
                      <w:rFonts w:hint="default" w:ascii="Times New Roman" w:hAnsi="Times New Roman" w:cs="Times New Roman"/>
                      <w:color w:val="auto"/>
                      <w:lang w:val="en-US" w:eastAsia="zh-CN"/>
                    </w:rPr>
                    <w:t>08</w:t>
                  </w:r>
                  <w:r>
                    <w:rPr>
                      <w:rFonts w:hint="default" w:ascii="Times New Roman" w:hAnsi="Times New Roman" w:cs="Times New Roman"/>
                      <w:color w:val="auto"/>
                      <w:shd w:val="clear" w:fill="FFFFFF"/>
                    </w:rPr>
                    <w:t>kcal</w:t>
                  </w:r>
                  <w:r>
                    <w:rPr>
                      <w:rFonts w:hint="default" w:ascii="Times New Roman" w:hAnsi="Times New Roman" w:cs="Times New Roman"/>
                      <w:color w:val="auto"/>
                    </w:rPr>
                    <w:t>/kg</w:t>
                  </w:r>
                </w:p>
              </w:tc>
              <w:tc>
                <w:tcPr>
                  <w:tcW w:w="88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4584</w:t>
                  </w:r>
                  <w:r>
                    <w:rPr>
                      <w:rFonts w:hint="default" w:ascii="Times New Roman" w:hAnsi="Times New Roman" w:cs="Times New Roman"/>
                      <w:color w:val="auto"/>
                      <w:shd w:val="clear" w:fill="FFFFFF"/>
                    </w:rPr>
                    <w:t>kcal</w:t>
                  </w:r>
                  <w:r>
                    <w:rPr>
                      <w:rFonts w:hint="default" w:ascii="Times New Roman" w:hAnsi="Times New Roman" w:cs="Times New Roman"/>
                      <w:color w:val="auto"/>
                    </w:rPr>
                    <w:t>/kg</w:t>
                  </w:r>
                </w:p>
              </w:tc>
              <w:tc>
                <w:tcPr>
                  <w:tcW w:w="52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2.06%</w:t>
                  </w:r>
                </w:p>
              </w:tc>
              <w:tc>
                <w:tcPr>
                  <w:tcW w:w="717"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0.033%</w:t>
                  </w:r>
                </w:p>
              </w:tc>
              <w:tc>
                <w:tcPr>
                  <w:tcW w:w="799"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6.81%</w:t>
                  </w:r>
                </w:p>
              </w:tc>
              <w:tc>
                <w:tcPr>
                  <w:tcW w:w="871"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80.65%</w:t>
                  </w:r>
                </w:p>
              </w:tc>
            </w:tr>
          </w:tbl>
          <w:p>
            <w:pPr>
              <w:ind w:firstLine="480"/>
              <w:rPr>
                <w:rFonts w:hint="default" w:ascii="Times New Roman" w:hAnsi="Times New Roman" w:cs="Times New Roman"/>
                <w:color w:val="auto"/>
              </w:rPr>
            </w:pPr>
          </w:p>
        </w:tc>
      </w:tr>
    </w:tbl>
    <w:p>
      <w:pPr>
        <w:ind w:firstLine="480"/>
        <w:rPr>
          <w:color w:val="auto"/>
        </w:rPr>
        <w:sectPr>
          <w:pgSz w:w="11907" w:h="16840"/>
          <w:pgMar w:top="1440" w:right="1800" w:bottom="1440" w:left="1800" w:header="397" w:footer="850" w:gutter="0"/>
          <w:cols w:space="720" w:num="1"/>
          <w:docGrid w:linePitch="326" w:charSpace="0"/>
        </w:sectPr>
      </w:pPr>
      <w:r>
        <w:rPr>
          <w:color w:val="auto"/>
        </w:rPr>
        <w:br w:type="page"/>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68" w:type="pct"/>
            <w:vAlign w:val="center"/>
          </w:tcPr>
          <w:p>
            <w:pPr>
              <w:pStyle w:val="59"/>
              <w:rPr>
                <w:color w:val="auto"/>
              </w:rPr>
            </w:pPr>
          </w:p>
        </w:tc>
        <w:tc>
          <w:tcPr>
            <w:tcW w:w="4732" w:type="pct"/>
          </w:tcPr>
          <w:p>
            <w:pPr>
              <w:pStyle w:val="61"/>
              <w:spacing w:before="60" w:after="60"/>
              <w:rPr>
                <w:color w:val="auto"/>
              </w:rPr>
            </w:pPr>
            <w:r>
              <w:rPr>
                <w:rFonts w:hint="eastAsia"/>
                <w:color w:val="auto"/>
              </w:rPr>
              <w:t>2.1.</w:t>
            </w:r>
            <w:r>
              <w:rPr>
                <w:rFonts w:hint="eastAsia"/>
                <w:color w:val="auto"/>
                <w:lang w:val="en-US" w:eastAsia="zh-CN"/>
              </w:rPr>
              <w:t>5变更后</w:t>
            </w:r>
            <w:r>
              <w:rPr>
                <w:rFonts w:hint="eastAsia"/>
                <w:color w:val="auto"/>
              </w:rPr>
              <w:t>水平衡分析</w:t>
            </w:r>
          </w:p>
          <w:p>
            <w:pPr>
              <w:ind w:firstLine="480"/>
              <w:rPr>
                <w:color w:val="auto"/>
              </w:rPr>
            </w:pPr>
            <w:r>
              <w:rPr>
                <w:rFonts w:hint="eastAsia"/>
                <w:color w:val="auto"/>
              </w:rPr>
              <w:t>本项目用水主要为清洗用水、锅炉用水、喷淋除臭用水、生活用水等。</w:t>
            </w:r>
          </w:p>
          <w:p>
            <w:pPr>
              <w:pStyle w:val="71"/>
              <w:rPr>
                <w:color w:val="auto"/>
              </w:rPr>
            </w:pPr>
            <w:r>
              <w:rPr>
                <w:rFonts w:hint="eastAsia"/>
                <w:color w:val="auto"/>
              </w:rPr>
              <w:t>表2.1-</w:t>
            </w:r>
            <w:r>
              <w:rPr>
                <w:rFonts w:hint="eastAsia"/>
                <w:color w:val="auto"/>
                <w:lang w:val="en-US" w:eastAsia="zh-CN"/>
              </w:rPr>
              <w:t>16</w:t>
            </w:r>
            <w:r>
              <w:rPr>
                <w:rFonts w:hint="eastAsia"/>
                <w:color w:val="auto"/>
              </w:rPr>
              <w:t xml:space="preserve"> 项目用水情况一览表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420"/>
              <w:gridCol w:w="1103"/>
              <w:gridCol w:w="1150"/>
              <w:gridCol w:w="753"/>
              <w:gridCol w:w="1007"/>
              <w:gridCol w:w="1057"/>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268" w:type="pct"/>
                  <w:vAlign w:val="center"/>
                </w:tcPr>
                <w:p>
                  <w:pPr>
                    <w:pStyle w:val="68"/>
                    <w:rPr>
                      <w:b/>
                      <w:bCs/>
                      <w:color w:val="auto"/>
                    </w:rPr>
                  </w:pPr>
                  <w:r>
                    <w:rPr>
                      <w:rFonts w:hint="eastAsia"/>
                      <w:b/>
                      <w:bCs/>
                      <w:color w:val="auto"/>
                    </w:rPr>
                    <w:t>序号</w:t>
                  </w:r>
                </w:p>
              </w:tc>
              <w:tc>
                <w:tcPr>
                  <w:tcW w:w="703" w:type="pct"/>
                  <w:vAlign w:val="center"/>
                </w:tcPr>
                <w:p>
                  <w:pPr>
                    <w:pStyle w:val="68"/>
                    <w:rPr>
                      <w:b/>
                      <w:bCs/>
                      <w:color w:val="auto"/>
                    </w:rPr>
                  </w:pPr>
                  <w:r>
                    <w:rPr>
                      <w:rFonts w:hint="eastAsia"/>
                      <w:b/>
                      <w:bCs/>
                      <w:color w:val="auto"/>
                    </w:rPr>
                    <w:t>名称</w:t>
                  </w:r>
                </w:p>
              </w:tc>
              <w:tc>
                <w:tcPr>
                  <w:tcW w:w="733" w:type="pct"/>
                  <w:vAlign w:val="center"/>
                </w:tcPr>
                <w:p>
                  <w:pPr>
                    <w:pStyle w:val="68"/>
                    <w:rPr>
                      <w:b/>
                      <w:bCs/>
                      <w:color w:val="auto"/>
                      <w:lang w:eastAsia="zh-CN"/>
                    </w:rPr>
                  </w:pPr>
                  <w:r>
                    <w:rPr>
                      <w:rFonts w:hint="eastAsia"/>
                      <w:b/>
                      <w:bCs/>
                      <w:color w:val="auto"/>
                    </w:rPr>
                    <w:t>用</w:t>
                  </w:r>
                  <w:r>
                    <w:rPr>
                      <w:rFonts w:hint="eastAsia"/>
                      <w:b/>
                      <w:bCs/>
                      <w:color w:val="auto"/>
                      <w:lang w:eastAsia="zh-CN"/>
                    </w:rPr>
                    <w:t>水定额</w:t>
                  </w:r>
                </w:p>
              </w:tc>
              <w:tc>
                <w:tcPr>
                  <w:tcW w:w="480" w:type="pct"/>
                  <w:vAlign w:val="center"/>
                </w:tcPr>
                <w:p>
                  <w:pPr>
                    <w:pStyle w:val="68"/>
                    <w:rPr>
                      <w:b/>
                      <w:bCs/>
                      <w:color w:val="auto"/>
                      <w:lang w:eastAsia="zh-CN"/>
                    </w:rPr>
                  </w:pPr>
                  <w:r>
                    <w:rPr>
                      <w:rFonts w:hint="eastAsia"/>
                      <w:b/>
                      <w:bCs/>
                      <w:color w:val="auto"/>
                      <w:lang w:eastAsia="zh-CN"/>
                    </w:rPr>
                    <w:t>数量</w:t>
                  </w:r>
                </w:p>
              </w:tc>
              <w:tc>
                <w:tcPr>
                  <w:tcW w:w="642" w:type="pct"/>
                  <w:vAlign w:val="center"/>
                </w:tcPr>
                <w:p>
                  <w:pPr>
                    <w:pStyle w:val="68"/>
                    <w:rPr>
                      <w:b/>
                      <w:bCs/>
                      <w:color w:val="auto"/>
                    </w:rPr>
                  </w:pPr>
                  <w:r>
                    <w:rPr>
                      <w:rFonts w:hint="eastAsia"/>
                      <w:b/>
                      <w:bCs/>
                      <w:color w:val="auto"/>
                    </w:rPr>
                    <w:t>用水量</w:t>
                  </w:r>
                </w:p>
                <w:p>
                  <w:pPr>
                    <w:pStyle w:val="68"/>
                    <w:rPr>
                      <w:b/>
                      <w:bCs/>
                      <w:color w:val="auto"/>
                    </w:rPr>
                  </w:pPr>
                  <w:r>
                    <w:rPr>
                      <w:rFonts w:hint="eastAsia"/>
                      <w:b/>
                      <w:bCs/>
                      <w:color w:val="auto"/>
                    </w:rPr>
                    <w:t>(m</w:t>
                  </w:r>
                  <w:r>
                    <w:rPr>
                      <w:rFonts w:hint="eastAsia"/>
                      <w:b/>
                      <w:bCs/>
                      <w:color w:val="auto"/>
                      <w:vertAlign w:val="superscript"/>
                    </w:rPr>
                    <w:t>3</w:t>
                  </w:r>
                  <w:r>
                    <w:rPr>
                      <w:rFonts w:hint="eastAsia"/>
                      <w:b/>
                      <w:bCs/>
                      <w:color w:val="auto"/>
                    </w:rPr>
                    <w:t>/</w:t>
                  </w:r>
                  <w:r>
                    <w:rPr>
                      <w:rFonts w:hint="eastAsia"/>
                      <w:b/>
                      <w:bCs/>
                      <w:color w:val="auto"/>
                      <w:lang w:eastAsia="zh-CN"/>
                    </w:rPr>
                    <w:t>a</w:t>
                  </w:r>
                  <w:r>
                    <w:rPr>
                      <w:rFonts w:hint="eastAsia"/>
                      <w:b/>
                      <w:bCs/>
                      <w:color w:val="auto"/>
                    </w:rPr>
                    <w:t>)</w:t>
                  </w:r>
                </w:p>
              </w:tc>
              <w:tc>
                <w:tcPr>
                  <w:tcW w:w="674" w:type="pct"/>
                  <w:vAlign w:val="center"/>
                </w:tcPr>
                <w:p>
                  <w:pPr>
                    <w:pStyle w:val="68"/>
                    <w:rPr>
                      <w:b/>
                      <w:bCs/>
                      <w:color w:val="auto"/>
                      <w:lang w:eastAsia="zh-CN"/>
                    </w:rPr>
                  </w:pPr>
                  <w:r>
                    <w:rPr>
                      <w:rFonts w:hint="eastAsia"/>
                      <w:b/>
                      <w:bCs/>
                      <w:color w:val="auto"/>
                      <w:lang w:eastAsia="zh-CN"/>
                    </w:rPr>
                    <w:t>排</w:t>
                  </w:r>
                  <w:r>
                    <w:rPr>
                      <w:rFonts w:hint="eastAsia"/>
                      <w:b/>
                      <w:bCs/>
                      <w:color w:val="auto"/>
                    </w:rPr>
                    <w:t>水量</w:t>
                  </w:r>
                </w:p>
                <w:p>
                  <w:pPr>
                    <w:pStyle w:val="68"/>
                    <w:rPr>
                      <w:b/>
                      <w:bCs/>
                      <w:color w:val="auto"/>
                    </w:rPr>
                  </w:pPr>
                  <w:r>
                    <w:rPr>
                      <w:rFonts w:hint="eastAsia"/>
                      <w:b/>
                      <w:bCs/>
                      <w:color w:val="auto"/>
                    </w:rPr>
                    <w:t>(m</w:t>
                  </w:r>
                  <w:r>
                    <w:rPr>
                      <w:rFonts w:hint="eastAsia"/>
                      <w:b/>
                      <w:bCs/>
                      <w:color w:val="auto"/>
                      <w:vertAlign w:val="superscript"/>
                    </w:rPr>
                    <w:t>3</w:t>
                  </w:r>
                  <w:r>
                    <w:rPr>
                      <w:rFonts w:hint="eastAsia"/>
                      <w:b/>
                      <w:bCs/>
                      <w:color w:val="auto"/>
                    </w:rPr>
                    <w:t>/</w:t>
                  </w:r>
                  <w:r>
                    <w:rPr>
                      <w:rFonts w:hint="eastAsia"/>
                      <w:b/>
                      <w:bCs/>
                      <w:color w:val="auto"/>
                      <w:lang w:eastAsia="zh-CN"/>
                    </w:rPr>
                    <w:t>a</w:t>
                  </w:r>
                  <w:r>
                    <w:rPr>
                      <w:rFonts w:hint="eastAsia"/>
                      <w:b/>
                      <w:bCs/>
                      <w:color w:val="auto"/>
                    </w:rPr>
                    <w:t>)</w:t>
                  </w:r>
                </w:p>
              </w:tc>
              <w:tc>
                <w:tcPr>
                  <w:tcW w:w="1498" w:type="pct"/>
                  <w:vAlign w:val="center"/>
                </w:tcPr>
                <w:p>
                  <w:pPr>
                    <w:pStyle w:val="68"/>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5000" w:type="pct"/>
                  <w:gridSpan w:val="7"/>
                  <w:vAlign w:val="center"/>
                </w:tcPr>
                <w:p>
                  <w:pPr>
                    <w:pStyle w:val="68"/>
                    <w:rPr>
                      <w:color w:val="auto"/>
                    </w:rPr>
                  </w:pPr>
                  <w:r>
                    <w:rPr>
                      <w:rFonts w:hint="eastAsia"/>
                      <w:color w:val="auto"/>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268" w:type="pct"/>
                  <w:vMerge w:val="restart"/>
                  <w:vAlign w:val="center"/>
                </w:tcPr>
                <w:p>
                  <w:pPr>
                    <w:pStyle w:val="68"/>
                    <w:rPr>
                      <w:color w:val="auto"/>
                    </w:rPr>
                  </w:pPr>
                  <w:r>
                    <w:rPr>
                      <w:rFonts w:hint="eastAsia"/>
                      <w:color w:val="auto"/>
                    </w:rPr>
                    <w:t>1</w:t>
                  </w:r>
                </w:p>
              </w:tc>
              <w:tc>
                <w:tcPr>
                  <w:tcW w:w="703" w:type="pct"/>
                  <w:vAlign w:val="center"/>
                </w:tcPr>
                <w:p>
                  <w:pPr>
                    <w:pStyle w:val="68"/>
                    <w:rPr>
                      <w:color w:val="auto"/>
                    </w:rPr>
                  </w:pPr>
                  <w:r>
                    <w:rPr>
                      <w:rFonts w:hint="eastAsia"/>
                      <w:color w:val="auto"/>
                      <w:lang w:eastAsia="zh-CN"/>
                    </w:rPr>
                    <w:t>设备清洗</w:t>
                  </w:r>
                </w:p>
              </w:tc>
              <w:tc>
                <w:tcPr>
                  <w:tcW w:w="733" w:type="pct"/>
                  <w:vAlign w:val="center"/>
                </w:tcPr>
                <w:p>
                  <w:pPr>
                    <w:pStyle w:val="68"/>
                    <w:rPr>
                      <w:color w:val="auto"/>
                      <w:lang w:eastAsia="zh-CN"/>
                    </w:rPr>
                  </w:pPr>
                  <w:r>
                    <w:rPr>
                      <w:color w:val="auto"/>
                    </w:rPr>
                    <w:t>/</w:t>
                  </w:r>
                </w:p>
              </w:tc>
              <w:tc>
                <w:tcPr>
                  <w:tcW w:w="480" w:type="pct"/>
                  <w:vAlign w:val="center"/>
                </w:tcPr>
                <w:p>
                  <w:pPr>
                    <w:pStyle w:val="68"/>
                    <w:rPr>
                      <w:color w:val="auto"/>
                      <w:lang w:eastAsia="zh-CN"/>
                    </w:rPr>
                  </w:pPr>
                  <w:r>
                    <w:rPr>
                      <w:color w:val="auto"/>
                      <w:lang w:eastAsia="zh-CN"/>
                    </w:rPr>
                    <w:t>/</w:t>
                  </w:r>
                </w:p>
              </w:tc>
              <w:tc>
                <w:tcPr>
                  <w:tcW w:w="642" w:type="pct"/>
                  <w:vAlign w:val="center"/>
                </w:tcPr>
                <w:p>
                  <w:pPr>
                    <w:pStyle w:val="68"/>
                    <w:rPr>
                      <w:rFonts w:hint="default"/>
                      <w:color w:val="auto"/>
                      <w:lang w:val="en-US" w:eastAsia="zh-CN"/>
                    </w:rPr>
                  </w:pPr>
                  <w:r>
                    <w:rPr>
                      <w:rFonts w:hint="eastAsia"/>
                      <w:color w:val="auto"/>
                      <w:lang w:val="en-US" w:eastAsia="zh-CN"/>
                    </w:rPr>
                    <w:t>600</w:t>
                  </w:r>
                </w:p>
              </w:tc>
              <w:tc>
                <w:tcPr>
                  <w:tcW w:w="674" w:type="pct"/>
                  <w:vAlign w:val="center"/>
                </w:tcPr>
                <w:p>
                  <w:pPr>
                    <w:pStyle w:val="68"/>
                    <w:rPr>
                      <w:rFonts w:hint="default"/>
                      <w:color w:val="auto"/>
                      <w:lang w:val="en-US" w:eastAsia="zh-CN"/>
                    </w:rPr>
                  </w:pPr>
                  <w:r>
                    <w:rPr>
                      <w:rFonts w:hint="eastAsia"/>
                      <w:color w:val="auto"/>
                      <w:lang w:val="en-US" w:eastAsia="zh-CN"/>
                    </w:rPr>
                    <w:t>540</w:t>
                  </w:r>
                </w:p>
              </w:tc>
              <w:tc>
                <w:tcPr>
                  <w:tcW w:w="1498" w:type="pct"/>
                  <w:vAlign w:val="center"/>
                </w:tcPr>
                <w:p>
                  <w:pPr>
                    <w:pStyle w:val="68"/>
                    <w:rPr>
                      <w:color w:val="auto"/>
                      <w:lang w:eastAsia="zh-CN"/>
                    </w:rPr>
                  </w:pPr>
                  <w:r>
                    <w:rPr>
                      <w:rFonts w:hint="eastAsia"/>
                      <w:color w:val="auto"/>
                      <w:lang w:eastAsia="zh-CN"/>
                    </w:rPr>
                    <w:t>产污系数0</w:t>
                  </w:r>
                  <w:r>
                    <w:rPr>
                      <w:color w:val="auto"/>
                      <w:lang w:eastAsia="zh-CN"/>
                    </w:rPr>
                    <w:t>.9</w:t>
                  </w:r>
                  <w:r>
                    <w:rPr>
                      <w:rFonts w:hint="eastAsia"/>
                      <w:color w:val="auto"/>
                      <w:lang w:eastAsia="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647" w:hRule="atLeast"/>
                <w:jc w:val="center"/>
              </w:trPr>
              <w:tc>
                <w:tcPr>
                  <w:tcW w:w="268" w:type="pct"/>
                  <w:vMerge w:val="continue"/>
                  <w:vAlign w:val="center"/>
                </w:tcPr>
                <w:p>
                  <w:pPr>
                    <w:pStyle w:val="68"/>
                    <w:rPr>
                      <w:color w:val="auto"/>
                    </w:rPr>
                  </w:pPr>
                </w:p>
              </w:tc>
              <w:tc>
                <w:tcPr>
                  <w:tcW w:w="703" w:type="pct"/>
                  <w:vAlign w:val="center"/>
                </w:tcPr>
                <w:p>
                  <w:pPr>
                    <w:pStyle w:val="68"/>
                    <w:rPr>
                      <w:color w:val="auto"/>
                      <w:lang w:val="en-US" w:eastAsia="zh-CN"/>
                    </w:rPr>
                  </w:pPr>
                  <w:r>
                    <w:rPr>
                      <w:rFonts w:hint="eastAsia"/>
                      <w:color w:val="auto"/>
                      <w:lang w:val="en-US" w:eastAsia="zh-CN"/>
                    </w:rPr>
                    <w:t>锅炉用水</w:t>
                  </w:r>
                </w:p>
              </w:tc>
              <w:tc>
                <w:tcPr>
                  <w:tcW w:w="733" w:type="pct"/>
                  <w:vAlign w:val="center"/>
                </w:tcPr>
                <w:p>
                  <w:pPr>
                    <w:pStyle w:val="68"/>
                    <w:rPr>
                      <w:color w:val="auto"/>
                      <w:lang w:eastAsia="zh-CN"/>
                    </w:rPr>
                  </w:pPr>
                  <w:r>
                    <w:rPr>
                      <w:rFonts w:hint="eastAsia"/>
                      <w:color w:val="auto"/>
                      <w:lang w:val="en-US" w:eastAsia="zh-CN"/>
                    </w:rPr>
                    <w:t>2.2</w:t>
                  </w:r>
                  <w:r>
                    <w:rPr>
                      <w:rFonts w:hint="eastAsia"/>
                      <w:color w:val="auto"/>
                      <w:lang w:eastAsia="zh-CN"/>
                    </w:rPr>
                    <w:t>t/h</w:t>
                  </w:r>
                </w:p>
              </w:tc>
              <w:tc>
                <w:tcPr>
                  <w:tcW w:w="480" w:type="pct"/>
                  <w:vAlign w:val="center"/>
                </w:tcPr>
                <w:p>
                  <w:pPr>
                    <w:pStyle w:val="68"/>
                    <w:rPr>
                      <w:color w:val="auto"/>
                      <w:lang w:eastAsia="zh-CN"/>
                    </w:rPr>
                  </w:pPr>
                  <w:r>
                    <w:rPr>
                      <w:color w:val="auto"/>
                      <w:lang w:eastAsia="zh-CN"/>
                    </w:rPr>
                    <w:t>8</w:t>
                  </w:r>
                  <w:r>
                    <w:rPr>
                      <w:rFonts w:hint="eastAsia"/>
                      <w:color w:val="auto"/>
                      <w:lang w:eastAsia="zh-CN"/>
                    </w:rPr>
                    <w:t>h</w:t>
                  </w:r>
                </w:p>
              </w:tc>
              <w:tc>
                <w:tcPr>
                  <w:tcW w:w="642" w:type="pct"/>
                  <w:vAlign w:val="center"/>
                </w:tcPr>
                <w:p>
                  <w:pPr>
                    <w:pStyle w:val="68"/>
                    <w:rPr>
                      <w:rFonts w:hint="default"/>
                      <w:color w:val="auto"/>
                      <w:lang w:val="en-US" w:eastAsia="zh-CN"/>
                    </w:rPr>
                  </w:pPr>
                  <w:r>
                    <w:rPr>
                      <w:rFonts w:hint="eastAsia"/>
                      <w:color w:val="auto"/>
                      <w:lang w:val="en-US" w:eastAsia="zh-CN"/>
                    </w:rPr>
                    <w:t>5302</w:t>
                  </w:r>
                </w:p>
              </w:tc>
              <w:tc>
                <w:tcPr>
                  <w:tcW w:w="674" w:type="pct"/>
                  <w:vAlign w:val="center"/>
                </w:tcPr>
                <w:p>
                  <w:pPr>
                    <w:pStyle w:val="68"/>
                    <w:rPr>
                      <w:rFonts w:hint="default"/>
                      <w:color w:val="auto"/>
                      <w:lang w:val="en-US" w:eastAsia="zh-CN"/>
                    </w:rPr>
                  </w:pPr>
                  <w:r>
                    <w:rPr>
                      <w:rFonts w:hint="eastAsia"/>
                      <w:color w:val="auto"/>
                      <w:lang w:val="en-US" w:eastAsia="zh-CN"/>
                    </w:rPr>
                    <w:t>1344</w:t>
                  </w:r>
                </w:p>
              </w:tc>
              <w:tc>
                <w:tcPr>
                  <w:tcW w:w="1498" w:type="pct"/>
                  <w:vAlign w:val="center"/>
                </w:tcPr>
                <w:p>
                  <w:pPr>
                    <w:pStyle w:val="68"/>
                    <w:rPr>
                      <w:rFonts w:hint="default"/>
                      <w:color w:val="auto"/>
                      <w:lang w:val="en-US" w:eastAsia="zh-CN"/>
                    </w:rPr>
                  </w:pPr>
                  <w:r>
                    <w:rPr>
                      <w:rFonts w:hint="eastAsia"/>
                      <w:color w:val="auto"/>
                      <w:lang w:val="en-US" w:eastAsia="zh-CN"/>
                    </w:rPr>
                    <w:t>锅炉产生蒸汽（5.6t）全部进入三相分离工段</w:t>
                  </w:r>
                  <w:r>
                    <w:rPr>
                      <w:rFonts w:hint="eastAsia"/>
                      <w:color w:val="auto"/>
                    </w:rPr>
                    <w:t>，</w:t>
                  </w:r>
                  <w:r>
                    <w:rPr>
                      <w:rFonts w:hint="eastAsia"/>
                      <w:color w:val="auto"/>
                      <w:lang w:val="en-US" w:eastAsia="zh-CN"/>
                    </w:rPr>
                    <w:t>其中进入三相分离工段的蒸汽20%（1.12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，336</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）自然挥发，80%蒸汽（4.48</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，1344</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）冷凝后进入三相分离产生的分离废水</w:t>
                  </w:r>
                  <w:r>
                    <w:rPr>
                      <w:rFonts w:hint="eastAsia"/>
                      <w:color w:val="auto"/>
                      <w:lang w:eastAsia="zh-CN"/>
                    </w:rPr>
                    <w:t>；</w:t>
                  </w:r>
                  <w:r>
                    <w:rPr>
                      <w:rFonts w:hint="eastAsia"/>
                      <w:color w:val="auto"/>
                      <w:lang w:val="en-US" w:eastAsia="zh-CN"/>
                    </w:rPr>
                    <w:t>其余锅炉产生蒸汽（12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，3600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外环境；锅炉排水22</w:t>
                  </w:r>
                  <w:r>
                    <w:rPr>
                      <w:rFonts w:hint="eastAsia"/>
                      <w:color w:val="auto"/>
                      <w:lang w:eastAsia="zh-CN"/>
                    </w:rPr>
                    <w:t>m</w:t>
                  </w:r>
                  <w:r>
                    <w:rPr>
                      <w:rFonts w:hint="eastAsia"/>
                      <w:color w:val="auto"/>
                    </w:rPr>
                    <w:t>³</w:t>
                  </w:r>
                  <w:r>
                    <w:rPr>
                      <w:rFonts w:hint="eastAsia"/>
                      <w:color w:val="auto"/>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90" w:hRule="atLeast"/>
                <w:jc w:val="center"/>
              </w:trPr>
              <w:tc>
                <w:tcPr>
                  <w:tcW w:w="268" w:type="pct"/>
                  <w:vMerge w:val="continue"/>
                  <w:vAlign w:val="center"/>
                </w:tcPr>
                <w:p>
                  <w:pPr>
                    <w:pStyle w:val="68"/>
                    <w:rPr>
                      <w:color w:val="auto"/>
                      <w:lang w:eastAsia="zh-CN"/>
                    </w:rPr>
                  </w:pPr>
                </w:p>
              </w:tc>
              <w:tc>
                <w:tcPr>
                  <w:tcW w:w="703" w:type="pct"/>
                  <w:vAlign w:val="center"/>
                </w:tcPr>
                <w:p>
                  <w:pPr>
                    <w:pStyle w:val="68"/>
                    <w:rPr>
                      <w:color w:val="auto"/>
                      <w:lang w:eastAsia="zh-CN"/>
                    </w:rPr>
                  </w:pPr>
                  <w:r>
                    <w:rPr>
                      <w:rFonts w:hint="eastAsia"/>
                      <w:color w:val="auto"/>
                      <w:lang w:eastAsia="zh-CN"/>
                    </w:rPr>
                    <w:t>除臭洗涤</w:t>
                  </w:r>
                </w:p>
              </w:tc>
              <w:tc>
                <w:tcPr>
                  <w:tcW w:w="733" w:type="pct"/>
                  <w:vAlign w:val="center"/>
                </w:tcPr>
                <w:p>
                  <w:pPr>
                    <w:pStyle w:val="68"/>
                    <w:rPr>
                      <w:color w:val="auto"/>
                      <w:lang w:eastAsia="zh-CN"/>
                    </w:rPr>
                  </w:pPr>
                  <w:r>
                    <w:rPr>
                      <w:color w:val="auto"/>
                      <w:lang w:eastAsia="zh-CN"/>
                    </w:rPr>
                    <w:t>0.8</w:t>
                  </w:r>
                  <w:r>
                    <w:rPr>
                      <w:rFonts w:hint="eastAsia"/>
                      <w:color w:val="auto"/>
                    </w:rPr>
                    <w:t>m</w:t>
                  </w:r>
                  <w:r>
                    <w:rPr>
                      <w:rFonts w:hint="eastAsia"/>
                      <w:color w:val="auto"/>
                      <w:vertAlign w:val="superscript"/>
                    </w:rPr>
                    <w:t>3</w:t>
                  </w:r>
                  <w:r>
                    <w:rPr>
                      <w:color w:val="auto"/>
                    </w:rPr>
                    <w:t>/</w:t>
                  </w:r>
                  <w:r>
                    <w:rPr>
                      <w:color w:val="auto"/>
                      <w:lang w:eastAsia="zh-CN"/>
                    </w:rPr>
                    <w:t>d</w:t>
                  </w:r>
                </w:p>
              </w:tc>
              <w:tc>
                <w:tcPr>
                  <w:tcW w:w="480" w:type="pct"/>
                  <w:vAlign w:val="center"/>
                </w:tcPr>
                <w:p>
                  <w:pPr>
                    <w:pStyle w:val="68"/>
                    <w:rPr>
                      <w:color w:val="auto"/>
                      <w:lang w:eastAsia="zh-CN"/>
                    </w:rPr>
                  </w:pPr>
                  <w:r>
                    <w:rPr>
                      <w:color w:val="auto"/>
                      <w:lang w:eastAsia="zh-CN"/>
                    </w:rPr>
                    <w:t>300</w:t>
                  </w:r>
                  <w:r>
                    <w:rPr>
                      <w:rFonts w:hint="eastAsia"/>
                      <w:color w:val="auto"/>
                      <w:lang w:eastAsia="zh-CN"/>
                    </w:rPr>
                    <w:t>d</w:t>
                  </w:r>
                </w:p>
              </w:tc>
              <w:tc>
                <w:tcPr>
                  <w:tcW w:w="642" w:type="pct"/>
                  <w:vAlign w:val="center"/>
                </w:tcPr>
                <w:p>
                  <w:pPr>
                    <w:pStyle w:val="68"/>
                    <w:rPr>
                      <w:rFonts w:hint="default"/>
                      <w:color w:val="auto"/>
                      <w:lang w:val="en-US" w:eastAsia="zh-CN"/>
                    </w:rPr>
                  </w:pPr>
                  <w:r>
                    <w:rPr>
                      <w:color w:val="auto"/>
                      <w:lang w:eastAsia="zh-CN"/>
                    </w:rPr>
                    <w:t>240</w:t>
                  </w:r>
                </w:p>
              </w:tc>
              <w:tc>
                <w:tcPr>
                  <w:tcW w:w="674" w:type="pct"/>
                  <w:vAlign w:val="center"/>
                </w:tcPr>
                <w:p>
                  <w:pPr>
                    <w:pStyle w:val="68"/>
                    <w:rPr>
                      <w:color w:val="auto"/>
                      <w:lang w:eastAsia="zh-CN"/>
                    </w:rPr>
                  </w:pPr>
                  <w:r>
                    <w:rPr>
                      <w:color w:val="auto"/>
                      <w:lang w:eastAsia="zh-CN"/>
                    </w:rPr>
                    <w:t>32</w:t>
                  </w:r>
                </w:p>
              </w:tc>
              <w:tc>
                <w:tcPr>
                  <w:tcW w:w="1498" w:type="pct"/>
                  <w:vAlign w:val="center"/>
                </w:tcPr>
                <w:p>
                  <w:pPr>
                    <w:pStyle w:val="68"/>
                    <w:rPr>
                      <w:color w:val="auto"/>
                      <w:lang w:val="en-US" w:eastAsia="zh-CN"/>
                    </w:rPr>
                  </w:pPr>
                  <w:r>
                    <w:rPr>
                      <w:rFonts w:hint="eastAsia"/>
                      <w:color w:val="auto"/>
                      <w:lang w:val="en-US" w:eastAsia="zh-CN"/>
                    </w:rPr>
                    <w:t>其余</w:t>
                  </w:r>
                  <w:r>
                    <w:rPr>
                      <w:color w:val="auto"/>
                      <w:lang w:val="en-US" w:eastAsia="zh-CN"/>
                    </w:rPr>
                    <w:t>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268" w:type="pct"/>
                  <w:vMerge w:val="continue"/>
                  <w:vAlign w:val="center"/>
                </w:tcPr>
                <w:p>
                  <w:pPr>
                    <w:pStyle w:val="68"/>
                    <w:rPr>
                      <w:color w:val="auto"/>
                      <w:lang w:eastAsia="zh-CN"/>
                    </w:rPr>
                  </w:pPr>
                </w:p>
              </w:tc>
              <w:tc>
                <w:tcPr>
                  <w:tcW w:w="703" w:type="pct"/>
                  <w:vAlign w:val="center"/>
                </w:tcPr>
                <w:p>
                  <w:pPr>
                    <w:pStyle w:val="68"/>
                    <w:rPr>
                      <w:color w:val="auto"/>
                      <w:lang w:eastAsia="zh-CN"/>
                    </w:rPr>
                  </w:pPr>
                  <w:r>
                    <w:rPr>
                      <w:rFonts w:hint="eastAsia"/>
                      <w:color w:val="auto"/>
                      <w:lang w:eastAsia="zh-CN"/>
                    </w:rPr>
                    <w:t>车辆清洗</w:t>
                  </w:r>
                </w:p>
              </w:tc>
              <w:tc>
                <w:tcPr>
                  <w:tcW w:w="733" w:type="pct"/>
                  <w:vAlign w:val="center"/>
                </w:tcPr>
                <w:p>
                  <w:pPr>
                    <w:pStyle w:val="68"/>
                    <w:rPr>
                      <w:color w:val="auto"/>
                      <w:lang w:eastAsia="zh-CN"/>
                    </w:rPr>
                  </w:pPr>
                  <w:r>
                    <w:rPr>
                      <w:rFonts w:hint="eastAsia"/>
                      <w:color w:val="auto"/>
                      <w:lang w:val="en-US" w:eastAsia="zh-CN"/>
                    </w:rPr>
                    <w:t>0.04</w:t>
                  </w:r>
                  <w:r>
                    <w:rPr>
                      <w:rFonts w:hint="eastAsia"/>
                      <w:color w:val="auto"/>
                    </w:rPr>
                    <w:t>m</w:t>
                  </w:r>
                  <w:r>
                    <w:rPr>
                      <w:rFonts w:hint="eastAsia"/>
                      <w:color w:val="auto"/>
                      <w:vertAlign w:val="superscript"/>
                    </w:rPr>
                    <w:t>3</w:t>
                  </w:r>
                  <w:r>
                    <w:rPr>
                      <w:color w:val="auto"/>
                      <w:lang w:eastAsia="zh-CN"/>
                    </w:rPr>
                    <w:t>/</w:t>
                  </w:r>
                  <w:r>
                    <w:rPr>
                      <w:rFonts w:hint="eastAsia"/>
                      <w:color w:val="auto"/>
                      <w:lang w:eastAsia="zh-CN"/>
                    </w:rPr>
                    <w:t>辆·</w:t>
                  </w:r>
                  <w:r>
                    <w:rPr>
                      <w:rFonts w:hint="eastAsia"/>
                      <w:color w:val="auto"/>
                      <w:lang w:val="en-US" w:eastAsia="zh-CN"/>
                    </w:rPr>
                    <w:t>次</w:t>
                  </w:r>
                </w:p>
              </w:tc>
              <w:tc>
                <w:tcPr>
                  <w:tcW w:w="480" w:type="pct"/>
                  <w:vAlign w:val="center"/>
                </w:tcPr>
                <w:p>
                  <w:pPr>
                    <w:pStyle w:val="68"/>
                    <w:rPr>
                      <w:color w:val="auto"/>
                      <w:lang w:eastAsia="zh-CN"/>
                    </w:rPr>
                  </w:pPr>
                  <w:r>
                    <w:rPr>
                      <w:rFonts w:hint="eastAsia"/>
                      <w:color w:val="auto"/>
                      <w:lang w:val="en-US" w:eastAsia="zh-CN"/>
                    </w:rPr>
                    <w:t>540</w:t>
                  </w:r>
                  <w:r>
                    <w:rPr>
                      <w:rFonts w:hint="eastAsia"/>
                      <w:color w:val="auto"/>
                      <w:lang w:eastAsia="zh-CN"/>
                    </w:rPr>
                    <w:t>次</w:t>
                  </w:r>
                </w:p>
              </w:tc>
              <w:tc>
                <w:tcPr>
                  <w:tcW w:w="642" w:type="pct"/>
                  <w:vAlign w:val="center"/>
                </w:tcPr>
                <w:p>
                  <w:pPr>
                    <w:pStyle w:val="68"/>
                    <w:rPr>
                      <w:rFonts w:hint="default"/>
                      <w:color w:val="auto"/>
                      <w:lang w:val="en-US" w:eastAsia="zh-CN"/>
                    </w:rPr>
                  </w:pPr>
                  <w:r>
                    <w:rPr>
                      <w:rFonts w:hint="eastAsia"/>
                      <w:color w:val="auto"/>
                      <w:lang w:val="en-US" w:eastAsia="zh-CN"/>
                    </w:rPr>
                    <w:t>72</w:t>
                  </w:r>
                  <w:r>
                    <w:rPr>
                      <w:rFonts w:hint="eastAsia"/>
                      <w:color w:val="auto"/>
                      <w:lang w:eastAsia="zh-CN"/>
                    </w:rPr>
                    <w:t>（</w:t>
                  </w:r>
                  <w:r>
                    <w:rPr>
                      <w:rFonts w:hint="eastAsia"/>
                      <w:color w:val="auto"/>
                      <w:lang w:val="en-US" w:eastAsia="zh-CN"/>
                    </w:rPr>
                    <w:t>其中22来自锅炉排水</w:t>
                  </w:r>
                  <w:r>
                    <w:rPr>
                      <w:rFonts w:hint="eastAsia"/>
                      <w:color w:val="auto"/>
                      <w:lang w:eastAsia="zh-CN"/>
                    </w:rPr>
                    <w:t>）</w:t>
                  </w:r>
                </w:p>
              </w:tc>
              <w:tc>
                <w:tcPr>
                  <w:tcW w:w="674" w:type="pct"/>
                  <w:vAlign w:val="center"/>
                </w:tcPr>
                <w:p>
                  <w:pPr>
                    <w:pStyle w:val="68"/>
                    <w:rPr>
                      <w:rFonts w:hint="default"/>
                      <w:color w:val="auto"/>
                      <w:lang w:val="en-US" w:eastAsia="zh-CN"/>
                    </w:rPr>
                  </w:pPr>
                  <w:r>
                    <w:rPr>
                      <w:rFonts w:hint="eastAsia"/>
                      <w:color w:val="auto"/>
                      <w:lang w:val="en-US" w:eastAsia="zh-CN"/>
                    </w:rPr>
                    <w:t>64.8</w:t>
                  </w:r>
                </w:p>
              </w:tc>
              <w:tc>
                <w:tcPr>
                  <w:tcW w:w="1498" w:type="pct"/>
                  <w:vAlign w:val="center"/>
                </w:tcPr>
                <w:p>
                  <w:pPr>
                    <w:pStyle w:val="68"/>
                    <w:rPr>
                      <w:color w:val="auto"/>
                      <w:lang w:val="en-US" w:eastAsia="zh-CN"/>
                    </w:rPr>
                  </w:pPr>
                  <w:r>
                    <w:rPr>
                      <w:rFonts w:hint="eastAsia"/>
                      <w:color w:val="auto"/>
                      <w:lang w:eastAsia="zh-CN"/>
                    </w:rPr>
                    <w:t>产污系数0</w:t>
                  </w:r>
                  <w:r>
                    <w:rPr>
                      <w:color w:val="auto"/>
                      <w:lang w:eastAsia="zh-CN"/>
                    </w:rPr>
                    <w:t>.9</w:t>
                  </w:r>
                  <w:r>
                    <w:rPr>
                      <w:rFonts w:hint="eastAsia"/>
                      <w:color w:val="auto"/>
                      <w:lang w:eastAsia="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268" w:type="pct"/>
                  <w:vMerge w:val="continue"/>
                  <w:vAlign w:val="center"/>
                </w:tcPr>
                <w:p>
                  <w:pPr>
                    <w:pStyle w:val="68"/>
                    <w:rPr>
                      <w:color w:val="auto"/>
                      <w:lang w:eastAsia="zh-CN"/>
                    </w:rPr>
                  </w:pPr>
                </w:p>
              </w:tc>
              <w:tc>
                <w:tcPr>
                  <w:tcW w:w="703" w:type="pct"/>
                  <w:vAlign w:val="center"/>
                </w:tcPr>
                <w:p>
                  <w:pPr>
                    <w:pStyle w:val="68"/>
                    <w:rPr>
                      <w:color w:val="auto"/>
                      <w:lang w:eastAsia="zh-CN"/>
                    </w:rPr>
                  </w:pPr>
                  <w:r>
                    <w:rPr>
                      <w:rFonts w:hint="eastAsia"/>
                      <w:color w:val="auto"/>
                      <w:lang w:eastAsia="zh-CN"/>
                    </w:rPr>
                    <w:t>地面清洗</w:t>
                  </w:r>
                </w:p>
              </w:tc>
              <w:tc>
                <w:tcPr>
                  <w:tcW w:w="733" w:type="pct"/>
                  <w:vAlign w:val="center"/>
                </w:tcPr>
                <w:p>
                  <w:pPr>
                    <w:pStyle w:val="68"/>
                    <w:rPr>
                      <w:color w:val="auto"/>
                      <w:lang w:eastAsia="zh-CN"/>
                    </w:rPr>
                  </w:pPr>
                  <w:r>
                    <w:rPr>
                      <w:rFonts w:hint="eastAsia"/>
                      <w:color w:val="auto"/>
                      <w:lang w:eastAsia="zh-CN"/>
                    </w:rPr>
                    <w:t>2</w:t>
                  </w:r>
                  <w:r>
                    <w:rPr>
                      <w:color w:val="auto"/>
                      <w:lang w:eastAsia="zh-CN"/>
                    </w:rPr>
                    <w:t>L/</w:t>
                  </w:r>
                  <w:r>
                    <w:rPr>
                      <w:rFonts w:hint="eastAsia"/>
                      <w:color w:val="auto"/>
                      <w:lang w:eastAsia="zh-CN"/>
                    </w:rPr>
                    <w:t>㎡·</w:t>
                  </w:r>
                  <w:r>
                    <w:rPr>
                      <w:rFonts w:hint="eastAsia"/>
                      <w:color w:val="auto"/>
                      <w:lang w:val="en-US" w:eastAsia="zh-CN"/>
                    </w:rPr>
                    <w:t>次</w:t>
                  </w:r>
                </w:p>
              </w:tc>
              <w:tc>
                <w:tcPr>
                  <w:tcW w:w="480" w:type="pct"/>
                  <w:vAlign w:val="center"/>
                </w:tcPr>
                <w:p>
                  <w:pPr>
                    <w:pStyle w:val="68"/>
                    <w:rPr>
                      <w:color w:val="auto"/>
                      <w:lang w:eastAsia="zh-CN"/>
                    </w:rPr>
                  </w:pPr>
                  <w:r>
                    <w:rPr>
                      <w:rFonts w:hint="eastAsia"/>
                      <w:color w:val="auto"/>
                      <w:lang w:eastAsia="zh-CN"/>
                    </w:rPr>
                    <w:t>2</w:t>
                  </w:r>
                  <w:r>
                    <w:rPr>
                      <w:color w:val="auto"/>
                      <w:lang w:eastAsia="zh-CN"/>
                    </w:rPr>
                    <w:t>48</w:t>
                  </w:r>
                  <w:r>
                    <w:rPr>
                      <w:rFonts w:hint="eastAsia"/>
                      <w:color w:val="auto"/>
                      <w:lang w:eastAsia="zh-CN"/>
                    </w:rPr>
                    <w:t>㎡</w:t>
                  </w:r>
                </w:p>
              </w:tc>
              <w:tc>
                <w:tcPr>
                  <w:tcW w:w="642" w:type="pct"/>
                  <w:vAlign w:val="center"/>
                </w:tcPr>
                <w:p>
                  <w:pPr>
                    <w:pStyle w:val="68"/>
                    <w:rPr>
                      <w:color w:val="auto"/>
                      <w:lang w:eastAsia="zh-CN"/>
                    </w:rPr>
                  </w:pPr>
                  <w:r>
                    <w:rPr>
                      <w:rFonts w:hint="eastAsia"/>
                      <w:color w:val="auto"/>
                      <w:lang w:eastAsia="zh-CN"/>
                    </w:rPr>
                    <w:t>1</w:t>
                  </w:r>
                  <w:r>
                    <w:rPr>
                      <w:color w:val="auto"/>
                      <w:lang w:eastAsia="zh-CN"/>
                    </w:rPr>
                    <w:t>50</w:t>
                  </w:r>
                </w:p>
              </w:tc>
              <w:tc>
                <w:tcPr>
                  <w:tcW w:w="674" w:type="pct"/>
                  <w:vAlign w:val="center"/>
                </w:tcPr>
                <w:p>
                  <w:pPr>
                    <w:pStyle w:val="68"/>
                    <w:rPr>
                      <w:rFonts w:hint="default"/>
                      <w:color w:val="auto"/>
                      <w:lang w:val="en-US" w:eastAsia="zh-CN"/>
                    </w:rPr>
                  </w:pPr>
                  <w:r>
                    <w:rPr>
                      <w:rFonts w:hint="eastAsia"/>
                      <w:color w:val="auto"/>
                      <w:lang w:val="en-US" w:eastAsia="zh-CN"/>
                    </w:rPr>
                    <w:t>135</w:t>
                  </w:r>
                </w:p>
              </w:tc>
              <w:tc>
                <w:tcPr>
                  <w:tcW w:w="1498" w:type="pct"/>
                  <w:vAlign w:val="center"/>
                </w:tcPr>
                <w:p>
                  <w:pPr>
                    <w:pStyle w:val="68"/>
                    <w:rPr>
                      <w:color w:val="auto"/>
                      <w:lang w:val="en-US" w:eastAsia="zh-CN"/>
                    </w:rPr>
                  </w:pPr>
                  <w:r>
                    <w:rPr>
                      <w:rFonts w:hint="eastAsia"/>
                      <w:color w:val="auto"/>
                      <w:lang w:eastAsia="zh-CN"/>
                    </w:rPr>
                    <w:t>产污系数0</w:t>
                  </w:r>
                  <w:r>
                    <w:rPr>
                      <w:color w:val="auto"/>
                      <w:lang w:eastAsia="zh-CN"/>
                    </w:rPr>
                    <w:t>.9</w:t>
                  </w:r>
                  <w:r>
                    <w:rPr>
                      <w:rFonts w:hint="eastAsia"/>
                      <w:color w:val="auto"/>
                      <w:lang w:eastAsia="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83" w:hRule="atLeast"/>
                <w:jc w:val="center"/>
              </w:trPr>
              <w:tc>
                <w:tcPr>
                  <w:tcW w:w="5000" w:type="pct"/>
                  <w:gridSpan w:val="7"/>
                  <w:vAlign w:val="center"/>
                </w:tcPr>
                <w:p>
                  <w:pPr>
                    <w:pStyle w:val="68"/>
                    <w:rPr>
                      <w:color w:val="auto"/>
                    </w:rPr>
                  </w:pPr>
                  <w:r>
                    <w:rPr>
                      <w:rFonts w:hint="eastAsia"/>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278" w:hRule="atLeast"/>
                <w:jc w:val="center"/>
              </w:trPr>
              <w:tc>
                <w:tcPr>
                  <w:tcW w:w="268" w:type="pct"/>
                  <w:vAlign w:val="center"/>
                </w:tcPr>
                <w:p>
                  <w:pPr>
                    <w:pStyle w:val="68"/>
                    <w:rPr>
                      <w:color w:val="auto"/>
                      <w:lang w:eastAsia="zh-CN"/>
                    </w:rPr>
                  </w:pPr>
                  <w:r>
                    <w:rPr>
                      <w:color w:val="auto"/>
                      <w:lang w:eastAsia="zh-CN"/>
                    </w:rPr>
                    <w:t>2</w:t>
                  </w:r>
                </w:p>
              </w:tc>
              <w:tc>
                <w:tcPr>
                  <w:tcW w:w="703" w:type="pct"/>
                  <w:vAlign w:val="center"/>
                </w:tcPr>
                <w:p>
                  <w:pPr>
                    <w:pStyle w:val="68"/>
                    <w:rPr>
                      <w:rFonts w:cs="宋体"/>
                      <w:color w:val="auto"/>
                      <w:szCs w:val="21"/>
                    </w:rPr>
                  </w:pPr>
                  <w:r>
                    <w:rPr>
                      <w:rFonts w:cs="宋体"/>
                      <w:color w:val="auto"/>
                      <w:szCs w:val="21"/>
                    </w:rPr>
                    <w:t>员工</w:t>
                  </w:r>
                  <w:r>
                    <w:rPr>
                      <w:rFonts w:hint="eastAsia" w:cs="宋体"/>
                      <w:color w:val="auto"/>
                      <w:szCs w:val="21"/>
                    </w:rPr>
                    <w:t>如</w:t>
                  </w:r>
                  <w:r>
                    <w:rPr>
                      <w:rFonts w:cs="宋体"/>
                      <w:color w:val="auto"/>
                      <w:szCs w:val="21"/>
                    </w:rPr>
                    <w:t>厕</w:t>
                  </w:r>
                </w:p>
                <w:p>
                  <w:pPr>
                    <w:pStyle w:val="68"/>
                    <w:rPr>
                      <w:color w:val="auto"/>
                    </w:rPr>
                  </w:pPr>
                  <w:r>
                    <w:rPr>
                      <w:rFonts w:cs="宋体"/>
                      <w:color w:val="auto"/>
                      <w:szCs w:val="21"/>
                    </w:rPr>
                    <w:t>洗手</w:t>
                  </w:r>
                </w:p>
              </w:tc>
              <w:tc>
                <w:tcPr>
                  <w:tcW w:w="733" w:type="pct"/>
                  <w:vAlign w:val="center"/>
                </w:tcPr>
                <w:p>
                  <w:pPr>
                    <w:pStyle w:val="68"/>
                    <w:rPr>
                      <w:color w:val="auto"/>
                      <w:lang w:eastAsia="zh-CN"/>
                    </w:rPr>
                  </w:pPr>
                  <w:r>
                    <w:rPr>
                      <w:rFonts w:cs="宋体"/>
                      <w:color w:val="auto"/>
                      <w:szCs w:val="21"/>
                    </w:rPr>
                    <w:t>30L/人·天</w:t>
                  </w:r>
                </w:p>
              </w:tc>
              <w:tc>
                <w:tcPr>
                  <w:tcW w:w="480" w:type="pct"/>
                  <w:vAlign w:val="center"/>
                </w:tcPr>
                <w:p>
                  <w:pPr>
                    <w:pStyle w:val="68"/>
                    <w:rPr>
                      <w:color w:val="auto"/>
                      <w:lang w:eastAsia="zh-CN"/>
                    </w:rPr>
                  </w:pPr>
                  <w:r>
                    <w:rPr>
                      <w:rFonts w:cs="宋体"/>
                      <w:color w:val="auto"/>
                      <w:szCs w:val="21"/>
                    </w:rPr>
                    <w:t>10人</w:t>
                  </w:r>
                </w:p>
              </w:tc>
              <w:tc>
                <w:tcPr>
                  <w:tcW w:w="642" w:type="pct"/>
                  <w:vAlign w:val="center"/>
                </w:tcPr>
                <w:p>
                  <w:pPr>
                    <w:pStyle w:val="68"/>
                    <w:rPr>
                      <w:color w:val="auto"/>
                      <w:lang w:eastAsia="zh-CN"/>
                    </w:rPr>
                  </w:pPr>
                  <w:r>
                    <w:rPr>
                      <w:color w:val="auto"/>
                      <w:lang w:eastAsia="zh-CN"/>
                    </w:rPr>
                    <w:t>90</w:t>
                  </w:r>
                </w:p>
              </w:tc>
              <w:tc>
                <w:tcPr>
                  <w:tcW w:w="674" w:type="pct"/>
                  <w:vAlign w:val="center"/>
                </w:tcPr>
                <w:p>
                  <w:pPr>
                    <w:pStyle w:val="68"/>
                    <w:rPr>
                      <w:color w:val="auto"/>
                      <w:lang w:eastAsia="zh-CN"/>
                    </w:rPr>
                  </w:pPr>
                  <w:r>
                    <w:rPr>
                      <w:color w:val="auto"/>
                      <w:lang w:eastAsia="zh-CN"/>
                    </w:rPr>
                    <w:t>81</w:t>
                  </w:r>
                </w:p>
              </w:tc>
              <w:tc>
                <w:tcPr>
                  <w:tcW w:w="1498" w:type="pct"/>
                  <w:vAlign w:val="center"/>
                </w:tcPr>
                <w:p>
                  <w:pPr>
                    <w:pStyle w:val="68"/>
                    <w:rPr>
                      <w:color w:val="auto"/>
                    </w:rPr>
                  </w:pPr>
                  <w:r>
                    <w:rPr>
                      <w:rFonts w:hint="eastAsia"/>
                      <w:color w:val="auto"/>
                      <w:lang w:eastAsia="zh-CN"/>
                    </w:rPr>
                    <w:t>产污系数0</w:t>
                  </w:r>
                  <w:r>
                    <w:rPr>
                      <w:color w:val="auto"/>
                      <w:lang w:eastAsia="zh-CN"/>
                    </w:rPr>
                    <w:t>.9</w:t>
                  </w:r>
                  <w:r>
                    <w:rPr>
                      <w:rFonts w:hint="eastAsia"/>
                      <w:color w:val="auto"/>
                      <w:lang w:eastAsia="zh-CN"/>
                    </w:rPr>
                    <w:t>计</w:t>
                  </w:r>
                </w:p>
              </w:tc>
            </w:tr>
          </w:tbl>
          <w:p>
            <w:pPr>
              <w:ind w:firstLine="480"/>
              <w:rPr>
                <w:rFonts w:hint="default"/>
                <w:color w:val="auto"/>
                <w:lang w:val="en-US" w:eastAsia="zh-CN"/>
              </w:rPr>
            </w:pPr>
            <w:r>
              <w:rPr>
                <w:rFonts w:hint="eastAsia"/>
                <w:color w:val="auto"/>
                <w:lang w:val="en-US" w:eastAsia="zh-CN"/>
              </w:rPr>
              <w:t>项目水蒸气平衡图2.1-1：</w:t>
            </w:r>
          </w:p>
          <w:p>
            <w:pPr>
              <w:pStyle w:val="68"/>
              <w:rPr>
                <w:rFonts w:hint="default" w:eastAsia="宋体"/>
                <w:color w:val="auto"/>
                <w:lang w:val="en-US" w:eastAsia="zh-CN"/>
              </w:rPr>
            </w:pPr>
            <w:r>
              <w:rPr>
                <w:color w:val="auto"/>
              </w:rPr>
              <w:object>
                <v:shape id="_x0000_i1025" o:spt="75" type="#_x0000_t75" style="height:208.1pt;width:397.6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r>
              <w:rPr>
                <w:rFonts w:hint="eastAsia" w:ascii="Times New Roman" w:hAnsi="Times New Roman" w:eastAsia="宋体" w:cs="Times New Roman"/>
                <w:b/>
                <w:color w:val="auto"/>
                <w:kern w:val="2"/>
                <w:sz w:val="21"/>
                <w:szCs w:val="24"/>
                <w:lang w:val="en-US" w:eastAsia="zh-CN" w:bidi="ar-SA"/>
              </w:rPr>
              <w:t>图2.1-1  项目</w:t>
            </w:r>
            <w:r>
              <w:rPr>
                <w:rFonts w:hint="eastAsia" w:cs="Times New Roman"/>
                <w:b/>
                <w:color w:val="auto"/>
                <w:kern w:val="2"/>
                <w:sz w:val="21"/>
                <w:szCs w:val="24"/>
                <w:lang w:val="en-US" w:eastAsia="zh-CN" w:bidi="ar-SA"/>
              </w:rPr>
              <w:t>水蒸气平衡</w:t>
            </w:r>
            <w:r>
              <w:rPr>
                <w:rFonts w:hint="eastAsia" w:ascii="Times New Roman" w:hAnsi="Times New Roman" w:eastAsia="宋体" w:cs="Times New Roman"/>
                <w:b/>
                <w:color w:val="auto"/>
                <w:kern w:val="2"/>
                <w:sz w:val="21"/>
                <w:szCs w:val="24"/>
                <w:lang w:val="en-US" w:eastAsia="zh-CN" w:bidi="ar-SA"/>
              </w:rPr>
              <w:t>图</w:t>
            </w:r>
            <w:r>
              <w:rPr>
                <w:rFonts w:hint="eastAsia" w:cs="Times New Roman"/>
                <w:b/>
                <w:color w:val="auto"/>
                <w:kern w:val="2"/>
                <w:sz w:val="21"/>
                <w:szCs w:val="24"/>
                <w:lang w:val="en-US" w:eastAsia="zh-CN" w:bidi="ar-SA"/>
              </w:rPr>
              <w:t xml:space="preserve"> 单位：m</w:t>
            </w:r>
            <w:r>
              <w:rPr>
                <w:rFonts w:hint="eastAsia" w:cs="Times New Roman"/>
                <w:b/>
                <w:color w:val="auto"/>
                <w:kern w:val="2"/>
                <w:sz w:val="21"/>
                <w:szCs w:val="24"/>
                <w:vertAlign w:val="superscript"/>
                <w:lang w:val="en-US" w:eastAsia="zh-CN" w:bidi="ar-SA"/>
              </w:rPr>
              <w:t>3</w:t>
            </w:r>
            <w:r>
              <w:rPr>
                <w:rFonts w:hint="eastAsia" w:cs="Times New Roman"/>
                <w:b/>
                <w:color w:val="auto"/>
                <w:kern w:val="2"/>
                <w:sz w:val="21"/>
                <w:szCs w:val="24"/>
                <w:lang w:val="en-US" w:eastAsia="zh-CN" w:bidi="ar-SA"/>
              </w:rPr>
              <w:t>/a</w:t>
            </w:r>
          </w:p>
          <w:p>
            <w:pPr>
              <w:ind w:left="0" w:leftChars="0" w:firstLine="0" w:firstLineChars="0"/>
              <w:rPr>
                <w:color w:val="auto"/>
              </w:rPr>
            </w:pPr>
            <w:r>
              <w:rPr>
                <w:rFonts w:hint="eastAsia"/>
                <w:color w:val="auto"/>
              </w:rPr>
              <w:t>项目区水平衡图见图2.1-</w:t>
            </w:r>
            <w:r>
              <w:rPr>
                <w:rFonts w:hint="eastAsia"/>
                <w:color w:val="auto"/>
                <w:lang w:val="en-US" w:eastAsia="zh-CN"/>
              </w:rPr>
              <w:t>2</w:t>
            </w:r>
            <w:r>
              <w:rPr>
                <w:rFonts w:hint="eastAsia"/>
                <w:color w:val="auto"/>
              </w:rPr>
              <w:t>。</w:t>
            </w:r>
          </w:p>
          <w:p>
            <w:pPr>
              <w:pStyle w:val="71"/>
              <w:rPr>
                <w:color w:val="auto"/>
              </w:rPr>
            </w:pPr>
            <w:r>
              <w:rPr>
                <w:color w:val="auto"/>
              </w:rPr>
              <w:object>
                <v:shape id="_x0000_i1026" o:spt="75" type="#_x0000_t75" style="height:300.3pt;width:355.7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5">
                  <o:LockedField>false</o:LockedField>
                </o:OLEObject>
              </w:object>
            </w:r>
          </w:p>
          <w:p>
            <w:pPr>
              <w:pStyle w:val="71"/>
              <w:rPr>
                <w:color w:val="auto"/>
              </w:rPr>
            </w:pPr>
            <w:r>
              <w:rPr>
                <w:rFonts w:hint="eastAsia"/>
                <w:color w:val="auto"/>
              </w:rPr>
              <w:t>图2.1-</w:t>
            </w:r>
            <w:r>
              <w:rPr>
                <w:color w:val="auto"/>
              </w:rPr>
              <w:t>2</w:t>
            </w:r>
            <w:r>
              <w:rPr>
                <w:rFonts w:hint="eastAsia"/>
                <w:color w:val="auto"/>
              </w:rPr>
              <w:t xml:space="preserve"> 项目全年水平衡图</w:t>
            </w:r>
            <w:r>
              <w:rPr>
                <w:rFonts w:hint="eastAsia"/>
                <w:color w:val="auto"/>
                <w:lang w:val="en-US" w:eastAsia="zh-CN"/>
              </w:rPr>
              <w:t xml:space="preserve">  </w:t>
            </w:r>
            <w:r>
              <w:rPr>
                <w:rFonts w:hint="eastAsia"/>
                <w:color w:val="auto"/>
              </w:rPr>
              <w:t>单位</w:t>
            </w:r>
            <w:r>
              <w:rPr>
                <w:rFonts w:hint="eastAsia"/>
                <w:color w:val="auto"/>
                <w:lang w:eastAsia="zh-CN"/>
              </w:rPr>
              <w:t>：</w:t>
            </w:r>
            <w:r>
              <w:rPr>
                <w:rFonts w:hint="eastAsia"/>
                <w:color w:val="auto"/>
              </w:rPr>
              <w:t xml:space="preserve">m³/a </w:t>
            </w:r>
            <w:r>
              <w:rPr>
                <w:color w:val="auto"/>
              </w:rPr>
              <w:t xml:space="preserve"> </w:t>
            </w:r>
          </w:p>
          <w:p>
            <w:pPr>
              <w:pStyle w:val="61"/>
              <w:spacing w:before="60" w:after="60"/>
              <w:rPr>
                <w:color w:val="auto"/>
              </w:rPr>
            </w:pPr>
            <w:r>
              <w:rPr>
                <w:rFonts w:hint="eastAsia"/>
                <w:color w:val="auto"/>
              </w:rPr>
              <w:t>2.1.</w:t>
            </w:r>
            <w:r>
              <w:rPr>
                <w:rFonts w:hint="eastAsia"/>
                <w:color w:val="auto"/>
                <w:lang w:val="en-US" w:eastAsia="zh-CN"/>
              </w:rPr>
              <w:t>6变更后</w:t>
            </w:r>
            <w:r>
              <w:rPr>
                <w:rFonts w:hint="eastAsia"/>
                <w:color w:val="auto"/>
              </w:rPr>
              <w:t>厂区总平面及生产布置</w:t>
            </w:r>
          </w:p>
          <w:p>
            <w:pPr>
              <w:ind w:firstLine="480"/>
              <w:rPr>
                <w:color w:val="auto"/>
              </w:rPr>
            </w:pPr>
            <w:r>
              <w:rPr>
                <w:rFonts w:hint="eastAsia"/>
                <w:color w:val="auto"/>
              </w:rPr>
              <w:t>根据项目设计图纸资料，厂区主要分为三部分，第一部分为餐厨垃圾处置车间，整体位于项目区西北侧，处置车间设置为全封闭式，所有生产设备置于车间内，设备</w:t>
            </w:r>
            <w:r>
              <w:rPr>
                <w:rFonts w:hint="eastAsia"/>
                <w:color w:val="auto"/>
                <w:shd w:val="clear" w:fill="FFFFFF"/>
              </w:rPr>
              <w:t>沿</w:t>
            </w:r>
            <w:r>
              <w:rPr>
                <w:rFonts w:hint="eastAsia"/>
                <w:color w:val="auto"/>
              </w:rPr>
              <w:t>车间从东向西布设。第二部分为公</w:t>
            </w:r>
            <w:r>
              <w:rPr>
                <w:rFonts w:hint="eastAsia"/>
                <w:color w:val="auto"/>
                <w:shd w:val="clear" w:fill="FFFFFF"/>
              </w:rPr>
              <w:t>辅</w:t>
            </w:r>
            <w:r>
              <w:rPr>
                <w:rFonts w:hint="eastAsia"/>
                <w:color w:val="auto"/>
              </w:rPr>
              <w:t>工程，主要位于项目南部。第三部分为污水处理工程以及储运工程，位于项目西侧。本项目生产车间和公</w:t>
            </w:r>
            <w:r>
              <w:rPr>
                <w:rFonts w:hint="eastAsia"/>
                <w:color w:val="auto"/>
                <w:shd w:val="clear" w:fill="FFFFFF"/>
              </w:rPr>
              <w:t>辅</w:t>
            </w:r>
            <w:r>
              <w:rPr>
                <w:rFonts w:hint="eastAsia"/>
                <w:color w:val="auto"/>
              </w:rPr>
              <w:t>工程完全独立，满足生产功能需求</w:t>
            </w:r>
            <w:r>
              <w:rPr>
                <w:color w:val="auto"/>
              </w:rPr>
              <w:t>。</w:t>
            </w:r>
            <w:r>
              <w:rPr>
                <w:rFonts w:hint="eastAsia"/>
                <w:color w:val="auto"/>
              </w:rPr>
              <w:t>厂区构筑物的布局有利于加工生产过程中产生的废气、噪声、废水的收集处理，尽可能降低污染物对周边环境的影响。厂区物流车辆流线不交叉，</w:t>
            </w:r>
            <w:r>
              <w:rPr>
                <w:rFonts w:hint="eastAsia"/>
                <w:color w:val="auto"/>
                <w:lang w:eastAsia="zh-CN"/>
              </w:rPr>
              <w:t>厂</w:t>
            </w:r>
            <w:r>
              <w:rPr>
                <w:rFonts w:hint="eastAsia"/>
                <w:color w:val="auto"/>
              </w:rPr>
              <w:t>区内车流清晰明确，物流顺畅，最大</w:t>
            </w:r>
            <w:r>
              <w:rPr>
                <w:rFonts w:hint="eastAsia"/>
                <w:color w:val="auto"/>
                <w:lang w:eastAsia="zh-CN"/>
              </w:rPr>
              <w:t>限度地降低了</w:t>
            </w:r>
            <w:r>
              <w:rPr>
                <w:rFonts w:hint="eastAsia"/>
                <w:color w:val="auto"/>
              </w:rPr>
              <w:t>车辆运行噪声、设备噪声对周围居民的影响。本项目厂区总平面图详见附图4。</w:t>
            </w:r>
            <w:r>
              <w:rPr>
                <w:color w:val="auto"/>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268" w:type="pct"/>
            <w:tcBorders>
              <w:bottom w:val="single" w:color="auto" w:sz="4" w:space="0"/>
            </w:tcBorders>
            <w:vAlign w:val="center"/>
          </w:tcPr>
          <w:p>
            <w:pPr>
              <w:pStyle w:val="59"/>
              <w:rPr>
                <w:color w:val="auto"/>
              </w:rPr>
            </w:pPr>
            <w:r>
              <w:rPr>
                <w:rFonts w:hint="eastAsia"/>
                <w:color w:val="auto"/>
              </w:rPr>
              <w:t>工艺流程和产排污环节</w:t>
            </w:r>
          </w:p>
        </w:tc>
        <w:tc>
          <w:tcPr>
            <w:tcW w:w="4732" w:type="pct"/>
            <w:tcBorders>
              <w:bottom w:val="single" w:color="auto" w:sz="4" w:space="0"/>
            </w:tcBorders>
          </w:tcPr>
          <w:p>
            <w:pPr>
              <w:pStyle w:val="56"/>
              <w:spacing w:before="120" w:after="120"/>
              <w:rPr>
                <w:color w:val="auto"/>
              </w:rPr>
            </w:pPr>
            <w:r>
              <w:rPr>
                <w:rFonts w:hint="eastAsia"/>
                <w:color w:val="auto"/>
              </w:rPr>
              <w:t>2.2</w:t>
            </w:r>
            <w:r>
              <w:rPr>
                <w:rFonts w:hint="eastAsia"/>
                <w:color w:val="auto"/>
                <w:lang w:val="en-US" w:eastAsia="zh-CN"/>
              </w:rPr>
              <w:t>运营期</w:t>
            </w:r>
            <w:r>
              <w:rPr>
                <w:rFonts w:hint="eastAsia"/>
                <w:color w:val="auto"/>
              </w:rPr>
              <w:t>工艺流程图和产排污环节</w:t>
            </w:r>
          </w:p>
          <w:p>
            <w:pPr>
              <w:pStyle w:val="61"/>
              <w:spacing w:before="60" w:after="60"/>
              <w:rPr>
                <w:color w:val="auto"/>
              </w:rPr>
            </w:pPr>
            <w:r>
              <w:rPr>
                <w:rFonts w:hint="eastAsia"/>
                <w:color w:val="auto"/>
              </w:rPr>
              <w:t>2.2.1</w:t>
            </w:r>
            <w:r>
              <w:rPr>
                <w:rFonts w:hint="eastAsia"/>
                <w:color w:val="auto"/>
                <w:lang w:val="en-US" w:eastAsia="zh-CN"/>
              </w:rPr>
              <w:t>运营期</w:t>
            </w:r>
            <w:r>
              <w:rPr>
                <w:rFonts w:hint="eastAsia"/>
                <w:color w:val="auto"/>
              </w:rPr>
              <w:t>工艺流程</w:t>
            </w:r>
          </w:p>
          <w:p>
            <w:pPr>
              <w:pStyle w:val="68"/>
              <w:rPr>
                <w:color w:val="auto"/>
              </w:rPr>
            </w:pPr>
            <w:r>
              <w:rPr>
                <w:color w:val="auto"/>
              </w:rPr>
              <w:object>
                <v:shape id="_x0000_i1027" o:spt="75" type="#_x0000_t75" style="height:460.6pt;width:377.9pt;" o:ole="t" filled="f" o:preferrelative="t" stroked="f" coordsize="21600,21600">
                  <v:path/>
                  <v:fill on="f" focussize="0,0"/>
                  <v:stroke on="f"/>
                  <v:imagedata r:id="rId18" o:title=""/>
                  <o:lock v:ext="edit" aspectratio="t"/>
                  <w10:wrap type="none"/>
                  <w10:anchorlock/>
                </v:shape>
                <o:OLEObject Type="Embed" ProgID="Visio.Drawing.11" ShapeID="_x0000_i1027" DrawAspect="Content" ObjectID="_1468075727" r:id="rId17">
                  <o:LockedField>false</o:LockedField>
                </o:OLEObject>
              </w:object>
            </w:r>
          </w:p>
          <w:p>
            <w:pPr>
              <w:pStyle w:val="71"/>
              <w:rPr>
                <w:color w:val="auto"/>
              </w:rPr>
            </w:pPr>
            <w:r>
              <w:rPr>
                <w:rFonts w:hint="eastAsia"/>
                <w:color w:val="auto"/>
              </w:rPr>
              <w:t>图2</w:t>
            </w:r>
            <w:r>
              <w:rPr>
                <w:color w:val="auto"/>
              </w:rPr>
              <w:t xml:space="preserve">.2-1 </w:t>
            </w:r>
            <w:r>
              <w:rPr>
                <w:rFonts w:hint="eastAsia"/>
                <w:color w:val="auto"/>
              </w:rPr>
              <w:t>工艺流程及产污节点图</w:t>
            </w:r>
          </w:p>
          <w:p>
            <w:pPr>
              <w:pStyle w:val="84"/>
              <w:ind w:firstLine="482"/>
              <w:rPr>
                <w:color w:val="auto"/>
              </w:rPr>
            </w:pPr>
            <w:r>
              <w:rPr>
                <w:color w:val="auto"/>
              </w:rPr>
              <w:t>工艺流程及产污环节简述：</w:t>
            </w:r>
          </w:p>
          <w:p>
            <w:pPr>
              <w:ind w:left="480" w:firstLine="0" w:firstLineChars="0"/>
              <w:rPr>
                <w:b/>
                <w:bCs/>
                <w:color w:val="auto"/>
              </w:rPr>
            </w:pPr>
            <w:r>
              <w:rPr>
                <w:rFonts w:hint="eastAsia"/>
                <w:b/>
                <w:bCs/>
                <w:color w:val="auto"/>
              </w:rPr>
              <w:t>（1）车辆运输进场</w:t>
            </w:r>
          </w:p>
          <w:p>
            <w:pPr>
              <w:ind w:firstLine="480"/>
              <w:rPr>
                <w:color w:val="auto"/>
              </w:rPr>
            </w:pPr>
            <w:r>
              <w:rPr>
                <w:rFonts w:hint="eastAsia"/>
                <w:color w:val="auto"/>
              </w:rPr>
              <w:t>本项目仅收集师宗县范围内的餐厨垃圾，由产生单位提前通知，建设单位采用自备餐厨垃圾专用车辆至各产生点进行转运，本项目运营期主要收集食材废料、泔水、隔油池废油，其中食材废料和泔水属于CJJ184-2012中的餐厨垃圾，隔油池废油属于CJJ184-2012中的泔水油，因此食材废料和泔水采用1辆运输车转运，隔油池废油采用1辆运输车单独转运，不混装。转运车设置有专用罐体，本项目不收集煎炸废油，转运车辆运输路线固定，转运过程中如实做好台账记录。</w:t>
            </w:r>
          </w:p>
          <w:p>
            <w:pPr>
              <w:ind w:left="480" w:firstLine="0" w:firstLineChars="0"/>
              <w:rPr>
                <w:b/>
                <w:bCs/>
                <w:color w:val="auto"/>
              </w:rPr>
            </w:pPr>
            <w:r>
              <w:rPr>
                <w:rFonts w:hint="eastAsia"/>
                <w:b/>
                <w:bCs/>
                <w:color w:val="auto"/>
              </w:rPr>
              <w:t>（2）卸料</w:t>
            </w:r>
          </w:p>
          <w:p>
            <w:pPr>
              <w:ind w:firstLine="480"/>
              <w:rPr>
                <w:color w:val="auto"/>
              </w:rPr>
            </w:pPr>
            <w:r>
              <w:rPr>
                <w:color w:val="auto"/>
              </w:rPr>
              <w:t>餐</w:t>
            </w:r>
            <w:r>
              <w:rPr>
                <w:color w:val="auto"/>
                <w:shd w:val="clear" w:fill="FFFFFF"/>
              </w:rPr>
              <w:t>厨</w:t>
            </w:r>
            <w:r>
              <w:rPr>
                <w:color w:val="auto"/>
              </w:rPr>
              <w:t>通过专用收集车辆运输至</w:t>
            </w:r>
            <w:r>
              <w:rPr>
                <w:rFonts w:hint="eastAsia"/>
                <w:color w:val="auto"/>
              </w:rPr>
              <w:t>厂内</w:t>
            </w:r>
            <w:r>
              <w:rPr>
                <w:color w:val="auto"/>
              </w:rPr>
              <w:t>，</w:t>
            </w:r>
            <w:r>
              <w:rPr>
                <w:rFonts w:hint="eastAsia"/>
                <w:color w:val="auto"/>
              </w:rPr>
              <w:t>物料运输车辆全密闭，运输过程中不会对环境造成影响，运输至厂区后</w:t>
            </w:r>
            <w:r>
              <w:rPr>
                <w:color w:val="auto"/>
              </w:rPr>
              <w:t>倾倒入卸料平台上，</w:t>
            </w:r>
            <w:r>
              <w:rPr>
                <w:rFonts w:hint="eastAsia"/>
                <w:color w:val="auto"/>
              </w:rPr>
              <w:t>采用机械卸料，</w:t>
            </w:r>
            <w:r>
              <w:rPr>
                <w:color w:val="auto"/>
              </w:rPr>
              <w:t>通过</w:t>
            </w:r>
            <w:r>
              <w:rPr>
                <w:rFonts w:hint="eastAsia"/>
                <w:color w:val="auto"/>
              </w:rPr>
              <w:t>机械</w:t>
            </w:r>
            <w:r>
              <w:rPr>
                <w:rFonts w:hint="eastAsia"/>
                <w:color w:val="auto"/>
                <w:shd w:val="clear" w:fill="FFFFFF"/>
              </w:rPr>
              <w:t>将料</w:t>
            </w:r>
            <w:r>
              <w:rPr>
                <w:rFonts w:hint="eastAsia"/>
                <w:color w:val="auto"/>
              </w:rPr>
              <w:t>送入料仓。</w:t>
            </w:r>
          </w:p>
          <w:p>
            <w:pPr>
              <w:ind w:firstLine="480"/>
              <w:rPr>
                <w:b/>
                <w:bCs/>
                <w:color w:val="auto"/>
              </w:rPr>
            </w:pPr>
            <w:r>
              <w:rPr>
                <w:rFonts w:hint="eastAsia"/>
                <w:b/>
                <w:bCs/>
                <w:color w:val="auto"/>
              </w:rPr>
              <w:t>（</w:t>
            </w:r>
            <w:r>
              <w:rPr>
                <w:b/>
                <w:bCs/>
                <w:color w:val="auto"/>
              </w:rPr>
              <w:t>3</w:t>
            </w:r>
            <w:r>
              <w:rPr>
                <w:rFonts w:hint="eastAsia"/>
                <w:b/>
                <w:bCs/>
                <w:color w:val="auto"/>
              </w:rPr>
              <w:t>）固液分离甩干</w:t>
            </w:r>
          </w:p>
          <w:p>
            <w:pPr>
              <w:ind w:firstLine="480"/>
              <w:rPr>
                <w:color w:val="auto"/>
              </w:rPr>
            </w:pPr>
            <w:r>
              <w:rPr>
                <w:rFonts w:hint="eastAsia"/>
                <w:color w:val="auto"/>
              </w:rPr>
              <w:t>餐厨垃圾经卸料后通过无</w:t>
            </w:r>
            <w:r>
              <w:rPr>
                <w:rFonts w:hint="eastAsia"/>
                <w:color w:val="auto"/>
                <w:shd w:val="clear" w:fill="FFFFFF"/>
              </w:rPr>
              <w:t>轴</w:t>
            </w:r>
            <w:r>
              <w:rPr>
                <w:rFonts w:hint="eastAsia"/>
                <w:color w:val="auto"/>
              </w:rPr>
              <w:t>螺旋提升机送入固液分离甩干机</w:t>
            </w:r>
            <w:r>
              <w:rPr>
                <w:color w:val="auto"/>
              </w:rPr>
              <w:t>，</w:t>
            </w:r>
            <w:r>
              <w:rPr>
                <w:rFonts w:hint="eastAsia"/>
                <w:color w:val="auto"/>
              </w:rPr>
              <w:t>无</w:t>
            </w:r>
            <w:r>
              <w:rPr>
                <w:rFonts w:hint="eastAsia"/>
                <w:color w:val="auto"/>
                <w:shd w:val="clear" w:fill="FFFFFF"/>
              </w:rPr>
              <w:t>轴</w:t>
            </w:r>
            <w:r>
              <w:rPr>
                <w:rFonts w:hint="eastAsia"/>
                <w:color w:val="auto"/>
              </w:rPr>
              <w:t>螺旋提升机采用全密闭式，便于清洗，可以高效输送更多物料，甩干机通过离心分离方式，将餐厨垃圾中的废餐盒、废塑料等不可降解垃圾分离出来，同时会分离出少量的废水，废水通过设备回流进入三相分离设备，废餐盒、塑料统一收集后暂存于一般固废间，定期交由环卫部门清运处置。</w:t>
            </w:r>
          </w:p>
          <w:p>
            <w:pPr>
              <w:ind w:firstLine="480"/>
              <w:rPr>
                <w:b/>
                <w:bCs/>
                <w:color w:val="auto"/>
              </w:rPr>
            </w:pPr>
            <w:r>
              <w:rPr>
                <w:rFonts w:hint="eastAsia"/>
                <w:b/>
                <w:bCs/>
                <w:color w:val="auto"/>
              </w:rPr>
              <w:t>（</w:t>
            </w:r>
            <w:r>
              <w:rPr>
                <w:b/>
                <w:bCs/>
                <w:color w:val="auto"/>
              </w:rPr>
              <w:t>4</w:t>
            </w:r>
            <w:r>
              <w:rPr>
                <w:rFonts w:hint="eastAsia"/>
                <w:b/>
                <w:bCs/>
                <w:color w:val="auto"/>
              </w:rPr>
              <w:t>）三相分离</w:t>
            </w:r>
          </w:p>
          <w:p>
            <w:pPr>
              <w:ind w:firstLine="480"/>
              <w:rPr>
                <w:color w:val="auto"/>
              </w:rPr>
            </w:pPr>
            <w:r>
              <w:rPr>
                <w:rFonts w:hint="eastAsia"/>
                <w:color w:val="auto"/>
              </w:rPr>
              <w:t>固液分离后采用有</w:t>
            </w:r>
            <w:r>
              <w:rPr>
                <w:rFonts w:hint="eastAsia"/>
                <w:color w:val="auto"/>
                <w:shd w:val="clear" w:fill="FFFFFF"/>
              </w:rPr>
              <w:t>轴</w:t>
            </w:r>
            <w:r>
              <w:rPr>
                <w:rFonts w:hint="eastAsia"/>
                <w:color w:val="auto"/>
              </w:rPr>
              <w:t>螺旋提升机将物料送入三相分离设备，有</w:t>
            </w:r>
            <w:r>
              <w:rPr>
                <w:rFonts w:hint="eastAsia"/>
                <w:color w:val="auto"/>
                <w:shd w:val="clear" w:fill="FFFFFF"/>
              </w:rPr>
              <w:t>轴</w:t>
            </w:r>
            <w:r>
              <w:rPr>
                <w:rFonts w:hint="eastAsia"/>
                <w:color w:val="auto"/>
              </w:rPr>
              <w:t>螺旋提升机采用全密闭式，三相分离前需要用热蒸汽对餐厨垃圾进行加热，三相分离设备采用特种钢材制成，耐高温，加热温度控制在1</w:t>
            </w:r>
            <w:r>
              <w:rPr>
                <w:color w:val="auto"/>
              </w:rPr>
              <w:t>20</w:t>
            </w:r>
            <w:r>
              <w:rPr>
                <w:rFonts w:hint="eastAsia"/>
                <w:color w:val="auto"/>
              </w:rPr>
              <w:t>℃左右，加热时间为2</w:t>
            </w:r>
            <w:r>
              <w:rPr>
                <w:color w:val="auto"/>
              </w:rPr>
              <w:t>5</w:t>
            </w:r>
            <w:r>
              <w:rPr>
                <w:rFonts w:hint="eastAsia"/>
                <w:color w:val="auto"/>
              </w:rPr>
              <w:t>min，通过加热灭杀餐厨垃圾中的细菌、病原体等，同时加热过程中还可以使绝大部分油脂融化。三相</w:t>
            </w:r>
            <w:r>
              <w:rPr>
                <w:rFonts w:hint="eastAsia"/>
                <w:color w:val="auto"/>
                <w:lang w:eastAsia="zh-CN"/>
              </w:rPr>
              <w:t>分离</w:t>
            </w:r>
            <w:r>
              <w:rPr>
                <w:rFonts w:hint="eastAsia"/>
                <w:color w:val="auto"/>
              </w:rPr>
              <w:t>加热热源采用生物质专用锅炉蒸汽，采用生物质燃料，</w:t>
            </w:r>
            <w:r>
              <w:rPr>
                <w:rFonts w:hint="eastAsia"/>
                <w:color w:val="auto"/>
                <w:lang w:val="en-US" w:eastAsia="zh-CN"/>
              </w:rPr>
              <w:t>项目</w:t>
            </w:r>
            <w:r>
              <w:rPr>
                <w:rFonts w:hint="eastAsia"/>
                <w:color w:val="auto"/>
              </w:rPr>
              <w:t>锅炉用水量为</w:t>
            </w:r>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锅炉产生蒸汽（5.6t）进入三相分离工段</w:t>
            </w:r>
            <w:r>
              <w:rPr>
                <w:rFonts w:hint="eastAsia"/>
                <w:color w:val="auto"/>
              </w:rPr>
              <w:t>，</w:t>
            </w:r>
            <w:r>
              <w:rPr>
                <w:rFonts w:hint="eastAsia"/>
                <w:color w:val="auto"/>
                <w:lang w:val="en-US" w:eastAsia="zh-CN"/>
              </w:rPr>
              <w:t>其中进入三相分离工段的蒸汽20%（1.12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，336</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外环境，80%蒸汽（4.48</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，1344</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）冷凝后进入三相分离产生的分离废水</w:t>
            </w:r>
            <w:r>
              <w:rPr>
                <w:rFonts w:hint="eastAsia"/>
                <w:color w:val="auto"/>
                <w:lang w:eastAsia="zh-CN"/>
              </w:rPr>
              <w:t>；</w:t>
            </w:r>
            <w:r>
              <w:rPr>
                <w:rFonts w:hint="eastAsia"/>
                <w:color w:val="auto"/>
                <w:lang w:val="en-US" w:eastAsia="zh-CN"/>
              </w:rPr>
              <w:t>其余锅炉产生蒸汽（12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，3600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w:t>
            </w:r>
            <w:r>
              <w:rPr>
                <w:rFonts w:hint="eastAsia"/>
                <w:color w:val="auto"/>
              </w:rPr>
              <w:t>，</w:t>
            </w:r>
            <w:r>
              <w:rPr>
                <w:rFonts w:hint="eastAsia"/>
                <w:color w:val="auto"/>
                <w:lang w:val="en-US" w:eastAsia="zh-CN"/>
              </w:rPr>
              <w:t>项目</w:t>
            </w:r>
            <w:r>
              <w:rPr>
                <w:rFonts w:hint="eastAsia"/>
                <w:color w:val="auto"/>
                <w:lang w:eastAsia="zh-CN"/>
              </w:rPr>
              <w:t>生物质锅炉（</w:t>
            </w:r>
            <w:r>
              <w:rPr>
                <w:rFonts w:hint="eastAsia"/>
                <w:color w:val="auto"/>
                <w:lang w:val="en-US" w:eastAsia="zh-CN"/>
              </w:rPr>
              <w:t>蒸发量：2.2t/h</w:t>
            </w:r>
            <w:r>
              <w:rPr>
                <w:rFonts w:hint="eastAsia"/>
                <w:color w:val="auto"/>
                <w:lang w:eastAsia="zh-CN"/>
              </w:rPr>
              <w:t>）</w:t>
            </w:r>
            <w:r>
              <w:rPr>
                <w:rFonts w:hint="eastAsia"/>
                <w:color w:val="auto"/>
              </w:rPr>
              <w:t>配有低氮燃烧器，燃烧废气通过</w:t>
            </w:r>
            <w:r>
              <w:rPr>
                <w:rFonts w:hint="eastAsia"/>
                <w:color w:val="auto"/>
                <w:lang w:val="en-US" w:eastAsia="zh-CN"/>
              </w:rPr>
              <w:t>布袋</w:t>
            </w:r>
            <w:r>
              <w:rPr>
                <w:rFonts w:hint="eastAsia"/>
                <w:color w:val="auto"/>
              </w:rPr>
              <w:t>除尘器处理后经</w:t>
            </w:r>
            <w:r>
              <w:rPr>
                <w:rFonts w:hint="eastAsia"/>
                <w:color w:val="auto"/>
                <w:lang w:val="en-US" w:eastAsia="zh-CN"/>
              </w:rPr>
              <w:t>3</w:t>
            </w:r>
            <w:r>
              <w:rPr>
                <w:color w:val="auto"/>
              </w:rPr>
              <w:t>0</w:t>
            </w:r>
            <w:r>
              <w:rPr>
                <w:rFonts w:hint="eastAsia"/>
                <w:color w:val="auto"/>
              </w:rPr>
              <w:t>m高D</w:t>
            </w:r>
            <w:r>
              <w:rPr>
                <w:color w:val="auto"/>
              </w:rPr>
              <w:t>A002</w:t>
            </w:r>
            <w:r>
              <w:rPr>
                <w:rFonts w:hint="eastAsia"/>
                <w:color w:val="auto"/>
              </w:rPr>
              <w:t>排气筒排放。</w:t>
            </w:r>
          </w:p>
          <w:p>
            <w:pPr>
              <w:ind w:firstLine="480"/>
              <w:rPr>
                <w:color w:val="auto"/>
              </w:rPr>
            </w:pPr>
            <w:r>
              <w:rPr>
                <w:rFonts w:hint="eastAsia"/>
                <w:color w:val="auto"/>
              </w:rPr>
              <w:t>餐</w:t>
            </w:r>
            <w:r>
              <w:rPr>
                <w:rFonts w:hint="eastAsia"/>
                <w:color w:val="auto"/>
                <w:shd w:val="clear" w:fill="FFFFFF"/>
              </w:rPr>
              <w:t>厨</w:t>
            </w:r>
            <w:r>
              <w:rPr>
                <w:rFonts w:hint="eastAsia"/>
                <w:color w:val="auto"/>
              </w:rPr>
              <w:t>三相分离机通过离心力的作用，将餐厨垃圾分离成油、水、固体三个部分。具体过程如下：</w:t>
            </w:r>
          </w:p>
          <w:p>
            <w:pPr>
              <w:ind w:firstLine="480"/>
              <w:rPr>
                <w:color w:val="auto"/>
              </w:rPr>
            </w:pPr>
            <w:r>
              <w:rPr>
                <w:rFonts w:hint="eastAsia"/>
                <w:color w:val="auto"/>
              </w:rPr>
              <w:t>油的分离：餐厨垃圾中含有大量的油脂，这些油脂在分离区域内经过高速旋转后，会被分离出来并沉积在机器的油脂收集桶内。由于餐厨垃圾中油脂的含量不同，因此在油脂收集桶内还需要进行油脂的筛选和分离，以保证油脂的纯度。</w:t>
            </w:r>
          </w:p>
          <w:p>
            <w:pPr>
              <w:ind w:firstLine="480"/>
              <w:rPr>
                <w:color w:val="auto"/>
              </w:rPr>
            </w:pPr>
            <w:r>
              <w:rPr>
                <w:rFonts w:hint="eastAsia"/>
                <w:color w:val="auto"/>
              </w:rPr>
              <w:t>水的分离：与油脂分离类似，餐厨垃圾中的水分也会在分离区域内被分离出来。分离后的水中仍然会混有一定的油脂，通过在三相分离设备内部静置沉淀，油水逐步分离，表面的油脂通过人工收集，废水接入污水管进入一体化污水处理站进行处置。</w:t>
            </w:r>
          </w:p>
          <w:p>
            <w:pPr>
              <w:ind w:firstLine="480"/>
              <w:rPr>
                <w:color w:val="auto"/>
              </w:rPr>
            </w:pPr>
            <w:r>
              <w:rPr>
                <w:rFonts w:hint="eastAsia"/>
                <w:color w:val="auto"/>
              </w:rPr>
              <w:t>固体的分离：经过油和水的分离后，剩下的部分为固体。</w:t>
            </w:r>
          </w:p>
          <w:p>
            <w:pPr>
              <w:ind w:firstLine="480"/>
              <w:rPr>
                <w:color w:val="auto"/>
              </w:rPr>
            </w:pPr>
            <w:r>
              <w:rPr>
                <w:rFonts w:hint="eastAsia"/>
                <w:color w:val="auto"/>
              </w:rPr>
              <w:t>通过三相分离后，固体含水率控制在5</w:t>
            </w:r>
            <w:r>
              <w:rPr>
                <w:color w:val="auto"/>
              </w:rPr>
              <w:t>5%</w:t>
            </w:r>
            <w:r>
              <w:rPr>
                <w:rFonts w:hint="eastAsia"/>
                <w:color w:val="auto"/>
              </w:rPr>
              <w:t>左右，粗油脂含水率≤</w:t>
            </w:r>
            <w:r>
              <w:rPr>
                <w:color w:val="auto"/>
              </w:rPr>
              <w:t>5%</w:t>
            </w:r>
            <w:r>
              <w:rPr>
                <w:rFonts w:hint="eastAsia"/>
                <w:color w:val="auto"/>
              </w:rPr>
              <w:t>，含油率≥</w:t>
            </w:r>
            <w:r>
              <w:rPr>
                <w:color w:val="auto"/>
              </w:rPr>
              <w:t>95%</w:t>
            </w:r>
            <w:r>
              <w:rPr>
                <w:rFonts w:hint="eastAsia"/>
                <w:color w:val="auto"/>
              </w:rPr>
              <w:t>。</w:t>
            </w:r>
          </w:p>
          <w:p>
            <w:pPr>
              <w:ind w:firstLine="480"/>
              <w:rPr>
                <w:b/>
                <w:bCs/>
                <w:color w:val="auto"/>
              </w:rPr>
            </w:pPr>
            <w:r>
              <w:rPr>
                <w:rFonts w:hint="eastAsia"/>
                <w:b/>
                <w:bCs/>
                <w:color w:val="auto"/>
              </w:rPr>
              <w:t>（</w:t>
            </w:r>
            <w:r>
              <w:rPr>
                <w:b/>
                <w:bCs/>
                <w:color w:val="auto"/>
              </w:rPr>
              <w:t>5</w:t>
            </w:r>
            <w:r>
              <w:rPr>
                <w:rFonts w:hint="eastAsia"/>
                <w:b/>
                <w:bCs/>
                <w:color w:val="auto"/>
              </w:rPr>
              <w:t>）好氧发酵</w:t>
            </w:r>
          </w:p>
          <w:p>
            <w:pPr>
              <w:ind w:firstLine="480"/>
              <w:rPr>
                <w:color w:val="auto"/>
              </w:rPr>
            </w:pPr>
            <w:r>
              <w:rPr>
                <w:rFonts w:hint="eastAsia"/>
                <w:color w:val="auto"/>
              </w:rPr>
              <w:t>本项目发酵工艺采用机械式生物好氧发酵工艺，既通过一台发酵仓设备，加入微生物好氧发酵菌剂，精准控制发酵温度、湿度、通风量等发酵条件，促使有机垃圾在最短时间内腐熟，腐熟后的有机垃圾转变为富含小分子腐殖酸的腐殖质，含水量大大降低，无异味，从而实现减量化和资源化的目的。</w:t>
            </w:r>
          </w:p>
          <w:p>
            <w:pPr>
              <w:ind w:firstLine="480"/>
              <w:rPr>
                <w:color w:val="auto"/>
              </w:rPr>
            </w:pPr>
            <w:r>
              <w:rPr>
                <w:rFonts w:hint="eastAsia"/>
                <w:color w:val="auto"/>
              </w:rPr>
              <w:t>有机垃圾主要有三大组分，分别是木质纤维、蛋白质和脂类，本次选用的好氧发酵菌种，包括各种成分的促</w:t>
            </w:r>
            <w:r>
              <w:rPr>
                <w:rFonts w:hint="eastAsia"/>
                <w:color w:val="auto"/>
                <w:shd w:val="clear" w:fill="FFFFFF"/>
              </w:rPr>
              <w:t>腐</w:t>
            </w:r>
            <w:r>
              <w:rPr>
                <w:rFonts w:hint="eastAsia"/>
                <w:color w:val="auto"/>
              </w:rPr>
              <w:t>降解菌、生物表面活性剂</w:t>
            </w:r>
            <w:r>
              <w:rPr>
                <w:rFonts w:hint="eastAsia"/>
                <w:color w:val="auto"/>
                <w:lang w:eastAsia="zh-CN"/>
              </w:rPr>
              <w:t>，以及</w:t>
            </w:r>
            <w:r>
              <w:rPr>
                <w:rFonts w:hint="eastAsia"/>
                <w:color w:val="auto"/>
              </w:rPr>
              <w:t>具有</w:t>
            </w:r>
            <w:r>
              <w:rPr>
                <w:rFonts w:hint="eastAsia"/>
                <w:color w:val="auto"/>
                <w:shd w:val="clear" w:fill="FFFFFF"/>
              </w:rPr>
              <w:t>保氮抑臭</w:t>
            </w:r>
            <w:r>
              <w:rPr>
                <w:rFonts w:hint="eastAsia"/>
                <w:color w:val="auto"/>
              </w:rPr>
              <w:t>功能的氨、硫氧化菌，在中温好氧条件下，微生物大量繁殖，将大分子有机物分</w:t>
            </w:r>
            <w:r>
              <w:rPr>
                <w:rFonts w:hint="eastAsia"/>
                <w:color w:val="auto"/>
                <w:lang w:eastAsia="zh-CN"/>
              </w:rPr>
              <w:t>解为</w:t>
            </w:r>
            <w:r>
              <w:rPr>
                <w:rFonts w:hint="eastAsia"/>
                <w:color w:val="auto"/>
              </w:rPr>
              <w:t>小分子的单糖、氨基酸、酚类、醌类等物质，最后缩</w:t>
            </w:r>
            <w:r>
              <w:rPr>
                <w:rFonts w:hint="eastAsia"/>
                <w:color w:val="auto"/>
                <w:lang w:eastAsia="zh-CN"/>
              </w:rPr>
              <w:t>合成</w:t>
            </w:r>
            <w:r>
              <w:rPr>
                <w:rFonts w:hint="eastAsia"/>
                <w:color w:val="auto"/>
              </w:rPr>
              <w:t>低分子量腐殖酸。发酵温度一般控制在55-65℃，发酵时间控制在</w:t>
            </w:r>
            <w:r>
              <w:rPr>
                <w:color w:val="auto"/>
              </w:rPr>
              <w:t>48</w:t>
            </w:r>
            <w:r>
              <w:rPr>
                <w:rFonts w:hint="eastAsia"/>
                <w:color w:val="auto"/>
              </w:rPr>
              <w:t>小时内。产出的生化腐植酸，无害化率可达100%，经再次科学配比，即为生物有机肥原料。本项目所用好氧发酵设备，主要包括容积为</w:t>
            </w:r>
            <w:r>
              <w:rPr>
                <w:color w:val="auto"/>
              </w:rPr>
              <w:t>40</w:t>
            </w:r>
            <w:r>
              <w:rPr>
                <w:rFonts w:hint="eastAsia"/>
                <w:color w:val="auto"/>
              </w:rPr>
              <w:t>m</w:t>
            </w:r>
            <w:r>
              <w:rPr>
                <w:rFonts w:hint="eastAsia"/>
                <w:color w:val="auto"/>
                <w:vertAlign w:val="superscript"/>
              </w:rPr>
              <w:t>3</w:t>
            </w:r>
            <w:r>
              <w:rPr>
                <w:rFonts w:hint="eastAsia"/>
                <w:color w:val="auto"/>
              </w:rPr>
              <w:t>发酵仓、功率为</w:t>
            </w:r>
            <w:r>
              <w:rPr>
                <w:color w:val="auto"/>
              </w:rPr>
              <w:t>30</w:t>
            </w:r>
            <w:r>
              <w:rPr>
                <w:rFonts w:hint="eastAsia"/>
                <w:color w:val="auto"/>
                <w:shd w:val="clear" w:fill="FFFFFF"/>
              </w:rPr>
              <w:t>kw</w:t>
            </w:r>
            <w:r>
              <w:rPr>
                <w:rFonts w:hint="eastAsia"/>
                <w:color w:val="auto"/>
              </w:rPr>
              <w:t>间歇式正反转运行的搅拌系统、电加热系统、进出料口、观察口、温度传感器等及各部分相关控制系统。单台处理能力为</w:t>
            </w:r>
            <w:r>
              <w:rPr>
                <w:color w:val="auto"/>
              </w:rPr>
              <w:t>36</w:t>
            </w:r>
            <w:r>
              <w:rPr>
                <w:rFonts w:hint="eastAsia"/>
                <w:color w:val="auto"/>
              </w:rPr>
              <w:t>t/d。物料发酵时间一般在</w:t>
            </w:r>
            <w:r>
              <w:rPr>
                <w:color w:val="auto"/>
              </w:rPr>
              <w:t>48</w:t>
            </w:r>
            <w:r>
              <w:rPr>
                <w:rFonts w:hint="eastAsia"/>
                <w:color w:val="auto"/>
              </w:rPr>
              <w:t>小时以内，垃圾减量率≤85%，产出物含水率≤30%，无害化率达100%。为优质有机肥原料，稍加科学配比即可为优质有机肥。</w:t>
            </w:r>
          </w:p>
          <w:p>
            <w:pPr>
              <w:ind w:firstLine="480"/>
              <w:rPr>
                <w:color w:val="auto"/>
              </w:rPr>
            </w:pPr>
            <w:r>
              <w:rPr>
                <w:rFonts w:hint="eastAsia"/>
                <w:color w:val="auto"/>
              </w:rPr>
              <w:t>好氧发酵过程会产生少量恶臭，由于好氧发酵仓位于处置车间内，好氧发酵仓运行时间为2</w:t>
            </w:r>
            <w:r>
              <w:rPr>
                <w:color w:val="auto"/>
              </w:rPr>
              <w:t>4</w:t>
            </w:r>
            <w:r>
              <w:rPr>
                <w:rFonts w:hint="eastAsia"/>
                <w:color w:val="auto"/>
              </w:rPr>
              <w:t>h</w:t>
            </w:r>
            <w:r>
              <w:rPr>
                <w:color w:val="auto"/>
              </w:rPr>
              <w:t>/</w:t>
            </w:r>
            <w:r>
              <w:rPr>
                <w:rFonts w:hint="eastAsia"/>
                <w:color w:val="auto"/>
              </w:rPr>
              <w:t>d，因此处置车间微负压风机和生物洗涤塔2</w:t>
            </w:r>
            <w:r>
              <w:rPr>
                <w:color w:val="auto"/>
              </w:rPr>
              <w:t>4</w:t>
            </w:r>
            <w:r>
              <w:rPr>
                <w:rFonts w:hint="eastAsia"/>
                <w:color w:val="auto"/>
              </w:rPr>
              <w:t>h运行，以保证去除好氧发酵过程产生的恶臭。</w:t>
            </w:r>
          </w:p>
          <w:p>
            <w:pPr>
              <w:pStyle w:val="61"/>
              <w:spacing w:before="60" w:after="60"/>
              <w:rPr>
                <w:color w:val="auto"/>
              </w:rPr>
            </w:pPr>
            <w:r>
              <w:rPr>
                <w:rFonts w:hint="eastAsia"/>
                <w:color w:val="auto"/>
              </w:rPr>
              <w:t>2.2.2污染工序识别</w:t>
            </w:r>
          </w:p>
          <w:p>
            <w:pPr>
              <w:ind w:firstLine="480"/>
              <w:rPr>
                <w:color w:val="auto"/>
              </w:rPr>
            </w:pPr>
            <w:r>
              <w:rPr>
                <w:rFonts w:hint="eastAsia"/>
                <w:color w:val="auto"/>
              </w:rPr>
              <w:t>本项目营运期影响因子识别如下：</w:t>
            </w:r>
          </w:p>
          <w:p>
            <w:pPr>
              <w:pStyle w:val="71"/>
              <w:rPr>
                <w:b/>
                <w:bCs w:val="0"/>
                <w:color w:val="auto"/>
              </w:rPr>
            </w:pPr>
            <w:r>
              <w:rPr>
                <w:b/>
                <w:bCs w:val="0"/>
                <w:color w:val="auto"/>
              </w:rPr>
              <w:t>表</w:t>
            </w:r>
            <w:r>
              <w:rPr>
                <w:rFonts w:hint="eastAsia"/>
                <w:b/>
                <w:bCs w:val="0"/>
                <w:color w:val="auto"/>
              </w:rPr>
              <w:t>2</w:t>
            </w:r>
            <w:r>
              <w:rPr>
                <w:b/>
                <w:bCs w:val="0"/>
                <w:color w:val="auto"/>
              </w:rPr>
              <w:t xml:space="preserve">.2-1 </w:t>
            </w:r>
            <w:r>
              <w:rPr>
                <w:rFonts w:hint="eastAsia"/>
                <w:b/>
                <w:bCs w:val="0"/>
                <w:color w:val="auto"/>
                <w:lang w:val="en-US" w:eastAsia="zh-CN"/>
              </w:rPr>
              <w:t xml:space="preserve"> </w:t>
            </w:r>
            <w:r>
              <w:rPr>
                <w:b/>
                <w:bCs w:val="0"/>
                <w:color w:val="auto"/>
              </w:rPr>
              <w:t>运营期主要污染工序一览表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01"/>
              <w:gridCol w:w="1988"/>
              <w:gridCol w:w="3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Align w:val="center"/>
                </w:tcPr>
                <w:p>
                  <w:pPr>
                    <w:pStyle w:val="68"/>
                    <w:rPr>
                      <w:b/>
                      <w:bCs w:val="0"/>
                      <w:color w:val="auto"/>
                    </w:rPr>
                  </w:pPr>
                  <w:r>
                    <w:rPr>
                      <w:b/>
                      <w:bCs w:val="0"/>
                      <w:color w:val="auto"/>
                    </w:rPr>
                    <w:t>污染源类别</w:t>
                  </w:r>
                </w:p>
              </w:tc>
              <w:tc>
                <w:tcPr>
                  <w:tcW w:w="829" w:type="pct"/>
                  <w:vAlign w:val="center"/>
                </w:tcPr>
                <w:p>
                  <w:pPr>
                    <w:pStyle w:val="68"/>
                    <w:rPr>
                      <w:b/>
                      <w:bCs w:val="0"/>
                      <w:color w:val="auto"/>
                      <w:lang w:eastAsia="zh-CN"/>
                    </w:rPr>
                  </w:pPr>
                  <w:r>
                    <w:rPr>
                      <w:b/>
                      <w:bCs w:val="0"/>
                      <w:color w:val="auto"/>
                    </w:rPr>
                    <w:t>污染</w:t>
                  </w:r>
                  <w:r>
                    <w:rPr>
                      <w:rFonts w:hint="eastAsia"/>
                      <w:b/>
                      <w:bCs w:val="0"/>
                      <w:color w:val="auto"/>
                      <w:lang w:eastAsia="zh-CN"/>
                    </w:rPr>
                    <w:t>物</w:t>
                  </w:r>
                </w:p>
              </w:tc>
              <w:tc>
                <w:tcPr>
                  <w:tcW w:w="1267" w:type="pct"/>
                  <w:vAlign w:val="center"/>
                </w:tcPr>
                <w:p>
                  <w:pPr>
                    <w:pStyle w:val="68"/>
                    <w:rPr>
                      <w:b/>
                      <w:bCs w:val="0"/>
                      <w:color w:val="auto"/>
                    </w:rPr>
                  </w:pPr>
                  <w:r>
                    <w:rPr>
                      <w:b/>
                      <w:bCs w:val="0"/>
                      <w:color w:val="auto"/>
                    </w:rPr>
                    <w:t>产生工序</w:t>
                  </w:r>
                </w:p>
              </w:tc>
              <w:tc>
                <w:tcPr>
                  <w:tcW w:w="2056" w:type="pct"/>
                  <w:vAlign w:val="center"/>
                </w:tcPr>
                <w:p>
                  <w:pPr>
                    <w:pStyle w:val="68"/>
                    <w:rPr>
                      <w:b/>
                      <w:bCs w:val="0"/>
                      <w:color w:val="auto"/>
                    </w:rPr>
                  </w:pPr>
                  <w:r>
                    <w:rPr>
                      <w:b/>
                      <w:bCs w:val="0"/>
                      <w:color w:val="auto"/>
                    </w:rPr>
                    <w:t>主要污染因子或污染物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7" w:type="pct"/>
                  <w:vMerge w:val="restart"/>
                  <w:vAlign w:val="center"/>
                </w:tcPr>
                <w:p>
                  <w:pPr>
                    <w:pStyle w:val="68"/>
                    <w:rPr>
                      <w:color w:val="auto"/>
                    </w:rPr>
                  </w:pPr>
                  <w:r>
                    <w:rPr>
                      <w:color w:val="auto"/>
                    </w:rPr>
                    <w:t>废水</w:t>
                  </w:r>
                </w:p>
              </w:tc>
              <w:tc>
                <w:tcPr>
                  <w:tcW w:w="829" w:type="pct"/>
                  <w:vAlign w:val="center"/>
                </w:tcPr>
                <w:p>
                  <w:pPr>
                    <w:pStyle w:val="68"/>
                    <w:rPr>
                      <w:color w:val="auto"/>
                    </w:rPr>
                  </w:pPr>
                  <w:r>
                    <w:rPr>
                      <w:rFonts w:hint="eastAsia"/>
                      <w:color w:val="auto"/>
                      <w:lang w:eastAsia="zh-CN"/>
                    </w:rPr>
                    <w:t>生活污水</w:t>
                  </w:r>
                </w:p>
              </w:tc>
              <w:tc>
                <w:tcPr>
                  <w:tcW w:w="1267" w:type="pct"/>
                  <w:vAlign w:val="center"/>
                </w:tcPr>
                <w:p>
                  <w:pPr>
                    <w:pStyle w:val="68"/>
                    <w:rPr>
                      <w:color w:val="auto"/>
                      <w:lang w:eastAsia="zh-CN"/>
                    </w:rPr>
                  </w:pPr>
                  <w:r>
                    <w:rPr>
                      <w:rFonts w:hint="eastAsia"/>
                      <w:color w:val="auto"/>
                      <w:lang w:eastAsia="zh-CN"/>
                    </w:rPr>
                    <w:t>办公</w:t>
                  </w:r>
                </w:p>
              </w:tc>
              <w:tc>
                <w:tcPr>
                  <w:tcW w:w="2056" w:type="pct"/>
                  <w:vAlign w:val="center"/>
                </w:tcPr>
                <w:p>
                  <w:pPr>
                    <w:pStyle w:val="68"/>
                    <w:rPr>
                      <w:color w:val="auto"/>
                    </w:rPr>
                  </w:pPr>
                  <w:r>
                    <w:rPr>
                      <w:rFonts w:hint="eastAsia"/>
                      <w:color w:val="auto"/>
                      <w:lang w:eastAsia="zh-CN"/>
                    </w:rPr>
                    <w:t>C</w:t>
                  </w:r>
                  <w:r>
                    <w:rPr>
                      <w:color w:val="auto"/>
                      <w:lang w:eastAsia="zh-CN"/>
                    </w:rPr>
                    <w:t>OD</w:t>
                  </w:r>
                  <w:r>
                    <w:rPr>
                      <w:rFonts w:hint="eastAsia"/>
                      <w:color w:val="auto"/>
                      <w:lang w:eastAsia="zh-CN"/>
                    </w:rPr>
                    <w:t>、B</w:t>
                  </w:r>
                  <w:r>
                    <w:rPr>
                      <w:color w:val="auto"/>
                      <w:lang w:eastAsia="zh-CN"/>
                    </w:rPr>
                    <w:t>OD</w:t>
                  </w:r>
                  <w:r>
                    <w:rPr>
                      <w:color w:val="auto"/>
                      <w:vertAlign w:val="subscript"/>
                      <w:lang w:eastAsia="zh-CN"/>
                    </w:rPr>
                    <w:t>5</w:t>
                  </w:r>
                  <w:r>
                    <w:rPr>
                      <w:rFonts w:hint="eastAsia"/>
                      <w:color w:val="auto"/>
                      <w:lang w:eastAsia="zh-CN"/>
                    </w:rPr>
                    <w:t>、氨氮、总磷等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7" w:type="pct"/>
                  <w:vMerge w:val="continue"/>
                  <w:vAlign w:val="center"/>
                </w:tcPr>
                <w:p>
                  <w:pPr>
                    <w:pStyle w:val="68"/>
                    <w:rPr>
                      <w:color w:val="auto"/>
                    </w:rPr>
                  </w:pPr>
                </w:p>
              </w:tc>
              <w:tc>
                <w:tcPr>
                  <w:tcW w:w="829" w:type="pct"/>
                  <w:vAlign w:val="center"/>
                </w:tcPr>
                <w:p>
                  <w:pPr>
                    <w:pStyle w:val="68"/>
                    <w:rPr>
                      <w:color w:val="auto"/>
                      <w:lang w:eastAsia="zh-CN"/>
                    </w:rPr>
                  </w:pPr>
                  <w:r>
                    <w:rPr>
                      <w:rFonts w:hint="eastAsia"/>
                      <w:color w:val="auto"/>
                      <w:lang w:eastAsia="zh-CN"/>
                    </w:rPr>
                    <w:t>生产废水</w:t>
                  </w:r>
                </w:p>
              </w:tc>
              <w:tc>
                <w:tcPr>
                  <w:tcW w:w="1267" w:type="pct"/>
                  <w:vAlign w:val="center"/>
                </w:tcPr>
                <w:p>
                  <w:pPr>
                    <w:pStyle w:val="68"/>
                    <w:rPr>
                      <w:color w:val="auto"/>
                      <w:lang w:eastAsia="zh-CN"/>
                    </w:rPr>
                  </w:pPr>
                  <w:r>
                    <w:rPr>
                      <w:rFonts w:hint="eastAsia"/>
                      <w:color w:val="auto"/>
                      <w:lang w:eastAsia="zh-CN"/>
                    </w:rPr>
                    <w:t>固液分离</w:t>
                  </w:r>
                </w:p>
              </w:tc>
              <w:tc>
                <w:tcPr>
                  <w:tcW w:w="2056" w:type="pct"/>
                  <w:vAlign w:val="center"/>
                </w:tcPr>
                <w:p>
                  <w:pPr>
                    <w:pStyle w:val="68"/>
                    <w:rPr>
                      <w:color w:val="auto"/>
                      <w:lang w:eastAsia="zh-CN"/>
                    </w:rPr>
                  </w:pPr>
                  <w:r>
                    <w:rPr>
                      <w:rFonts w:hint="eastAsia"/>
                      <w:color w:val="auto"/>
                      <w:lang w:eastAsia="zh-CN"/>
                    </w:rPr>
                    <w:t>C</w:t>
                  </w:r>
                  <w:r>
                    <w:rPr>
                      <w:color w:val="auto"/>
                      <w:lang w:eastAsia="zh-CN"/>
                    </w:rPr>
                    <w:t>OD</w:t>
                  </w:r>
                  <w:r>
                    <w:rPr>
                      <w:rFonts w:hint="eastAsia"/>
                      <w:color w:val="auto"/>
                      <w:lang w:eastAsia="zh-CN"/>
                    </w:rPr>
                    <w:t>、B</w:t>
                  </w:r>
                  <w:r>
                    <w:rPr>
                      <w:color w:val="auto"/>
                      <w:lang w:eastAsia="zh-CN"/>
                    </w:rPr>
                    <w:t>OD</w:t>
                  </w:r>
                  <w:r>
                    <w:rPr>
                      <w:color w:val="auto"/>
                      <w:vertAlign w:val="subscript"/>
                      <w:lang w:eastAsia="zh-CN"/>
                    </w:rPr>
                    <w:t>5</w:t>
                  </w:r>
                  <w:r>
                    <w:rPr>
                      <w:rFonts w:hint="eastAsia"/>
                      <w:color w:val="auto"/>
                      <w:lang w:eastAsia="zh-CN"/>
                    </w:rPr>
                    <w:t>、氨氮、总磷、总氮、S</w:t>
                  </w:r>
                  <w:r>
                    <w:rPr>
                      <w:color w:val="auto"/>
                      <w:lang w:eastAsia="zh-CN"/>
                    </w:rPr>
                    <w:t>S</w:t>
                  </w:r>
                  <w:r>
                    <w:rPr>
                      <w:rFonts w:hint="eastAsia"/>
                      <w:color w:val="auto"/>
                      <w:lang w:eastAsia="zh-CN"/>
                    </w:rPr>
                    <w:t>、动植物油等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rPr>
                  </w:pPr>
                </w:p>
              </w:tc>
              <w:tc>
                <w:tcPr>
                  <w:tcW w:w="829" w:type="pct"/>
                  <w:vAlign w:val="center"/>
                </w:tcPr>
                <w:p>
                  <w:pPr>
                    <w:pStyle w:val="68"/>
                    <w:rPr>
                      <w:color w:val="auto"/>
                      <w:lang w:eastAsia="zh-CN"/>
                    </w:rPr>
                  </w:pPr>
                  <w:r>
                    <w:rPr>
                      <w:rFonts w:hint="eastAsia"/>
                      <w:color w:val="auto"/>
                      <w:lang w:eastAsia="zh-CN"/>
                    </w:rPr>
                    <w:t>清洗废水</w:t>
                  </w:r>
                </w:p>
              </w:tc>
              <w:tc>
                <w:tcPr>
                  <w:tcW w:w="1267" w:type="pct"/>
                  <w:vAlign w:val="center"/>
                </w:tcPr>
                <w:p>
                  <w:pPr>
                    <w:pStyle w:val="68"/>
                    <w:rPr>
                      <w:color w:val="auto"/>
                      <w:lang w:eastAsia="zh-CN"/>
                    </w:rPr>
                  </w:pPr>
                  <w:r>
                    <w:rPr>
                      <w:rFonts w:hint="eastAsia"/>
                      <w:color w:val="auto"/>
                      <w:lang w:eastAsia="zh-CN"/>
                    </w:rPr>
                    <w:t>设备、地面、车辆清洗</w:t>
                  </w:r>
                </w:p>
              </w:tc>
              <w:tc>
                <w:tcPr>
                  <w:tcW w:w="2056" w:type="pct"/>
                  <w:vAlign w:val="center"/>
                </w:tcPr>
                <w:p>
                  <w:pPr>
                    <w:pStyle w:val="68"/>
                    <w:rPr>
                      <w:color w:val="auto"/>
                      <w:lang w:eastAsia="zh-CN"/>
                    </w:rPr>
                  </w:pPr>
                  <w:r>
                    <w:rPr>
                      <w:rFonts w:hint="eastAsia"/>
                      <w:color w:val="auto"/>
                      <w:lang w:eastAsia="zh-CN"/>
                    </w:rPr>
                    <w:t>C</w:t>
                  </w:r>
                  <w:r>
                    <w:rPr>
                      <w:color w:val="auto"/>
                      <w:lang w:eastAsia="zh-CN"/>
                    </w:rPr>
                    <w:t>OD</w:t>
                  </w:r>
                  <w:r>
                    <w:rPr>
                      <w:rFonts w:hint="eastAsia"/>
                      <w:color w:val="auto"/>
                      <w:lang w:eastAsia="zh-CN"/>
                    </w:rPr>
                    <w:t>、B</w:t>
                  </w:r>
                  <w:r>
                    <w:rPr>
                      <w:color w:val="auto"/>
                      <w:lang w:eastAsia="zh-CN"/>
                    </w:rPr>
                    <w:t>OD</w:t>
                  </w:r>
                  <w:r>
                    <w:rPr>
                      <w:color w:val="auto"/>
                      <w:vertAlign w:val="subscript"/>
                      <w:lang w:eastAsia="zh-CN"/>
                    </w:rPr>
                    <w:t>5</w:t>
                  </w:r>
                  <w:r>
                    <w:rPr>
                      <w:rFonts w:hint="eastAsia"/>
                      <w:color w:val="auto"/>
                      <w:lang w:eastAsia="zh-CN"/>
                    </w:rPr>
                    <w:t>、氨氮、总磷、总氮、S</w:t>
                  </w:r>
                  <w:r>
                    <w:rPr>
                      <w:color w:val="auto"/>
                      <w:lang w:eastAsia="zh-CN"/>
                    </w:rPr>
                    <w:t>S</w:t>
                  </w:r>
                  <w:r>
                    <w:rPr>
                      <w:rFonts w:hint="eastAsia"/>
                      <w:color w:val="auto"/>
                      <w:lang w:eastAsia="zh-CN"/>
                    </w:rPr>
                    <w:t>、动植物油等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rPr>
                  </w:pPr>
                </w:p>
              </w:tc>
              <w:tc>
                <w:tcPr>
                  <w:tcW w:w="829" w:type="pct"/>
                  <w:vAlign w:val="center"/>
                </w:tcPr>
                <w:p>
                  <w:pPr>
                    <w:pStyle w:val="68"/>
                    <w:rPr>
                      <w:color w:val="auto"/>
                      <w:lang w:eastAsia="zh-CN"/>
                    </w:rPr>
                  </w:pPr>
                  <w:r>
                    <w:rPr>
                      <w:rFonts w:hint="eastAsia"/>
                      <w:color w:val="auto"/>
                      <w:lang w:eastAsia="zh-CN"/>
                    </w:rPr>
                    <w:t>锅炉排水</w:t>
                  </w:r>
                </w:p>
              </w:tc>
              <w:tc>
                <w:tcPr>
                  <w:tcW w:w="1267" w:type="pct"/>
                  <w:vAlign w:val="center"/>
                </w:tcPr>
                <w:p>
                  <w:pPr>
                    <w:pStyle w:val="68"/>
                    <w:rPr>
                      <w:color w:val="auto"/>
                      <w:lang w:eastAsia="zh-CN"/>
                    </w:rPr>
                  </w:pPr>
                  <w:r>
                    <w:rPr>
                      <w:rFonts w:hint="eastAsia"/>
                      <w:color w:val="auto"/>
                      <w:lang w:eastAsia="zh-CN"/>
                    </w:rPr>
                    <w:t>锅炉检修</w:t>
                  </w:r>
                </w:p>
              </w:tc>
              <w:tc>
                <w:tcPr>
                  <w:tcW w:w="2056" w:type="pct"/>
                  <w:vAlign w:val="center"/>
                </w:tcPr>
                <w:p>
                  <w:pPr>
                    <w:pStyle w:val="68"/>
                    <w:rPr>
                      <w:color w:val="auto"/>
                    </w:rPr>
                  </w:pPr>
                  <w:r>
                    <w:rPr>
                      <w:rFonts w:hint="eastAsia"/>
                      <w:color w:val="auto"/>
                      <w:lang w:eastAsia="zh-CN"/>
                    </w:rPr>
                    <w:t>盐分</w:t>
                  </w:r>
                  <w:r>
                    <w:rPr>
                      <w:rFonts w:hint="eastAsia"/>
                      <w:color w:val="auto"/>
                      <w:shd w:val="clear" w:fill="FFFFFF"/>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restart"/>
                  <w:vAlign w:val="center"/>
                </w:tcPr>
                <w:p>
                  <w:pPr>
                    <w:pStyle w:val="68"/>
                    <w:rPr>
                      <w:color w:val="auto"/>
                    </w:rPr>
                  </w:pPr>
                  <w:r>
                    <w:rPr>
                      <w:color w:val="auto"/>
                    </w:rPr>
                    <w:t>废气</w:t>
                  </w:r>
                </w:p>
              </w:tc>
              <w:tc>
                <w:tcPr>
                  <w:tcW w:w="829" w:type="pct"/>
                  <w:vAlign w:val="center"/>
                </w:tcPr>
                <w:p>
                  <w:pPr>
                    <w:pStyle w:val="68"/>
                    <w:rPr>
                      <w:color w:val="auto"/>
                      <w:lang w:eastAsia="zh-CN"/>
                    </w:rPr>
                  </w:pPr>
                  <w:r>
                    <w:rPr>
                      <w:rFonts w:hint="eastAsia"/>
                      <w:color w:val="auto"/>
                      <w:lang w:eastAsia="zh-CN"/>
                    </w:rPr>
                    <w:t>燃烧废气</w:t>
                  </w:r>
                </w:p>
              </w:tc>
              <w:tc>
                <w:tcPr>
                  <w:tcW w:w="1267" w:type="pct"/>
                  <w:vAlign w:val="center"/>
                </w:tcPr>
                <w:p>
                  <w:pPr>
                    <w:pStyle w:val="68"/>
                    <w:rPr>
                      <w:color w:val="auto"/>
                      <w:lang w:eastAsia="zh-CN"/>
                    </w:rPr>
                  </w:pPr>
                  <w:r>
                    <w:rPr>
                      <w:rFonts w:hint="eastAsia"/>
                      <w:color w:val="auto"/>
                      <w:lang w:eastAsia="zh-CN"/>
                    </w:rPr>
                    <w:t>生物质锅炉</w:t>
                  </w:r>
                </w:p>
              </w:tc>
              <w:tc>
                <w:tcPr>
                  <w:tcW w:w="2056" w:type="pct"/>
                  <w:vAlign w:val="center"/>
                </w:tcPr>
                <w:p>
                  <w:pPr>
                    <w:pStyle w:val="68"/>
                    <w:rPr>
                      <w:color w:val="auto"/>
                      <w:lang w:eastAsia="zh-CN"/>
                    </w:rPr>
                  </w:pPr>
                  <w:r>
                    <w:rPr>
                      <w:rFonts w:hint="eastAsia"/>
                      <w:color w:val="auto"/>
                      <w:lang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rPr>
                  </w:pPr>
                </w:p>
              </w:tc>
              <w:tc>
                <w:tcPr>
                  <w:tcW w:w="829" w:type="pct"/>
                  <w:vAlign w:val="center"/>
                </w:tcPr>
                <w:p>
                  <w:pPr>
                    <w:pStyle w:val="68"/>
                    <w:rPr>
                      <w:color w:val="auto"/>
                      <w:lang w:eastAsia="zh-CN"/>
                    </w:rPr>
                  </w:pPr>
                  <w:r>
                    <w:rPr>
                      <w:rFonts w:hint="eastAsia"/>
                      <w:color w:val="auto"/>
                      <w:lang w:eastAsia="zh-CN"/>
                    </w:rPr>
                    <w:t>恶臭</w:t>
                  </w:r>
                </w:p>
              </w:tc>
              <w:tc>
                <w:tcPr>
                  <w:tcW w:w="1267" w:type="pct"/>
                  <w:vAlign w:val="center"/>
                </w:tcPr>
                <w:p>
                  <w:pPr>
                    <w:pStyle w:val="68"/>
                    <w:rPr>
                      <w:color w:val="auto"/>
                      <w:lang w:eastAsia="zh-CN"/>
                    </w:rPr>
                  </w:pPr>
                  <w:r>
                    <w:rPr>
                      <w:rFonts w:hint="eastAsia"/>
                      <w:color w:val="auto"/>
                      <w:lang w:eastAsia="zh-CN"/>
                    </w:rPr>
                    <w:t>餐厨垃圾处理</w:t>
                  </w:r>
                </w:p>
              </w:tc>
              <w:tc>
                <w:tcPr>
                  <w:tcW w:w="2056" w:type="pct"/>
                  <w:vAlign w:val="center"/>
                </w:tcPr>
                <w:p>
                  <w:pPr>
                    <w:pStyle w:val="68"/>
                    <w:rPr>
                      <w:color w:val="auto"/>
                      <w:lang w:eastAsia="zh-CN"/>
                    </w:rPr>
                  </w:pPr>
                  <w:r>
                    <w:rPr>
                      <w:rFonts w:hint="eastAsia"/>
                      <w:color w:val="auto"/>
                      <w:shd w:val="clear" w:fill="FFFFFF"/>
                      <w:lang w:eastAsia="zh-CN"/>
                    </w:rPr>
                    <w:t>臭气浓度</w:t>
                  </w:r>
                  <w:r>
                    <w:rPr>
                      <w:rFonts w:hint="eastAsia"/>
                      <w:color w:val="auto"/>
                      <w:lang w:eastAsia="zh-CN"/>
                    </w:rPr>
                    <w:t>、氨、硫化氢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Align w:val="center"/>
                </w:tcPr>
                <w:p>
                  <w:pPr>
                    <w:pStyle w:val="68"/>
                    <w:rPr>
                      <w:color w:val="auto"/>
                    </w:rPr>
                  </w:pPr>
                  <w:r>
                    <w:rPr>
                      <w:color w:val="auto"/>
                    </w:rPr>
                    <w:t>噪声</w:t>
                  </w:r>
                </w:p>
              </w:tc>
              <w:tc>
                <w:tcPr>
                  <w:tcW w:w="829" w:type="pct"/>
                  <w:vAlign w:val="center"/>
                </w:tcPr>
                <w:p>
                  <w:pPr>
                    <w:pStyle w:val="68"/>
                    <w:rPr>
                      <w:color w:val="auto"/>
                    </w:rPr>
                  </w:pPr>
                  <w:r>
                    <w:rPr>
                      <w:color w:val="auto"/>
                    </w:rPr>
                    <w:t>噪声</w:t>
                  </w:r>
                </w:p>
              </w:tc>
              <w:tc>
                <w:tcPr>
                  <w:tcW w:w="1267" w:type="pct"/>
                  <w:vAlign w:val="center"/>
                </w:tcPr>
                <w:p>
                  <w:pPr>
                    <w:pStyle w:val="68"/>
                    <w:rPr>
                      <w:color w:val="auto"/>
                    </w:rPr>
                  </w:pPr>
                  <w:r>
                    <w:rPr>
                      <w:rFonts w:hint="eastAsia"/>
                      <w:color w:val="auto"/>
                      <w:lang w:eastAsia="zh-CN"/>
                    </w:rPr>
                    <w:t>运输、生产</w:t>
                  </w:r>
                </w:p>
              </w:tc>
              <w:tc>
                <w:tcPr>
                  <w:tcW w:w="2056" w:type="pct"/>
                  <w:vAlign w:val="center"/>
                </w:tcPr>
                <w:p>
                  <w:pPr>
                    <w:pStyle w:val="68"/>
                    <w:rPr>
                      <w:color w:val="auto"/>
                      <w:lang w:val="en-US" w:eastAsia="zh-CN"/>
                    </w:rPr>
                  </w:pPr>
                  <w:r>
                    <w:rPr>
                      <w:rFonts w:hint="eastAsia"/>
                      <w:color w:val="auto"/>
                      <w:shd w:val="clear" w:fill="FFFFFF"/>
                      <w:lang w:val="en-US" w:eastAsia="zh-CN"/>
                    </w:rPr>
                    <w:t>L</w:t>
                  </w:r>
                  <w:r>
                    <w:rPr>
                      <w:color w:val="auto"/>
                      <w:shd w:val="clear" w:fill="FFFFFF"/>
                      <w:lang w:val="en-US" w:eastAsia="zh-CN"/>
                    </w:rPr>
                    <w:t>eq</w:t>
                  </w:r>
                  <w:r>
                    <w:rPr>
                      <w:rFonts w:hint="eastAsia"/>
                      <w:color w:val="auto"/>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restart"/>
                  <w:vAlign w:val="center"/>
                </w:tcPr>
                <w:p>
                  <w:pPr>
                    <w:pStyle w:val="68"/>
                    <w:rPr>
                      <w:color w:val="auto"/>
                    </w:rPr>
                  </w:pPr>
                  <w:r>
                    <w:rPr>
                      <w:rFonts w:hint="eastAsia"/>
                      <w:color w:val="auto"/>
                      <w:shd w:val="clear" w:fill="FFFFFF"/>
                      <w:lang w:eastAsia="zh-CN"/>
                    </w:rPr>
                    <w:t>固废</w:t>
                  </w:r>
                </w:p>
              </w:tc>
              <w:tc>
                <w:tcPr>
                  <w:tcW w:w="829" w:type="pct"/>
                  <w:vMerge w:val="restart"/>
                  <w:vAlign w:val="center"/>
                </w:tcPr>
                <w:p>
                  <w:pPr>
                    <w:pStyle w:val="68"/>
                    <w:rPr>
                      <w:color w:val="auto"/>
                    </w:rPr>
                  </w:pPr>
                  <w:r>
                    <w:rPr>
                      <w:color w:val="auto"/>
                    </w:rPr>
                    <w:t>一般固废</w:t>
                  </w:r>
                </w:p>
              </w:tc>
              <w:tc>
                <w:tcPr>
                  <w:tcW w:w="1267" w:type="pct"/>
                  <w:vAlign w:val="center"/>
                </w:tcPr>
                <w:p>
                  <w:pPr>
                    <w:pStyle w:val="68"/>
                    <w:rPr>
                      <w:color w:val="auto"/>
                      <w:lang w:eastAsia="zh-CN"/>
                    </w:rPr>
                  </w:pPr>
                  <w:r>
                    <w:rPr>
                      <w:rFonts w:hint="eastAsia"/>
                      <w:color w:val="auto"/>
                      <w:lang w:eastAsia="zh-CN"/>
                    </w:rPr>
                    <w:t>固液分离</w:t>
                  </w:r>
                </w:p>
              </w:tc>
              <w:tc>
                <w:tcPr>
                  <w:tcW w:w="2056" w:type="pct"/>
                  <w:vAlign w:val="center"/>
                </w:tcPr>
                <w:p>
                  <w:pPr>
                    <w:pStyle w:val="68"/>
                    <w:rPr>
                      <w:color w:val="auto"/>
                    </w:rPr>
                  </w:pPr>
                  <w:r>
                    <w:rPr>
                      <w:rFonts w:hint="eastAsia"/>
                      <w:color w:val="auto"/>
                      <w:lang w:eastAsia="zh-CN"/>
                    </w:rPr>
                    <w:t>餐盒、塑料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lang w:eastAsia="zh-CN"/>
                    </w:rPr>
                  </w:pPr>
                </w:p>
              </w:tc>
              <w:tc>
                <w:tcPr>
                  <w:tcW w:w="829" w:type="pct"/>
                  <w:vMerge w:val="continue"/>
                  <w:vAlign w:val="center"/>
                </w:tcPr>
                <w:p>
                  <w:pPr>
                    <w:pStyle w:val="68"/>
                    <w:rPr>
                      <w:color w:val="auto"/>
                    </w:rPr>
                  </w:pPr>
                </w:p>
              </w:tc>
              <w:tc>
                <w:tcPr>
                  <w:tcW w:w="1267" w:type="pct"/>
                  <w:vAlign w:val="center"/>
                </w:tcPr>
                <w:p>
                  <w:pPr>
                    <w:pStyle w:val="68"/>
                    <w:rPr>
                      <w:color w:val="auto"/>
                      <w:lang w:eastAsia="zh-CN"/>
                    </w:rPr>
                  </w:pPr>
                  <w:r>
                    <w:rPr>
                      <w:rFonts w:hint="eastAsia"/>
                      <w:color w:val="auto"/>
                      <w:lang w:eastAsia="zh-CN"/>
                    </w:rPr>
                    <w:t>湿式除尘</w:t>
                  </w:r>
                </w:p>
              </w:tc>
              <w:tc>
                <w:tcPr>
                  <w:tcW w:w="2056" w:type="pct"/>
                  <w:vAlign w:val="center"/>
                </w:tcPr>
                <w:p>
                  <w:pPr>
                    <w:pStyle w:val="68"/>
                    <w:rPr>
                      <w:color w:val="auto"/>
                      <w:lang w:eastAsia="zh-CN"/>
                    </w:rPr>
                  </w:pPr>
                  <w:r>
                    <w:rPr>
                      <w:rFonts w:hint="eastAsia"/>
                      <w:color w:val="auto"/>
                      <w:lang w:eastAsia="zh-CN"/>
                    </w:rPr>
                    <w:t>湿式除尘污泥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lang w:eastAsia="zh-CN"/>
                    </w:rPr>
                  </w:pPr>
                </w:p>
              </w:tc>
              <w:tc>
                <w:tcPr>
                  <w:tcW w:w="829" w:type="pct"/>
                  <w:vMerge w:val="continue"/>
                  <w:vAlign w:val="center"/>
                </w:tcPr>
                <w:p>
                  <w:pPr>
                    <w:pStyle w:val="68"/>
                    <w:rPr>
                      <w:color w:val="auto"/>
                    </w:rPr>
                  </w:pPr>
                </w:p>
              </w:tc>
              <w:tc>
                <w:tcPr>
                  <w:tcW w:w="1267" w:type="pct"/>
                  <w:vAlign w:val="center"/>
                </w:tcPr>
                <w:p>
                  <w:pPr>
                    <w:pStyle w:val="68"/>
                    <w:rPr>
                      <w:color w:val="auto"/>
                      <w:lang w:eastAsia="zh-CN"/>
                    </w:rPr>
                  </w:pPr>
                  <w:r>
                    <w:rPr>
                      <w:rFonts w:hint="eastAsia"/>
                      <w:color w:val="auto"/>
                      <w:lang w:eastAsia="zh-CN"/>
                    </w:rPr>
                    <w:t>生物洗涤</w:t>
                  </w:r>
                </w:p>
              </w:tc>
              <w:tc>
                <w:tcPr>
                  <w:tcW w:w="2056" w:type="pct"/>
                  <w:vAlign w:val="center"/>
                </w:tcPr>
                <w:p>
                  <w:pPr>
                    <w:pStyle w:val="68"/>
                    <w:rPr>
                      <w:color w:val="auto"/>
                      <w:lang w:eastAsia="zh-CN"/>
                    </w:rPr>
                  </w:pPr>
                  <w:r>
                    <w:rPr>
                      <w:rFonts w:hint="eastAsia"/>
                      <w:color w:val="auto"/>
                      <w:shd w:val="clear" w:fill="FFFFFF"/>
                      <w:lang w:eastAsia="zh-CN"/>
                    </w:rPr>
                    <w:t>废</w:t>
                  </w:r>
                  <w:r>
                    <w:rPr>
                      <w:rFonts w:hint="eastAsia"/>
                      <w:color w:val="auto"/>
                      <w:lang w:eastAsia="zh-CN"/>
                    </w:rPr>
                    <w:t>滤芯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7" w:type="pct"/>
                  <w:vMerge w:val="continue"/>
                  <w:vAlign w:val="center"/>
                </w:tcPr>
                <w:p>
                  <w:pPr>
                    <w:pStyle w:val="68"/>
                    <w:rPr>
                      <w:color w:val="auto"/>
                      <w:lang w:eastAsia="zh-CN"/>
                    </w:rPr>
                  </w:pPr>
                </w:p>
              </w:tc>
              <w:tc>
                <w:tcPr>
                  <w:tcW w:w="829" w:type="pct"/>
                  <w:vMerge w:val="continue"/>
                  <w:vAlign w:val="center"/>
                </w:tcPr>
                <w:p>
                  <w:pPr>
                    <w:pStyle w:val="68"/>
                    <w:rPr>
                      <w:color w:val="auto"/>
                    </w:rPr>
                  </w:pPr>
                </w:p>
              </w:tc>
              <w:tc>
                <w:tcPr>
                  <w:tcW w:w="1267" w:type="pct"/>
                  <w:vAlign w:val="center"/>
                </w:tcPr>
                <w:p>
                  <w:pPr>
                    <w:pStyle w:val="68"/>
                    <w:rPr>
                      <w:color w:val="auto"/>
                      <w:lang w:eastAsia="zh-CN"/>
                    </w:rPr>
                  </w:pPr>
                  <w:r>
                    <w:rPr>
                      <w:rFonts w:hint="eastAsia"/>
                      <w:color w:val="auto"/>
                      <w:lang w:eastAsia="zh-CN"/>
                    </w:rPr>
                    <w:t>污水站</w:t>
                  </w:r>
                </w:p>
              </w:tc>
              <w:tc>
                <w:tcPr>
                  <w:tcW w:w="2056" w:type="pct"/>
                  <w:vAlign w:val="center"/>
                </w:tcPr>
                <w:p>
                  <w:pPr>
                    <w:pStyle w:val="68"/>
                    <w:rPr>
                      <w:color w:val="auto"/>
                      <w:lang w:eastAsia="zh-CN"/>
                    </w:rPr>
                  </w:pPr>
                  <w:r>
                    <w:rPr>
                      <w:rFonts w:hint="eastAsia"/>
                      <w:color w:val="auto"/>
                      <w:lang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lang w:eastAsia="zh-CN"/>
                    </w:rPr>
                  </w:pPr>
                </w:p>
              </w:tc>
              <w:tc>
                <w:tcPr>
                  <w:tcW w:w="829" w:type="pct"/>
                  <w:vMerge w:val="continue"/>
                  <w:vAlign w:val="center"/>
                </w:tcPr>
                <w:p>
                  <w:pPr>
                    <w:pStyle w:val="68"/>
                    <w:rPr>
                      <w:color w:val="auto"/>
                    </w:rPr>
                  </w:pPr>
                </w:p>
              </w:tc>
              <w:tc>
                <w:tcPr>
                  <w:tcW w:w="1267" w:type="pct"/>
                  <w:vAlign w:val="center"/>
                </w:tcPr>
                <w:p>
                  <w:pPr>
                    <w:pStyle w:val="68"/>
                    <w:rPr>
                      <w:color w:val="auto"/>
                      <w:lang w:eastAsia="zh-CN"/>
                    </w:rPr>
                  </w:pPr>
                  <w:r>
                    <w:rPr>
                      <w:rFonts w:hint="eastAsia"/>
                      <w:color w:val="auto"/>
                      <w:lang w:eastAsia="zh-CN"/>
                    </w:rPr>
                    <w:t>生物质锅炉燃烧</w:t>
                  </w:r>
                </w:p>
              </w:tc>
              <w:tc>
                <w:tcPr>
                  <w:tcW w:w="2056" w:type="pct"/>
                  <w:vAlign w:val="center"/>
                </w:tcPr>
                <w:p>
                  <w:pPr>
                    <w:pStyle w:val="68"/>
                    <w:rPr>
                      <w:color w:val="auto"/>
                      <w:lang w:eastAsia="zh-CN"/>
                    </w:rPr>
                  </w:pPr>
                  <w:r>
                    <w:rPr>
                      <w:rFonts w:hint="eastAsia"/>
                      <w:color w:val="auto"/>
                      <w:lang w:eastAsia="zh-CN"/>
                    </w:rPr>
                    <w:t>炉灰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lang w:eastAsia="zh-CN"/>
                    </w:rPr>
                  </w:pPr>
                </w:p>
              </w:tc>
              <w:tc>
                <w:tcPr>
                  <w:tcW w:w="829" w:type="pct"/>
                  <w:vMerge w:val="continue"/>
                  <w:vAlign w:val="center"/>
                </w:tcPr>
                <w:p>
                  <w:pPr>
                    <w:pStyle w:val="68"/>
                    <w:rPr>
                      <w:color w:val="auto"/>
                    </w:rPr>
                  </w:pPr>
                </w:p>
              </w:tc>
              <w:tc>
                <w:tcPr>
                  <w:tcW w:w="1267" w:type="pct"/>
                  <w:vAlign w:val="center"/>
                </w:tcPr>
                <w:p>
                  <w:pPr>
                    <w:pStyle w:val="68"/>
                    <w:rPr>
                      <w:color w:val="auto"/>
                      <w:lang w:eastAsia="zh-CN"/>
                    </w:rPr>
                  </w:pPr>
                  <w:r>
                    <w:rPr>
                      <w:rFonts w:hint="eastAsia"/>
                      <w:color w:val="auto"/>
                      <w:lang w:eastAsia="zh-CN"/>
                    </w:rPr>
                    <w:t>办公生活</w:t>
                  </w:r>
                </w:p>
              </w:tc>
              <w:tc>
                <w:tcPr>
                  <w:tcW w:w="2056" w:type="pct"/>
                  <w:vAlign w:val="center"/>
                </w:tcPr>
                <w:p>
                  <w:pPr>
                    <w:pStyle w:val="68"/>
                    <w:rPr>
                      <w:color w:val="auto"/>
                      <w:lang w:eastAsia="zh-CN"/>
                    </w:rPr>
                  </w:pPr>
                  <w:r>
                    <w:rPr>
                      <w:color w:val="auto"/>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7" w:type="pct"/>
                  <w:vMerge w:val="continue"/>
                  <w:vAlign w:val="center"/>
                </w:tcPr>
                <w:p>
                  <w:pPr>
                    <w:pStyle w:val="68"/>
                    <w:rPr>
                      <w:color w:val="auto"/>
                    </w:rPr>
                  </w:pPr>
                </w:p>
              </w:tc>
              <w:tc>
                <w:tcPr>
                  <w:tcW w:w="829" w:type="pct"/>
                  <w:vAlign w:val="center"/>
                </w:tcPr>
                <w:p>
                  <w:pPr>
                    <w:pStyle w:val="68"/>
                    <w:rPr>
                      <w:color w:val="auto"/>
                    </w:rPr>
                  </w:pPr>
                  <w:r>
                    <w:rPr>
                      <w:color w:val="auto"/>
                    </w:rPr>
                    <w:t>危险废物</w:t>
                  </w:r>
                </w:p>
              </w:tc>
              <w:tc>
                <w:tcPr>
                  <w:tcW w:w="1267" w:type="pct"/>
                  <w:vAlign w:val="center"/>
                </w:tcPr>
                <w:p>
                  <w:pPr>
                    <w:pStyle w:val="68"/>
                    <w:rPr>
                      <w:color w:val="auto"/>
                      <w:lang w:eastAsia="zh-CN"/>
                    </w:rPr>
                  </w:pPr>
                  <w:r>
                    <w:rPr>
                      <w:rFonts w:hint="eastAsia"/>
                      <w:color w:val="auto"/>
                      <w:lang w:eastAsia="zh-CN"/>
                    </w:rPr>
                    <w:t>设备</w:t>
                  </w:r>
                  <w:r>
                    <w:rPr>
                      <w:color w:val="auto"/>
                    </w:rPr>
                    <w:t>检修保养</w:t>
                  </w:r>
                </w:p>
              </w:tc>
              <w:tc>
                <w:tcPr>
                  <w:tcW w:w="2056" w:type="pct"/>
                  <w:vAlign w:val="center"/>
                </w:tcPr>
                <w:p>
                  <w:pPr>
                    <w:pStyle w:val="68"/>
                    <w:rPr>
                      <w:color w:val="auto"/>
                      <w:lang w:eastAsia="zh-CN"/>
                    </w:rPr>
                  </w:pPr>
                  <w:r>
                    <w:rPr>
                      <w:rFonts w:hint="eastAsia"/>
                      <w:color w:val="auto"/>
                      <w:lang w:eastAsia="zh-CN"/>
                    </w:rPr>
                    <w:t>废矿物油</w:t>
                  </w:r>
                </w:p>
              </w:tc>
            </w:tr>
          </w:tbl>
          <w:p>
            <w:pPr>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68" w:type="pct"/>
            <w:vAlign w:val="center"/>
          </w:tcPr>
          <w:p>
            <w:pPr>
              <w:pStyle w:val="59"/>
              <w:rPr>
                <w:color w:val="auto"/>
              </w:rPr>
            </w:pPr>
            <w:r>
              <w:rPr>
                <w:rFonts w:hint="eastAsia"/>
                <w:color w:val="auto"/>
              </w:rPr>
              <w:t>与项目有关的原有环境污染问题</w:t>
            </w:r>
          </w:p>
        </w:tc>
        <w:tc>
          <w:tcPr>
            <w:tcW w:w="4732" w:type="pct"/>
          </w:tcPr>
          <w:p>
            <w:pPr>
              <w:ind w:firstLine="480"/>
              <w:rPr>
                <w:color w:val="auto"/>
              </w:rPr>
            </w:pPr>
            <w:r>
              <w:rPr>
                <w:rFonts w:hint="eastAsia"/>
                <w:color w:val="auto"/>
                <w:highlight w:val="none"/>
              </w:rPr>
              <w:t>本项目使用师宗县彩云镇人民政府提供的建设用地，经现场踏勘，地块原为师宗县屠宰场用地，</w:t>
            </w:r>
            <w:r>
              <w:rPr>
                <w:rFonts w:hint="eastAsia" w:ascii="Times New Roman" w:hAnsi="Times New Roman" w:eastAsia="宋体" w:cs="Times New Roman"/>
                <w:color w:val="auto"/>
                <w:highlight w:val="none"/>
                <w:lang w:val="en-US" w:eastAsia="zh-CN"/>
              </w:rPr>
              <w:t>2023年1月建设单位委托云南联</w:t>
            </w:r>
            <w:r>
              <w:rPr>
                <w:rFonts w:hint="eastAsia" w:ascii="Times New Roman" w:hAnsi="Times New Roman" w:eastAsia="宋体" w:cs="Times New Roman"/>
                <w:color w:val="auto"/>
                <w:highlight w:val="none"/>
                <w:shd w:val="clear" w:fill="FFFFFF"/>
                <w:lang w:val="en-US" w:eastAsia="zh-CN"/>
              </w:rPr>
              <w:t>创</w:t>
            </w:r>
            <w:r>
              <w:rPr>
                <w:rFonts w:hint="eastAsia" w:ascii="Times New Roman" w:hAnsi="Times New Roman" w:eastAsia="宋体" w:cs="Times New Roman"/>
                <w:color w:val="auto"/>
                <w:highlight w:val="none"/>
                <w:lang w:val="en-US" w:eastAsia="zh-CN"/>
              </w:rPr>
              <w:t>环境工程有限公司编制完成《</w:t>
            </w:r>
            <w:r>
              <w:rPr>
                <w:rFonts w:hint="eastAsia" w:cs="Times New Roman"/>
                <w:color w:val="auto"/>
                <w:highlight w:val="none"/>
                <w:lang w:val="en-US" w:eastAsia="zh-CN"/>
              </w:rPr>
              <w:t>师宗县餐厨废弃油脂回收综合利用项目一期工程</w:t>
            </w:r>
            <w:r>
              <w:rPr>
                <w:rFonts w:hint="eastAsia" w:ascii="Times New Roman" w:hAnsi="Times New Roman" w:eastAsia="宋体" w:cs="Times New Roman"/>
                <w:color w:val="auto"/>
                <w:highlight w:val="none"/>
                <w:lang w:val="en-US" w:eastAsia="zh-CN"/>
              </w:rPr>
              <w:t>环境影响报告表》；2024年5月23日取得曲靖市生态环境局师宗分局关于</w:t>
            </w:r>
            <w:r>
              <w:rPr>
                <w:rFonts w:hint="eastAsia" w:cs="Times New Roman"/>
                <w:color w:val="auto"/>
                <w:highlight w:val="none"/>
                <w:lang w:val="en-US" w:eastAsia="zh-CN"/>
              </w:rPr>
              <w:t>师宗县餐厨废弃油脂回收综合利用项目一期工程</w:t>
            </w:r>
            <w:r>
              <w:rPr>
                <w:rFonts w:hint="eastAsia" w:ascii="Times New Roman" w:hAnsi="Times New Roman" w:eastAsia="宋体" w:cs="Times New Roman"/>
                <w:color w:val="auto"/>
                <w:highlight w:val="none"/>
                <w:lang w:val="en-US" w:eastAsia="zh-CN"/>
              </w:rPr>
              <w:t>环境影响报告表的批复（</w:t>
            </w:r>
            <w:r>
              <w:rPr>
                <w:rFonts w:hint="eastAsia" w:ascii="Times New Roman" w:hAnsi="Times New Roman" w:eastAsia="宋体" w:cs="Times New Roman"/>
                <w:color w:val="auto"/>
                <w:highlight w:val="none"/>
                <w:shd w:val="clear" w:fill="FFFFFF"/>
                <w:lang w:val="en-US" w:eastAsia="zh-CN"/>
              </w:rPr>
              <w:t>曲师环审</w:t>
            </w:r>
            <w:r>
              <w:rPr>
                <w:rFonts w:hint="eastAsia" w:ascii="Times New Roman" w:hAnsi="Times New Roman" w:eastAsia="宋体" w:cs="Times New Roman"/>
                <w:color w:val="auto"/>
                <w:highlight w:val="none"/>
                <w:lang w:val="en-US" w:eastAsia="zh-CN"/>
              </w:rPr>
              <w:t>〔2024〕8号）；2024年6月建设单位动工建设</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现阶段已建设餐厨垃圾处置车间、</w:t>
            </w:r>
            <w:r>
              <w:rPr>
                <w:rFonts w:hint="eastAsia" w:ascii="Times New Roman" w:hAnsi="Times New Roman" w:eastAsia="宋体" w:cs="Times New Roman"/>
                <w:color w:val="auto"/>
                <w:highlight w:val="none"/>
                <w:lang w:eastAsia="zh-CN"/>
              </w:rPr>
              <w:t>办公休息区、门卫室、成品油罐、</w:t>
            </w:r>
            <w:r>
              <w:rPr>
                <w:rFonts w:hint="eastAsia" w:ascii="Times New Roman" w:hAnsi="Times New Roman" w:eastAsia="宋体" w:cs="Times New Roman"/>
                <w:color w:val="auto"/>
                <w:highlight w:val="none"/>
                <w:lang w:val="en-US" w:eastAsia="zh-CN"/>
              </w:rPr>
              <w:t>初期雨水池、化粪池等建设，</w:t>
            </w:r>
            <w:r>
              <w:rPr>
                <w:rFonts w:hint="eastAsia" w:ascii="Times New Roman" w:hAnsi="Times New Roman" w:eastAsia="宋体" w:cs="Times New Roman"/>
                <w:color w:val="auto"/>
                <w:highlight w:val="none"/>
              </w:rPr>
              <w:t>其余工程均未建设，项目至今未投入生产，不存在与项目有关的原有环境污染问题。</w:t>
            </w:r>
          </w:p>
        </w:tc>
      </w:tr>
    </w:tbl>
    <w:p>
      <w:pPr>
        <w:tabs>
          <w:tab w:val="left" w:pos="1926"/>
        </w:tabs>
        <w:ind w:firstLine="480"/>
        <w:rPr>
          <w:color w:val="auto"/>
        </w:rPr>
      </w:pPr>
      <w:r>
        <w:rPr>
          <w:color w:val="auto"/>
        </w:rPr>
        <w:br w:type="page"/>
      </w:r>
    </w:p>
    <w:p>
      <w:pPr>
        <w:ind w:firstLine="480"/>
        <w:rPr>
          <w:color w:val="auto"/>
        </w:rPr>
        <w:sectPr>
          <w:pgSz w:w="11907" w:h="16840"/>
          <w:pgMar w:top="1440" w:right="1800" w:bottom="1440" w:left="1800" w:header="397" w:footer="850" w:gutter="0"/>
          <w:cols w:space="720" w:num="1"/>
          <w:docGrid w:linePitch="326"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s="Times New Roman"/>
          <w:color w:val="auto"/>
        </w:rPr>
      </w:pPr>
      <w:bookmarkStart w:id="3" w:name="_Toc103860795"/>
      <w:r>
        <w:rPr>
          <w:rFonts w:hint="eastAsia" w:cs="Times New Roman"/>
          <w:color w:val="auto"/>
        </w:rPr>
        <w:t>三、区域环境质量现状、环境保护目标及评价标准</w:t>
      </w:r>
      <w:bookmarkEnd w:id="3"/>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0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74" w:type="pct"/>
            <w:vAlign w:val="center"/>
          </w:tcPr>
          <w:p>
            <w:pPr>
              <w:pStyle w:val="68"/>
              <w:rPr>
                <w:color w:val="auto"/>
                <w:sz w:val="24"/>
                <w:szCs w:val="24"/>
              </w:rPr>
            </w:pPr>
            <w:r>
              <w:rPr>
                <w:rFonts w:hint="eastAsia"/>
                <w:color w:val="auto"/>
                <w:sz w:val="24"/>
                <w:szCs w:val="24"/>
              </w:rPr>
              <w:t>区域环境质量现状</w:t>
            </w:r>
          </w:p>
        </w:tc>
        <w:tc>
          <w:tcPr>
            <w:tcW w:w="4726" w:type="pct"/>
            <w:vAlign w:val="center"/>
          </w:tcPr>
          <w:p>
            <w:pPr>
              <w:pStyle w:val="56"/>
              <w:spacing w:before="120" w:after="120"/>
              <w:rPr>
                <w:color w:val="auto"/>
              </w:rPr>
            </w:pPr>
            <w:r>
              <w:rPr>
                <w:rFonts w:hint="eastAsia"/>
                <w:color w:val="auto"/>
              </w:rPr>
              <w:t>3.1环境质量现状</w:t>
            </w:r>
          </w:p>
          <w:p>
            <w:pPr>
              <w:pStyle w:val="61"/>
              <w:spacing w:before="60" w:after="60"/>
              <w:rPr>
                <w:color w:val="auto"/>
              </w:rPr>
            </w:pPr>
            <w:r>
              <w:rPr>
                <w:rFonts w:hint="eastAsia"/>
                <w:color w:val="auto"/>
              </w:rPr>
              <w:t>3.1.1大气环境质量现状</w:t>
            </w:r>
          </w:p>
          <w:p>
            <w:pPr>
              <w:pStyle w:val="84"/>
              <w:ind w:firstLine="482"/>
              <w:rPr>
                <w:color w:val="auto"/>
              </w:rPr>
            </w:pPr>
            <w:r>
              <w:rPr>
                <w:rFonts w:hint="eastAsia"/>
                <w:color w:val="auto"/>
              </w:rPr>
              <w:t>1</w:t>
            </w:r>
            <w:r>
              <w:rPr>
                <w:color w:val="auto"/>
              </w:rPr>
              <w:t>.</w:t>
            </w:r>
            <w:r>
              <w:rPr>
                <w:rFonts w:hint="eastAsia"/>
                <w:color w:val="auto"/>
              </w:rPr>
              <w:t>区域环境质量现状</w:t>
            </w:r>
          </w:p>
          <w:p>
            <w:pPr>
              <w:ind w:firstLine="480"/>
              <w:rPr>
                <w:color w:val="auto"/>
              </w:rPr>
            </w:pPr>
            <w:r>
              <w:rPr>
                <w:color w:val="auto"/>
              </w:rPr>
              <w:t>本项目位于</w:t>
            </w:r>
            <w:r>
              <w:rPr>
                <w:rFonts w:hint="eastAsia"/>
                <w:color w:val="auto"/>
                <w:lang w:eastAsia="zh-CN"/>
              </w:rPr>
              <w:t>师宗县彩云镇彩云中学砖厂</w:t>
            </w:r>
            <w:r>
              <w:rPr>
                <w:rFonts w:hint="eastAsia"/>
                <w:color w:val="auto"/>
                <w:shd w:val="clear" w:fill="FFFFFF"/>
                <w:lang w:eastAsia="zh-CN"/>
              </w:rPr>
              <w:t>旁</w:t>
            </w:r>
            <w:r>
              <w:rPr>
                <w:color w:val="auto"/>
              </w:rPr>
              <w:t>，</w:t>
            </w:r>
            <w:r>
              <w:rPr>
                <w:rFonts w:hint="eastAsia"/>
                <w:color w:val="auto"/>
              </w:rPr>
              <w:t>属于大气环境质量二类功能区，项目区域环境空气执行《环境空气质量标准》（</w:t>
            </w:r>
            <w:r>
              <w:rPr>
                <w:color w:val="auto"/>
              </w:rPr>
              <w:t>GB3095-2012</w:t>
            </w:r>
            <w:r>
              <w:rPr>
                <w:rFonts w:hint="eastAsia"/>
                <w:color w:val="auto"/>
              </w:rPr>
              <w:t>）及其修改单（2018第29号）二级标准，标准值见下表</w:t>
            </w:r>
            <w:r>
              <w:rPr>
                <w:rFonts w:hint="eastAsia"/>
                <w:color w:val="auto"/>
                <w:lang w:val="en-US" w:eastAsia="zh-CN"/>
              </w:rPr>
              <w:t>3.1-1所示</w:t>
            </w:r>
            <w:r>
              <w:rPr>
                <w:rFonts w:hint="eastAsia"/>
                <w:color w:val="auto"/>
              </w:rPr>
              <w:t>。</w:t>
            </w:r>
          </w:p>
          <w:p>
            <w:pPr>
              <w:pStyle w:val="71"/>
              <w:rPr>
                <w:color w:val="auto"/>
              </w:rPr>
            </w:pPr>
            <w:r>
              <w:rPr>
                <w:color w:val="auto"/>
              </w:rPr>
              <w:t xml:space="preserve">表3.1-1 </w:t>
            </w:r>
            <w:r>
              <w:rPr>
                <w:rFonts w:hint="eastAsia"/>
                <w:color w:val="auto"/>
                <w:lang w:val="en-US" w:eastAsia="zh-CN"/>
              </w:rPr>
              <w:t xml:space="preserve"> </w:t>
            </w:r>
            <w:r>
              <w:rPr>
                <w:color w:val="auto"/>
              </w:rPr>
              <w:t>环境空气质量标准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2023"/>
              <w:gridCol w:w="1867"/>
              <w:gridCol w:w="1856"/>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Align w:val="center"/>
                </w:tcPr>
                <w:p>
                  <w:pPr>
                    <w:pStyle w:val="68"/>
                    <w:rPr>
                      <w:b/>
                      <w:bCs/>
                      <w:color w:val="auto"/>
                    </w:rPr>
                  </w:pPr>
                  <w:r>
                    <w:rPr>
                      <w:b/>
                      <w:bCs/>
                      <w:color w:val="auto"/>
                    </w:rPr>
                    <w:t>污染物名称</w:t>
                  </w:r>
                </w:p>
              </w:tc>
              <w:tc>
                <w:tcPr>
                  <w:tcW w:w="1190" w:type="pct"/>
                  <w:vAlign w:val="center"/>
                </w:tcPr>
                <w:p>
                  <w:pPr>
                    <w:pStyle w:val="68"/>
                    <w:rPr>
                      <w:b/>
                      <w:bCs/>
                      <w:color w:val="auto"/>
                    </w:rPr>
                  </w:pPr>
                  <w:r>
                    <w:rPr>
                      <w:b/>
                      <w:bCs/>
                      <w:color w:val="auto"/>
                    </w:rPr>
                    <w:t>取值时间</w:t>
                  </w:r>
                </w:p>
              </w:tc>
              <w:tc>
                <w:tcPr>
                  <w:tcW w:w="1183" w:type="pct"/>
                  <w:vAlign w:val="center"/>
                </w:tcPr>
                <w:p>
                  <w:pPr>
                    <w:pStyle w:val="68"/>
                    <w:rPr>
                      <w:b/>
                      <w:bCs/>
                      <w:color w:val="auto"/>
                    </w:rPr>
                  </w:pPr>
                  <w:r>
                    <w:rPr>
                      <w:b/>
                      <w:bCs/>
                      <w:color w:val="auto"/>
                    </w:rPr>
                    <w:t>浓度限值</w:t>
                  </w:r>
                </w:p>
              </w:tc>
              <w:tc>
                <w:tcPr>
                  <w:tcW w:w="1336" w:type="pct"/>
                  <w:vAlign w:val="center"/>
                </w:tcPr>
                <w:p>
                  <w:pPr>
                    <w:pStyle w:val="68"/>
                    <w:rPr>
                      <w:b/>
                      <w:bCs/>
                      <w:color w:val="auto"/>
                    </w:rPr>
                  </w:pPr>
                  <w:r>
                    <w:rPr>
                      <w:b/>
                      <w:bCs/>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156" w:hRule="atLeast"/>
                <w:jc w:val="center"/>
              </w:trPr>
              <w:tc>
                <w:tcPr>
                  <w:tcW w:w="1289" w:type="pct"/>
                  <w:vMerge w:val="restart"/>
                  <w:vAlign w:val="center"/>
                </w:tcPr>
                <w:p>
                  <w:pPr>
                    <w:pStyle w:val="68"/>
                    <w:rPr>
                      <w:color w:val="auto"/>
                    </w:rPr>
                  </w:pPr>
                  <w:r>
                    <w:rPr>
                      <w:color w:val="auto"/>
                    </w:rPr>
                    <w:t>总悬浮颗粒物（TSP）</w:t>
                  </w:r>
                </w:p>
              </w:tc>
              <w:tc>
                <w:tcPr>
                  <w:tcW w:w="1190" w:type="pct"/>
                  <w:vAlign w:val="center"/>
                </w:tcPr>
                <w:p>
                  <w:pPr>
                    <w:pStyle w:val="68"/>
                    <w:rPr>
                      <w:color w:val="auto"/>
                    </w:rPr>
                  </w:pPr>
                  <w:r>
                    <w:rPr>
                      <w:color w:val="auto"/>
                    </w:rPr>
                    <w:t>年平均</w:t>
                  </w:r>
                </w:p>
              </w:tc>
              <w:tc>
                <w:tcPr>
                  <w:tcW w:w="1183" w:type="pct"/>
                  <w:vAlign w:val="center"/>
                </w:tcPr>
                <w:p>
                  <w:pPr>
                    <w:pStyle w:val="68"/>
                    <w:rPr>
                      <w:color w:val="auto"/>
                    </w:rPr>
                  </w:pPr>
                  <w:r>
                    <w:rPr>
                      <w:color w:val="auto"/>
                    </w:rPr>
                    <w:t>200</w:t>
                  </w:r>
                  <w:r>
                    <w:rPr>
                      <w:bCs/>
                      <w:color w:val="auto"/>
                    </w:rPr>
                    <w:t>μg/m</w:t>
                  </w:r>
                  <w:r>
                    <w:rPr>
                      <w:bCs/>
                      <w:color w:val="auto"/>
                      <w:vertAlign w:val="superscript"/>
                    </w:rPr>
                    <w:t>3</w:t>
                  </w:r>
                </w:p>
              </w:tc>
              <w:tc>
                <w:tcPr>
                  <w:tcW w:w="1336" w:type="pct"/>
                  <w:vMerge w:val="restart"/>
                  <w:vAlign w:val="center"/>
                </w:tcPr>
                <w:p>
                  <w:pPr>
                    <w:pStyle w:val="68"/>
                    <w:rPr>
                      <w:color w:val="auto"/>
                    </w:rPr>
                  </w:pPr>
                  <w:r>
                    <w:rPr>
                      <w:color w:val="auto"/>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300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细颗粒物</w:t>
                  </w:r>
                  <w:r>
                    <w:rPr>
                      <w:rFonts w:hint="eastAsia"/>
                      <w:color w:val="auto"/>
                      <w:lang w:eastAsia="zh-CN"/>
                    </w:rPr>
                    <w:t>（</w:t>
                  </w:r>
                  <w:r>
                    <w:rPr>
                      <w:color w:val="auto"/>
                    </w:rPr>
                    <w:t>PM</w:t>
                  </w:r>
                  <w:r>
                    <w:rPr>
                      <w:color w:val="auto"/>
                      <w:vertAlign w:val="subscript"/>
                    </w:rPr>
                    <w:t>2.5</w:t>
                  </w:r>
                  <w:r>
                    <w:rPr>
                      <w:rFonts w:hint="eastAsia"/>
                      <w:color w:val="auto"/>
                      <w:vertAlign w:val="baseline"/>
                      <w:lang w:eastAsia="zh-CN"/>
                    </w:rPr>
                    <w:t>）</w:t>
                  </w:r>
                </w:p>
              </w:tc>
              <w:tc>
                <w:tcPr>
                  <w:tcW w:w="1190" w:type="pct"/>
                  <w:vAlign w:val="center"/>
                </w:tcPr>
                <w:p>
                  <w:pPr>
                    <w:pStyle w:val="68"/>
                    <w:rPr>
                      <w:color w:val="auto"/>
                    </w:rPr>
                  </w:pPr>
                  <w:r>
                    <w:rPr>
                      <w:color w:val="auto"/>
                    </w:rPr>
                    <w:t>年平均</w:t>
                  </w:r>
                </w:p>
              </w:tc>
              <w:tc>
                <w:tcPr>
                  <w:tcW w:w="1183" w:type="pct"/>
                  <w:vAlign w:val="center"/>
                </w:tcPr>
                <w:p>
                  <w:pPr>
                    <w:pStyle w:val="68"/>
                    <w:rPr>
                      <w:color w:val="auto"/>
                    </w:rPr>
                  </w:pPr>
                  <w:r>
                    <w:rPr>
                      <w:color w:val="auto"/>
                    </w:rPr>
                    <w:t>35</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75</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可吸入颗粒物</w:t>
                  </w:r>
                  <w:r>
                    <w:rPr>
                      <w:rFonts w:hint="eastAsia"/>
                      <w:color w:val="auto"/>
                      <w:lang w:eastAsia="zh-CN"/>
                    </w:rPr>
                    <w:t>（</w:t>
                  </w:r>
                  <w:r>
                    <w:rPr>
                      <w:color w:val="auto"/>
                    </w:rPr>
                    <w:t>PM</w:t>
                  </w:r>
                  <w:r>
                    <w:rPr>
                      <w:color w:val="auto"/>
                      <w:vertAlign w:val="subscript"/>
                    </w:rPr>
                    <w:t>10</w:t>
                  </w:r>
                  <w:r>
                    <w:rPr>
                      <w:rFonts w:hint="eastAsia"/>
                      <w:color w:val="auto"/>
                      <w:vertAlign w:val="baseline"/>
                      <w:lang w:eastAsia="zh-CN"/>
                    </w:rPr>
                    <w:t>）</w:t>
                  </w:r>
                </w:p>
              </w:tc>
              <w:tc>
                <w:tcPr>
                  <w:tcW w:w="1190" w:type="pct"/>
                  <w:vAlign w:val="center"/>
                </w:tcPr>
                <w:p>
                  <w:pPr>
                    <w:pStyle w:val="68"/>
                    <w:rPr>
                      <w:color w:val="auto"/>
                    </w:rPr>
                  </w:pPr>
                  <w:r>
                    <w:rPr>
                      <w:color w:val="auto"/>
                    </w:rPr>
                    <w:t>年平均</w:t>
                  </w:r>
                </w:p>
              </w:tc>
              <w:tc>
                <w:tcPr>
                  <w:tcW w:w="1183" w:type="pct"/>
                  <w:vAlign w:val="center"/>
                </w:tcPr>
                <w:p>
                  <w:pPr>
                    <w:pStyle w:val="68"/>
                    <w:rPr>
                      <w:color w:val="auto"/>
                    </w:rPr>
                  </w:pPr>
                  <w:r>
                    <w:rPr>
                      <w:color w:val="auto"/>
                    </w:rPr>
                    <w:t>70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150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二氧化硫</w:t>
                  </w:r>
                  <w:r>
                    <w:rPr>
                      <w:rFonts w:hint="eastAsia"/>
                      <w:color w:val="auto"/>
                      <w:lang w:eastAsia="zh-CN"/>
                    </w:rPr>
                    <w:t>（</w:t>
                  </w:r>
                  <w:r>
                    <w:rPr>
                      <w:color w:val="auto"/>
                    </w:rPr>
                    <w:t>SO</w:t>
                  </w:r>
                  <w:r>
                    <w:rPr>
                      <w:color w:val="auto"/>
                      <w:vertAlign w:val="subscript"/>
                    </w:rPr>
                    <w:t>2</w:t>
                  </w:r>
                  <w:r>
                    <w:rPr>
                      <w:rFonts w:hint="eastAsia"/>
                      <w:color w:val="auto"/>
                      <w:vertAlign w:val="baseline"/>
                      <w:lang w:eastAsia="zh-CN"/>
                    </w:rPr>
                    <w:t>）</w:t>
                  </w:r>
                </w:p>
              </w:tc>
              <w:tc>
                <w:tcPr>
                  <w:tcW w:w="1190" w:type="pct"/>
                  <w:vAlign w:val="center"/>
                </w:tcPr>
                <w:p>
                  <w:pPr>
                    <w:pStyle w:val="68"/>
                    <w:rPr>
                      <w:color w:val="auto"/>
                    </w:rPr>
                  </w:pPr>
                  <w:r>
                    <w:rPr>
                      <w:color w:val="auto"/>
                    </w:rPr>
                    <w:t>年平均</w:t>
                  </w:r>
                </w:p>
              </w:tc>
              <w:tc>
                <w:tcPr>
                  <w:tcW w:w="1183" w:type="pct"/>
                  <w:vAlign w:val="center"/>
                </w:tcPr>
                <w:p>
                  <w:pPr>
                    <w:pStyle w:val="68"/>
                    <w:rPr>
                      <w:color w:val="auto"/>
                    </w:rPr>
                  </w:pPr>
                  <w:r>
                    <w:rPr>
                      <w:color w:val="auto"/>
                    </w:rPr>
                    <w:t>60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147"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150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500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二氧化氮</w:t>
                  </w:r>
                  <w:r>
                    <w:rPr>
                      <w:rFonts w:hint="eastAsia"/>
                      <w:color w:val="auto"/>
                      <w:lang w:eastAsia="zh-CN"/>
                    </w:rPr>
                    <w:t>（</w:t>
                  </w:r>
                  <w:r>
                    <w:rPr>
                      <w:color w:val="auto"/>
                    </w:rPr>
                    <w:t>NO</w:t>
                  </w:r>
                  <w:r>
                    <w:rPr>
                      <w:color w:val="auto"/>
                      <w:vertAlign w:val="subscript"/>
                    </w:rPr>
                    <w:t>2</w:t>
                  </w:r>
                  <w:r>
                    <w:rPr>
                      <w:rFonts w:hint="eastAsia"/>
                      <w:color w:val="auto"/>
                      <w:vertAlign w:val="baseline"/>
                      <w:lang w:eastAsia="zh-CN"/>
                    </w:rPr>
                    <w:t>）</w:t>
                  </w:r>
                </w:p>
              </w:tc>
              <w:tc>
                <w:tcPr>
                  <w:tcW w:w="1190" w:type="pct"/>
                  <w:vAlign w:val="center"/>
                </w:tcPr>
                <w:p>
                  <w:pPr>
                    <w:pStyle w:val="68"/>
                    <w:rPr>
                      <w:color w:val="auto"/>
                    </w:rPr>
                  </w:pPr>
                  <w:r>
                    <w:rPr>
                      <w:color w:val="auto"/>
                    </w:rPr>
                    <w:t>年平均</w:t>
                  </w:r>
                </w:p>
              </w:tc>
              <w:tc>
                <w:tcPr>
                  <w:tcW w:w="1183" w:type="pct"/>
                  <w:vAlign w:val="center"/>
                </w:tcPr>
                <w:p>
                  <w:pPr>
                    <w:pStyle w:val="68"/>
                    <w:rPr>
                      <w:color w:val="auto"/>
                    </w:rPr>
                  </w:pPr>
                  <w:r>
                    <w:rPr>
                      <w:color w:val="auto"/>
                    </w:rPr>
                    <w:t>40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80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200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O</w:t>
                  </w:r>
                  <w:r>
                    <w:rPr>
                      <w:color w:val="auto"/>
                      <w:vertAlign w:val="subscript"/>
                    </w:rPr>
                    <w:t>3</w:t>
                  </w:r>
                </w:p>
              </w:tc>
              <w:tc>
                <w:tcPr>
                  <w:tcW w:w="1190" w:type="pct"/>
                  <w:vAlign w:val="center"/>
                </w:tcPr>
                <w:p>
                  <w:pPr>
                    <w:pStyle w:val="68"/>
                    <w:rPr>
                      <w:color w:val="auto"/>
                    </w:rPr>
                  </w:pPr>
                  <w:r>
                    <w:rPr>
                      <w:color w:val="auto"/>
                    </w:rPr>
                    <w:t>日最大8小时平均</w:t>
                  </w:r>
                </w:p>
              </w:tc>
              <w:tc>
                <w:tcPr>
                  <w:tcW w:w="1183" w:type="pct"/>
                  <w:vAlign w:val="center"/>
                </w:tcPr>
                <w:p>
                  <w:pPr>
                    <w:pStyle w:val="68"/>
                    <w:rPr>
                      <w:color w:val="auto"/>
                    </w:rPr>
                  </w:pPr>
                  <w:r>
                    <w:rPr>
                      <w:color w:val="auto"/>
                    </w:rPr>
                    <w:t>160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200</w:t>
                  </w:r>
                  <w:r>
                    <w:rPr>
                      <w:bCs/>
                      <w:color w:val="auto"/>
                    </w:rPr>
                    <w:t>μg/m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restart"/>
                  <w:vAlign w:val="center"/>
                </w:tcPr>
                <w:p>
                  <w:pPr>
                    <w:pStyle w:val="68"/>
                    <w:rPr>
                      <w:color w:val="auto"/>
                    </w:rPr>
                  </w:pPr>
                  <w:r>
                    <w:rPr>
                      <w:color w:val="auto"/>
                    </w:rPr>
                    <w:t>CO</w:t>
                  </w:r>
                </w:p>
              </w:tc>
              <w:tc>
                <w:tcPr>
                  <w:tcW w:w="1190" w:type="pct"/>
                  <w:vAlign w:val="center"/>
                </w:tcPr>
                <w:p>
                  <w:pPr>
                    <w:pStyle w:val="68"/>
                    <w:rPr>
                      <w:color w:val="auto"/>
                    </w:rPr>
                  </w:pPr>
                  <w:r>
                    <w:rPr>
                      <w:color w:val="auto"/>
                    </w:rPr>
                    <w:t>24小时平均</w:t>
                  </w:r>
                </w:p>
              </w:tc>
              <w:tc>
                <w:tcPr>
                  <w:tcW w:w="1183" w:type="pct"/>
                  <w:vAlign w:val="center"/>
                </w:tcPr>
                <w:p>
                  <w:pPr>
                    <w:pStyle w:val="68"/>
                    <w:rPr>
                      <w:color w:val="auto"/>
                    </w:rPr>
                  </w:pPr>
                  <w:r>
                    <w:rPr>
                      <w:color w:val="auto"/>
                    </w:rPr>
                    <w:t>4</w:t>
                  </w:r>
                  <w:r>
                    <w:rPr>
                      <w:bCs/>
                      <w:color w:val="auto"/>
                    </w:rPr>
                    <w:t>mg/m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Merge w:val="continue"/>
                  <w:vAlign w:val="center"/>
                </w:tcPr>
                <w:p>
                  <w:pPr>
                    <w:pStyle w:val="68"/>
                    <w:rPr>
                      <w:color w:val="auto"/>
                    </w:rPr>
                  </w:pP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10</w:t>
                  </w:r>
                  <w:r>
                    <w:rPr>
                      <w:bCs/>
                      <w:color w:val="auto"/>
                    </w:rPr>
                    <w:t>mg/m</w:t>
                  </w:r>
                  <w:r>
                    <w:rPr>
                      <w:bCs/>
                      <w:color w:val="auto"/>
                      <w:vertAlign w:val="superscript"/>
                    </w:rPr>
                    <w:t>3</w:t>
                  </w:r>
                </w:p>
              </w:tc>
              <w:tc>
                <w:tcPr>
                  <w:tcW w:w="1336"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87" w:hRule="atLeast"/>
                <w:jc w:val="center"/>
              </w:trPr>
              <w:tc>
                <w:tcPr>
                  <w:tcW w:w="1289" w:type="pct"/>
                  <w:vAlign w:val="center"/>
                </w:tcPr>
                <w:p>
                  <w:pPr>
                    <w:pStyle w:val="68"/>
                    <w:rPr>
                      <w:color w:val="auto"/>
                    </w:rPr>
                  </w:pPr>
                  <w:r>
                    <w:rPr>
                      <w:color w:val="auto"/>
                    </w:rPr>
                    <w:t>硫化氢</w:t>
                  </w: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10</w:t>
                  </w:r>
                  <w:r>
                    <w:rPr>
                      <w:bCs/>
                      <w:color w:val="auto"/>
                    </w:rPr>
                    <w:t>μg/m</w:t>
                  </w:r>
                  <w:r>
                    <w:rPr>
                      <w:bCs/>
                      <w:color w:val="auto"/>
                      <w:vertAlign w:val="superscript"/>
                    </w:rPr>
                    <w:t>3</w:t>
                  </w:r>
                </w:p>
              </w:tc>
              <w:tc>
                <w:tcPr>
                  <w:tcW w:w="1336" w:type="pct"/>
                  <w:vMerge w:val="restart"/>
                  <w:vAlign w:val="center"/>
                </w:tcPr>
                <w:p>
                  <w:pPr>
                    <w:pStyle w:val="68"/>
                    <w:rPr>
                      <w:color w:val="auto"/>
                    </w:rPr>
                  </w:pPr>
                  <w:r>
                    <w:rPr>
                      <w:color w:val="auto"/>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0" w:hRule="atLeast"/>
                <w:jc w:val="center"/>
              </w:trPr>
              <w:tc>
                <w:tcPr>
                  <w:tcW w:w="1289" w:type="pct"/>
                  <w:vAlign w:val="center"/>
                </w:tcPr>
                <w:p>
                  <w:pPr>
                    <w:pStyle w:val="68"/>
                    <w:rPr>
                      <w:color w:val="auto"/>
                    </w:rPr>
                  </w:pPr>
                  <w:r>
                    <w:rPr>
                      <w:color w:val="auto"/>
                    </w:rPr>
                    <w:t>氨</w:t>
                  </w:r>
                </w:p>
              </w:tc>
              <w:tc>
                <w:tcPr>
                  <w:tcW w:w="1190" w:type="pct"/>
                  <w:vAlign w:val="center"/>
                </w:tcPr>
                <w:p>
                  <w:pPr>
                    <w:pStyle w:val="68"/>
                    <w:rPr>
                      <w:color w:val="auto"/>
                    </w:rPr>
                  </w:pPr>
                  <w:r>
                    <w:rPr>
                      <w:color w:val="auto"/>
                    </w:rPr>
                    <w:t>1小时平均</w:t>
                  </w:r>
                </w:p>
              </w:tc>
              <w:tc>
                <w:tcPr>
                  <w:tcW w:w="1183" w:type="pct"/>
                  <w:vAlign w:val="center"/>
                </w:tcPr>
                <w:p>
                  <w:pPr>
                    <w:pStyle w:val="68"/>
                    <w:rPr>
                      <w:color w:val="auto"/>
                    </w:rPr>
                  </w:pPr>
                  <w:r>
                    <w:rPr>
                      <w:color w:val="auto"/>
                    </w:rPr>
                    <w:t>200</w:t>
                  </w:r>
                  <w:r>
                    <w:rPr>
                      <w:bCs/>
                      <w:color w:val="auto"/>
                    </w:rPr>
                    <w:t>μg/m</w:t>
                  </w:r>
                  <w:r>
                    <w:rPr>
                      <w:bCs/>
                      <w:color w:val="auto"/>
                      <w:vertAlign w:val="superscript"/>
                    </w:rPr>
                    <w:t>3</w:t>
                  </w:r>
                </w:p>
              </w:tc>
              <w:tc>
                <w:tcPr>
                  <w:tcW w:w="1336" w:type="pct"/>
                  <w:vMerge w:val="continue"/>
                  <w:vAlign w:val="center"/>
                </w:tcPr>
                <w:p>
                  <w:pPr>
                    <w:pStyle w:val="68"/>
                    <w:rPr>
                      <w:color w:val="auto"/>
                    </w:rPr>
                  </w:pPr>
                </w:p>
              </w:tc>
            </w:tr>
          </w:tbl>
          <w:p>
            <w:pPr>
              <w:ind w:firstLine="480"/>
              <w:rPr>
                <w:color w:val="auto"/>
              </w:rPr>
            </w:pPr>
            <w:r>
              <w:rPr>
                <w:rFonts w:hint="eastAsia"/>
                <w:color w:val="auto"/>
              </w:rPr>
              <w:t>根据《建设项目环境影响报告表编制技术指南》（污染影响类）（试行）要求，常规污染物引用与建设项目距离近的有效数据，包括近3年的规划环境影响评价的监测数据，国家、地方环境空气质量监测网数据或生态环境主管部门公开发布的质量数据等。</w:t>
            </w:r>
          </w:p>
          <w:p>
            <w:pPr>
              <w:ind w:firstLine="480"/>
              <w:rPr>
                <w:color w:val="auto"/>
              </w:rPr>
            </w:pPr>
            <w:r>
              <w:rPr>
                <w:rFonts w:hint="eastAsia"/>
                <w:color w:val="auto"/>
              </w:rPr>
              <w:t>根据</w:t>
            </w:r>
            <w:r>
              <w:rPr>
                <w:color w:val="auto"/>
              </w:rPr>
              <w:t>曲靖市环境空气质量采用云南省生态环境厅</w:t>
            </w:r>
            <w:r>
              <w:rPr>
                <w:color w:val="auto"/>
                <w:shd w:val="clear" w:fill="FFFFFF"/>
              </w:rPr>
              <w:t>驻</w:t>
            </w:r>
            <w:r>
              <w:rPr>
                <w:color w:val="auto"/>
              </w:rPr>
              <w:t>曲靖市生态环境监测站2022年的全年监测数据：2022年，曲靖市中心城区环境空气质量自动监测有效天数365天，优200天，良159天，轻度污染6天，环境空气质量优良率98.4%，综合指数2.67，首要污染物天数PM</w:t>
            </w:r>
            <w:r>
              <w:rPr>
                <w:color w:val="auto"/>
                <w:vertAlign w:val="subscript"/>
              </w:rPr>
              <w:t>10</w:t>
            </w:r>
            <w:r>
              <w:rPr>
                <w:color w:val="auto"/>
              </w:rPr>
              <w:t>5天，PM</w:t>
            </w:r>
            <w:r>
              <w:rPr>
                <w:color w:val="auto"/>
                <w:vertAlign w:val="subscript"/>
              </w:rPr>
              <w:t>2.5</w:t>
            </w:r>
            <w:r>
              <w:rPr>
                <w:color w:val="auto"/>
              </w:rPr>
              <w:t>15天，O</w:t>
            </w:r>
            <w:r>
              <w:rPr>
                <w:color w:val="auto"/>
                <w:vertAlign w:val="subscript"/>
              </w:rPr>
              <w:t>3-8h</w:t>
            </w:r>
            <w:r>
              <w:rPr>
                <w:color w:val="auto"/>
              </w:rPr>
              <w:t>145天。具体情况详见下表。</w:t>
            </w:r>
          </w:p>
          <w:p>
            <w:pPr>
              <w:pStyle w:val="71"/>
              <w:rPr>
                <w:b/>
                <w:bCs w:val="0"/>
                <w:color w:val="auto"/>
              </w:rPr>
            </w:pPr>
            <w:r>
              <w:rPr>
                <w:color w:val="auto"/>
              </w:rPr>
              <w:t>表</w:t>
            </w:r>
            <w:r>
              <w:rPr>
                <w:b/>
                <w:bCs w:val="0"/>
                <w:color w:val="auto"/>
              </w:rPr>
              <w:t>3.1-2 曲靖市中心城区2022年环境空气质量综合评价一览表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95"/>
              <w:gridCol w:w="1031"/>
              <w:gridCol w:w="1017"/>
              <w:gridCol w:w="1002"/>
              <w:gridCol w:w="1381"/>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pPr>
                    <w:pStyle w:val="68"/>
                    <w:rPr>
                      <w:b/>
                      <w:bCs w:val="0"/>
                      <w:color w:val="auto"/>
                    </w:rPr>
                  </w:pPr>
                  <w:r>
                    <w:rPr>
                      <w:b/>
                      <w:bCs w:val="0"/>
                      <w:color w:val="auto"/>
                    </w:rPr>
                    <w:t>项目</w:t>
                  </w:r>
                </w:p>
              </w:tc>
              <w:tc>
                <w:tcPr>
                  <w:tcW w:w="1061" w:type="dxa"/>
                  <w:vAlign w:val="center"/>
                </w:tcPr>
                <w:p>
                  <w:pPr>
                    <w:pStyle w:val="68"/>
                    <w:rPr>
                      <w:b/>
                      <w:bCs w:val="0"/>
                      <w:color w:val="auto"/>
                      <w:vertAlign w:val="subscript"/>
                    </w:rPr>
                  </w:pPr>
                  <w:r>
                    <w:rPr>
                      <w:b/>
                      <w:bCs w:val="0"/>
                      <w:color w:val="auto"/>
                    </w:rPr>
                    <w:t>SO</w:t>
                  </w:r>
                  <w:r>
                    <w:rPr>
                      <w:b/>
                      <w:bCs w:val="0"/>
                      <w:color w:val="auto"/>
                      <w:vertAlign w:val="subscript"/>
                    </w:rPr>
                    <w:t>2</w:t>
                  </w:r>
                </w:p>
                <w:p>
                  <w:pPr>
                    <w:pStyle w:val="68"/>
                    <w:rPr>
                      <w:b/>
                      <w:bCs w:val="0"/>
                      <w:color w:val="auto"/>
                    </w:rPr>
                  </w:pPr>
                  <w:r>
                    <w:rPr>
                      <w:rFonts w:hint="eastAsia"/>
                      <w:b/>
                      <w:bCs w:val="0"/>
                      <w:color w:val="auto"/>
                      <w:lang w:eastAsia="zh-CN"/>
                    </w:rPr>
                    <w:t>(</w:t>
                  </w:r>
                  <w:r>
                    <w:rPr>
                      <w:b/>
                      <w:bCs w:val="0"/>
                      <w:color w:val="auto"/>
                    </w:rPr>
                    <w:t>µg/m</w:t>
                  </w:r>
                  <w:r>
                    <w:rPr>
                      <w:b/>
                      <w:bCs w:val="0"/>
                      <w:color w:val="auto"/>
                      <w:vertAlign w:val="superscript"/>
                    </w:rPr>
                    <w:t>3</w:t>
                  </w:r>
                  <w:r>
                    <w:rPr>
                      <w:rFonts w:hint="eastAsia"/>
                      <w:b/>
                      <w:bCs w:val="0"/>
                      <w:color w:val="auto"/>
                      <w:vertAlign w:val="baseline"/>
                      <w:lang w:eastAsia="zh-CN"/>
                    </w:rPr>
                    <w:t>)</w:t>
                  </w:r>
                </w:p>
              </w:tc>
              <w:tc>
                <w:tcPr>
                  <w:tcW w:w="1101" w:type="dxa"/>
                  <w:vAlign w:val="center"/>
                </w:tcPr>
                <w:p>
                  <w:pPr>
                    <w:pStyle w:val="68"/>
                    <w:rPr>
                      <w:b/>
                      <w:bCs w:val="0"/>
                      <w:color w:val="auto"/>
                      <w:vertAlign w:val="subscript"/>
                    </w:rPr>
                  </w:pPr>
                  <w:r>
                    <w:rPr>
                      <w:b/>
                      <w:bCs w:val="0"/>
                      <w:color w:val="auto"/>
                    </w:rPr>
                    <w:t>NO</w:t>
                  </w:r>
                  <w:r>
                    <w:rPr>
                      <w:b/>
                      <w:bCs w:val="0"/>
                      <w:color w:val="auto"/>
                      <w:vertAlign w:val="subscript"/>
                    </w:rPr>
                    <w:t>2</w:t>
                  </w:r>
                </w:p>
                <w:p>
                  <w:pPr>
                    <w:pStyle w:val="68"/>
                    <w:rPr>
                      <w:b/>
                      <w:bCs w:val="0"/>
                      <w:color w:val="auto"/>
                    </w:rPr>
                  </w:pPr>
                  <w:r>
                    <w:rPr>
                      <w:rFonts w:hint="eastAsia"/>
                      <w:b/>
                      <w:bCs w:val="0"/>
                      <w:color w:val="auto"/>
                      <w:lang w:eastAsia="zh-CN"/>
                    </w:rPr>
                    <w:t>(</w:t>
                  </w:r>
                  <w:r>
                    <w:rPr>
                      <w:b/>
                      <w:bCs w:val="0"/>
                      <w:color w:val="auto"/>
                    </w:rPr>
                    <w:t>µg/m</w:t>
                  </w:r>
                  <w:r>
                    <w:rPr>
                      <w:b/>
                      <w:bCs w:val="0"/>
                      <w:color w:val="auto"/>
                      <w:vertAlign w:val="superscript"/>
                    </w:rPr>
                    <w:t>3</w:t>
                  </w:r>
                  <w:r>
                    <w:rPr>
                      <w:rFonts w:hint="eastAsia"/>
                      <w:b/>
                      <w:bCs w:val="0"/>
                      <w:color w:val="auto"/>
                      <w:vertAlign w:val="baseline"/>
                      <w:lang w:eastAsia="zh-CN"/>
                    </w:rPr>
                    <w:t>)</w:t>
                  </w:r>
                </w:p>
              </w:tc>
              <w:tc>
                <w:tcPr>
                  <w:tcW w:w="1086" w:type="dxa"/>
                  <w:vAlign w:val="center"/>
                </w:tcPr>
                <w:p>
                  <w:pPr>
                    <w:pStyle w:val="68"/>
                    <w:rPr>
                      <w:b/>
                      <w:bCs w:val="0"/>
                      <w:color w:val="auto"/>
                      <w:vertAlign w:val="subscript"/>
                    </w:rPr>
                  </w:pPr>
                  <w:r>
                    <w:rPr>
                      <w:b/>
                      <w:bCs w:val="0"/>
                      <w:color w:val="auto"/>
                    </w:rPr>
                    <w:t>PM</w:t>
                  </w:r>
                  <w:r>
                    <w:rPr>
                      <w:b/>
                      <w:bCs w:val="0"/>
                      <w:color w:val="auto"/>
                      <w:vertAlign w:val="subscript"/>
                    </w:rPr>
                    <w:t>10</w:t>
                  </w:r>
                </w:p>
                <w:p>
                  <w:pPr>
                    <w:pStyle w:val="68"/>
                    <w:rPr>
                      <w:b/>
                      <w:bCs w:val="0"/>
                      <w:color w:val="auto"/>
                    </w:rPr>
                  </w:pPr>
                  <w:r>
                    <w:rPr>
                      <w:rFonts w:hint="eastAsia"/>
                      <w:b/>
                      <w:bCs w:val="0"/>
                      <w:color w:val="auto"/>
                      <w:lang w:eastAsia="zh-CN"/>
                    </w:rPr>
                    <w:t>(</w:t>
                  </w:r>
                  <w:r>
                    <w:rPr>
                      <w:b/>
                      <w:bCs w:val="0"/>
                      <w:color w:val="auto"/>
                    </w:rPr>
                    <w:t>µg/m</w:t>
                  </w:r>
                  <w:r>
                    <w:rPr>
                      <w:b/>
                      <w:bCs w:val="0"/>
                      <w:color w:val="auto"/>
                      <w:vertAlign w:val="superscript"/>
                    </w:rPr>
                    <w:t>3</w:t>
                  </w:r>
                  <w:r>
                    <w:rPr>
                      <w:rFonts w:hint="eastAsia"/>
                      <w:b/>
                      <w:bCs w:val="0"/>
                      <w:color w:val="auto"/>
                      <w:vertAlign w:val="baseline"/>
                      <w:lang w:eastAsia="zh-CN"/>
                    </w:rPr>
                    <w:t>)</w:t>
                  </w:r>
                </w:p>
              </w:tc>
              <w:tc>
                <w:tcPr>
                  <w:tcW w:w="1069" w:type="dxa"/>
                  <w:vAlign w:val="center"/>
                </w:tcPr>
                <w:p>
                  <w:pPr>
                    <w:pStyle w:val="68"/>
                    <w:rPr>
                      <w:b/>
                      <w:bCs w:val="0"/>
                      <w:color w:val="auto"/>
                      <w:vertAlign w:val="subscript"/>
                    </w:rPr>
                  </w:pPr>
                  <w:r>
                    <w:rPr>
                      <w:b/>
                      <w:bCs w:val="0"/>
                      <w:color w:val="auto"/>
                    </w:rPr>
                    <w:t>PM</w:t>
                  </w:r>
                  <w:r>
                    <w:rPr>
                      <w:b/>
                      <w:bCs w:val="0"/>
                      <w:color w:val="auto"/>
                      <w:vertAlign w:val="subscript"/>
                    </w:rPr>
                    <w:t>2.5</w:t>
                  </w:r>
                </w:p>
                <w:p>
                  <w:pPr>
                    <w:pStyle w:val="68"/>
                    <w:rPr>
                      <w:b/>
                      <w:bCs w:val="0"/>
                      <w:color w:val="auto"/>
                    </w:rPr>
                  </w:pPr>
                  <w:r>
                    <w:rPr>
                      <w:rFonts w:hint="eastAsia"/>
                      <w:b/>
                      <w:bCs w:val="0"/>
                      <w:color w:val="auto"/>
                      <w:lang w:eastAsia="zh-CN"/>
                    </w:rPr>
                    <w:t>(</w:t>
                  </w:r>
                  <w:r>
                    <w:rPr>
                      <w:b/>
                      <w:bCs w:val="0"/>
                      <w:color w:val="auto"/>
                    </w:rPr>
                    <w:t>µg/m</w:t>
                  </w:r>
                  <w:r>
                    <w:rPr>
                      <w:b/>
                      <w:bCs w:val="0"/>
                      <w:color w:val="auto"/>
                      <w:vertAlign w:val="superscript"/>
                    </w:rPr>
                    <w:t>3</w:t>
                  </w:r>
                  <w:r>
                    <w:rPr>
                      <w:rFonts w:hint="eastAsia"/>
                      <w:b/>
                      <w:bCs w:val="0"/>
                      <w:color w:val="auto"/>
                      <w:vertAlign w:val="baseline"/>
                      <w:lang w:eastAsia="zh-CN"/>
                    </w:rPr>
                    <w:t>)</w:t>
                  </w:r>
                </w:p>
              </w:tc>
              <w:tc>
                <w:tcPr>
                  <w:tcW w:w="1484" w:type="dxa"/>
                  <w:vAlign w:val="center"/>
                </w:tcPr>
                <w:p>
                  <w:pPr>
                    <w:pStyle w:val="68"/>
                    <w:rPr>
                      <w:b/>
                      <w:bCs w:val="0"/>
                      <w:color w:val="auto"/>
                    </w:rPr>
                  </w:pPr>
                  <w:r>
                    <w:rPr>
                      <w:b/>
                      <w:bCs w:val="0"/>
                      <w:color w:val="auto"/>
                    </w:rPr>
                    <w:t>CO第95百分位</w:t>
                  </w:r>
                  <w:r>
                    <w:rPr>
                      <w:rFonts w:hint="eastAsia"/>
                      <w:b/>
                      <w:bCs w:val="0"/>
                      <w:color w:val="auto"/>
                      <w:lang w:eastAsia="zh-CN"/>
                    </w:rPr>
                    <w:t>（</w:t>
                  </w:r>
                  <w:r>
                    <w:rPr>
                      <w:b/>
                      <w:bCs w:val="0"/>
                      <w:color w:val="auto"/>
                    </w:rPr>
                    <w:t>mg/m</w:t>
                  </w:r>
                  <w:r>
                    <w:rPr>
                      <w:b/>
                      <w:bCs w:val="0"/>
                      <w:color w:val="auto"/>
                      <w:vertAlign w:val="superscript"/>
                    </w:rPr>
                    <w:t>3</w:t>
                  </w:r>
                  <w:r>
                    <w:rPr>
                      <w:rFonts w:hint="eastAsia"/>
                      <w:b/>
                      <w:bCs w:val="0"/>
                      <w:color w:val="auto"/>
                      <w:vertAlign w:val="superscript"/>
                      <w:lang w:eastAsia="zh-CN"/>
                    </w:rPr>
                    <w:t>）</w:t>
                  </w:r>
                </w:p>
              </w:tc>
              <w:tc>
                <w:tcPr>
                  <w:tcW w:w="1382" w:type="dxa"/>
                  <w:vAlign w:val="center"/>
                </w:tcPr>
                <w:p>
                  <w:pPr>
                    <w:pStyle w:val="68"/>
                    <w:rPr>
                      <w:b/>
                      <w:bCs w:val="0"/>
                      <w:color w:val="auto"/>
                    </w:rPr>
                  </w:pPr>
                  <w:r>
                    <w:rPr>
                      <w:b/>
                      <w:bCs w:val="0"/>
                      <w:color w:val="auto"/>
                    </w:rPr>
                    <w:t>O</w:t>
                  </w:r>
                  <w:r>
                    <w:rPr>
                      <w:b/>
                      <w:bCs w:val="0"/>
                      <w:color w:val="auto"/>
                      <w:vertAlign w:val="subscript"/>
                    </w:rPr>
                    <w:t>3</w:t>
                  </w:r>
                  <w:r>
                    <w:rPr>
                      <w:b/>
                      <w:bCs w:val="0"/>
                      <w:color w:val="auto"/>
                    </w:rPr>
                    <w:t>8h第90百分位</w:t>
                  </w:r>
                </w:p>
                <w:p>
                  <w:pPr>
                    <w:pStyle w:val="68"/>
                    <w:rPr>
                      <w:b/>
                      <w:bCs w:val="0"/>
                      <w:color w:val="auto"/>
                    </w:rPr>
                  </w:pPr>
                  <w:r>
                    <w:rPr>
                      <w:rFonts w:hint="eastAsia"/>
                      <w:b/>
                      <w:bCs w:val="0"/>
                      <w:color w:val="auto"/>
                      <w:lang w:eastAsia="zh-CN"/>
                    </w:rPr>
                    <w:t>(</w:t>
                  </w:r>
                  <w:r>
                    <w:rPr>
                      <w:b/>
                      <w:bCs w:val="0"/>
                      <w:color w:val="auto"/>
                    </w:rPr>
                    <w:t>µg/m</w:t>
                  </w:r>
                  <w:r>
                    <w:rPr>
                      <w:b/>
                      <w:bCs w:val="0"/>
                      <w:color w:val="auto"/>
                      <w:vertAlign w:val="superscript"/>
                    </w:rPr>
                    <w:t>3</w:t>
                  </w:r>
                  <w:r>
                    <w:rPr>
                      <w:rFonts w:hint="eastAsia"/>
                      <w:b/>
                      <w:bCs w:val="0"/>
                      <w:color w:val="auto"/>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pPr>
                    <w:pStyle w:val="68"/>
                    <w:rPr>
                      <w:color w:val="auto"/>
                    </w:rPr>
                  </w:pPr>
                  <w:r>
                    <w:rPr>
                      <w:color w:val="auto"/>
                    </w:rPr>
                    <w:t>监测值</w:t>
                  </w:r>
                </w:p>
              </w:tc>
              <w:tc>
                <w:tcPr>
                  <w:tcW w:w="1061" w:type="dxa"/>
                  <w:vAlign w:val="center"/>
                </w:tcPr>
                <w:p>
                  <w:pPr>
                    <w:pStyle w:val="68"/>
                    <w:rPr>
                      <w:color w:val="auto"/>
                    </w:rPr>
                  </w:pPr>
                  <w:r>
                    <w:rPr>
                      <w:color w:val="auto"/>
                    </w:rPr>
                    <w:t>8</w:t>
                  </w:r>
                </w:p>
              </w:tc>
              <w:tc>
                <w:tcPr>
                  <w:tcW w:w="1101" w:type="dxa"/>
                  <w:vAlign w:val="center"/>
                </w:tcPr>
                <w:p>
                  <w:pPr>
                    <w:pStyle w:val="68"/>
                    <w:rPr>
                      <w:color w:val="auto"/>
                    </w:rPr>
                  </w:pPr>
                  <w:r>
                    <w:rPr>
                      <w:color w:val="auto"/>
                    </w:rPr>
                    <w:t>14</w:t>
                  </w:r>
                </w:p>
              </w:tc>
              <w:tc>
                <w:tcPr>
                  <w:tcW w:w="1086" w:type="dxa"/>
                  <w:vAlign w:val="center"/>
                </w:tcPr>
                <w:p>
                  <w:pPr>
                    <w:pStyle w:val="68"/>
                    <w:rPr>
                      <w:color w:val="auto"/>
                    </w:rPr>
                  </w:pPr>
                  <w:r>
                    <w:rPr>
                      <w:color w:val="auto"/>
                    </w:rPr>
                    <w:t>33</w:t>
                  </w:r>
                </w:p>
              </w:tc>
              <w:tc>
                <w:tcPr>
                  <w:tcW w:w="1069" w:type="dxa"/>
                  <w:vAlign w:val="center"/>
                </w:tcPr>
                <w:p>
                  <w:pPr>
                    <w:pStyle w:val="68"/>
                    <w:rPr>
                      <w:color w:val="auto"/>
                    </w:rPr>
                  </w:pPr>
                  <w:r>
                    <w:rPr>
                      <w:color w:val="auto"/>
                    </w:rPr>
                    <w:t>22</w:t>
                  </w:r>
                </w:p>
              </w:tc>
              <w:tc>
                <w:tcPr>
                  <w:tcW w:w="1484" w:type="dxa"/>
                  <w:vAlign w:val="center"/>
                </w:tcPr>
                <w:p>
                  <w:pPr>
                    <w:pStyle w:val="68"/>
                    <w:rPr>
                      <w:color w:val="auto"/>
                    </w:rPr>
                  </w:pPr>
                  <w:r>
                    <w:rPr>
                      <w:color w:val="auto"/>
                    </w:rPr>
                    <w:t>1.0</w:t>
                  </w:r>
                </w:p>
              </w:tc>
              <w:tc>
                <w:tcPr>
                  <w:tcW w:w="1382" w:type="dxa"/>
                  <w:vAlign w:val="center"/>
                </w:tcPr>
                <w:p>
                  <w:pPr>
                    <w:pStyle w:val="68"/>
                    <w:rPr>
                      <w:color w:val="auto"/>
                    </w:rPr>
                  </w:pPr>
                  <w:r>
                    <w:rPr>
                      <w:color w:val="auto"/>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pPr>
                    <w:pStyle w:val="68"/>
                    <w:rPr>
                      <w:color w:val="auto"/>
                    </w:rPr>
                  </w:pPr>
                  <w:r>
                    <w:rPr>
                      <w:color w:val="auto"/>
                    </w:rPr>
                    <w:t>标准值</w:t>
                  </w:r>
                </w:p>
              </w:tc>
              <w:tc>
                <w:tcPr>
                  <w:tcW w:w="1061" w:type="dxa"/>
                  <w:vAlign w:val="center"/>
                </w:tcPr>
                <w:p>
                  <w:pPr>
                    <w:pStyle w:val="68"/>
                    <w:rPr>
                      <w:color w:val="auto"/>
                    </w:rPr>
                  </w:pPr>
                  <w:r>
                    <w:rPr>
                      <w:color w:val="auto"/>
                    </w:rPr>
                    <w:t>60</w:t>
                  </w:r>
                </w:p>
              </w:tc>
              <w:tc>
                <w:tcPr>
                  <w:tcW w:w="1101" w:type="dxa"/>
                  <w:vAlign w:val="center"/>
                </w:tcPr>
                <w:p>
                  <w:pPr>
                    <w:pStyle w:val="68"/>
                    <w:rPr>
                      <w:color w:val="auto"/>
                    </w:rPr>
                  </w:pPr>
                  <w:r>
                    <w:rPr>
                      <w:color w:val="auto"/>
                    </w:rPr>
                    <w:t>40</w:t>
                  </w:r>
                </w:p>
              </w:tc>
              <w:tc>
                <w:tcPr>
                  <w:tcW w:w="1086" w:type="dxa"/>
                  <w:vAlign w:val="center"/>
                </w:tcPr>
                <w:p>
                  <w:pPr>
                    <w:pStyle w:val="68"/>
                    <w:rPr>
                      <w:color w:val="auto"/>
                    </w:rPr>
                  </w:pPr>
                  <w:r>
                    <w:rPr>
                      <w:color w:val="auto"/>
                    </w:rPr>
                    <w:t>70</w:t>
                  </w:r>
                </w:p>
              </w:tc>
              <w:tc>
                <w:tcPr>
                  <w:tcW w:w="1069" w:type="dxa"/>
                  <w:vAlign w:val="center"/>
                </w:tcPr>
                <w:p>
                  <w:pPr>
                    <w:pStyle w:val="68"/>
                    <w:rPr>
                      <w:color w:val="auto"/>
                    </w:rPr>
                  </w:pPr>
                  <w:r>
                    <w:rPr>
                      <w:color w:val="auto"/>
                    </w:rPr>
                    <w:t>35</w:t>
                  </w:r>
                </w:p>
              </w:tc>
              <w:tc>
                <w:tcPr>
                  <w:tcW w:w="1484" w:type="dxa"/>
                  <w:vAlign w:val="center"/>
                </w:tcPr>
                <w:p>
                  <w:pPr>
                    <w:pStyle w:val="68"/>
                    <w:rPr>
                      <w:color w:val="auto"/>
                    </w:rPr>
                  </w:pPr>
                  <w:r>
                    <w:rPr>
                      <w:color w:val="auto"/>
                    </w:rPr>
                    <w:t>4</w:t>
                  </w:r>
                </w:p>
              </w:tc>
              <w:tc>
                <w:tcPr>
                  <w:tcW w:w="1382" w:type="dxa"/>
                  <w:vAlign w:val="center"/>
                </w:tcPr>
                <w:p>
                  <w:pPr>
                    <w:pStyle w:val="68"/>
                    <w:rPr>
                      <w:color w:val="auto"/>
                    </w:rPr>
                  </w:pPr>
                  <w:r>
                    <w:rPr>
                      <w:color w:val="auto"/>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pPr>
                    <w:pStyle w:val="68"/>
                    <w:rPr>
                      <w:color w:val="auto"/>
                    </w:rPr>
                  </w:pPr>
                  <w:r>
                    <w:rPr>
                      <w:color w:val="auto"/>
                      <w:shd w:val="clear" w:fill="FFFFFF"/>
                    </w:rPr>
                    <w:t>占标率</w:t>
                  </w:r>
                  <w:r>
                    <w:rPr>
                      <w:color w:val="auto"/>
                    </w:rPr>
                    <w:t>%</w:t>
                  </w:r>
                </w:p>
              </w:tc>
              <w:tc>
                <w:tcPr>
                  <w:tcW w:w="1061" w:type="dxa"/>
                  <w:vAlign w:val="center"/>
                </w:tcPr>
                <w:p>
                  <w:pPr>
                    <w:pStyle w:val="68"/>
                    <w:rPr>
                      <w:color w:val="auto"/>
                    </w:rPr>
                  </w:pPr>
                  <w:r>
                    <w:rPr>
                      <w:color w:val="auto"/>
                    </w:rPr>
                    <w:t>13.3</w:t>
                  </w:r>
                </w:p>
              </w:tc>
              <w:tc>
                <w:tcPr>
                  <w:tcW w:w="1101" w:type="dxa"/>
                  <w:vAlign w:val="center"/>
                </w:tcPr>
                <w:p>
                  <w:pPr>
                    <w:pStyle w:val="68"/>
                    <w:rPr>
                      <w:color w:val="auto"/>
                    </w:rPr>
                  </w:pPr>
                  <w:r>
                    <w:rPr>
                      <w:color w:val="auto"/>
                    </w:rPr>
                    <w:t>42.5</w:t>
                  </w:r>
                </w:p>
              </w:tc>
              <w:tc>
                <w:tcPr>
                  <w:tcW w:w="1086" w:type="dxa"/>
                  <w:vAlign w:val="center"/>
                </w:tcPr>
                <w:p>
                  <w:pPr>
                    <w:pStyle w:val="68"/>
                    <w:rPr>
                      <w:color w:val="auto"/>
                    </w:rPr>
                  </w:pPr>
                  <w:r>
                    <w:rPr>
                      <w:color w:val="auto"/>
                    </w:rPr>
                    <w:t>52.8</w:t>
                  </w:r>
                </w:p>
              </w:tc>
              <w:tc>
                <w:tcPr>
                  <w:tcW w:w="1069" w:type="dxa"/>
                  <w:vAlign w:val="center"/>
                </w:tcPr>
                <w:p>
                  <w:pPr>
                    <w:pStyle w:val="68"/>
                    <w:rPr>
                      <w:color w:val="auto"/>
                    </w:rPr>
                  </w:pPr>
                  <w:r>
                    <w:rPr>
                      <w:color w:val="auto"/>
                    </w:rPr>
                    <w:t>65.7</w:t>
                  </w:r>
                </w:p>
              </w:tc>
              <w:tc>
                <w:tcPr>
                  <w:tcW w:w="1484" w:type="dxa"/>
                  <w:vAlign w:val="center"/>
                </w:tcPr>
                <w:p>
                  <w:pPr>
                    <w:pStyle w:val="68"/>
                    <w:rPr>
                      <w:color w:val="auto"/>
                    </w:rPr>
                  </w:pPr>
                  <w:r>
                    <w:rPr>
                      <w:color w:val="auto"/>
                    </w:rPr>
                    <w:t>22.5</w:t>
                  </w:r>
                </w:p>
              </w:tc>
              <w:tc>
                <w:tcPr>
                  <w:tcW w:w="1382" w:type="dxa"/>
                  <w:vAlign w:val="center"/>
                </w:tcPr>
                <w:p>
                  <w:pPr>
                    <w:pStyle w:val="68"/>
                    <w:rPr>
                      <w:color w:val="auto"/>
                    </w:rPr>
                  </w:pPr>
                  <w:r>
                    <w:rPr>
                      <w:color w:val="auto"/>
                    </w:rPr>
                    <w:t>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pPr>
                    <w:pStyle w:val="68"/>
                    <w:rPr>
                      <w:color w:val="auto"/>
                    </w:rPr>
                  </w:pPr>
                  <w:r>
                    <w:rPr>
                      <w:color w:val="auto"/>
                    </w:rPr>
                    <w:t>达标情况</w:t>
                  </w:r>
                </w:p>
              </w:tc>
              <w:tc>
                <w:tcPr>
                  <w:tcW w:w="1061" w:type="dxa"/>
                  <w:vAlign w:val="center"/>
                </w:tcPr>
                <w:p>
                  <w:pPr>
                    <w:pStyle w:val="68"/>
                    <w:rPr>
                      <w:color w:val="auto"/>
                    </w:rPr>
                  </w:pPr>
                  <w:r>
                    <w:rPr>
                      <w:color w:val="auto"/>
                    </w:rPr>
                    <w:t>达标</w:t>
                  </w:r>
                </w:p>
              </w:tc>
              <w:tc>
                <w:tcPr>
                  <w:tcW w:w="1101" w:type="dxa"/>
                  <w:vAlign w:val="center"/>
                </w:tcPr>
                <w:p>
                  <w:pPr>
                    <w:pStyle w:val="68"/>
                    <w:rPr>
                      <w:color w:val="auto"/>
                    </w:rPr>
                  </w:pPr>
                  <w:r>
                    <w:rPr>
                      <w:color w:val="auto"/>
                    </w:rPr>
                    <w:t>达标</w:t>
                  </w:r>
                </w:p>
              </w:tc>
              <w:tc>
                <w:tcPr>
                  <w:tcW w:w="1086" w:type="dxa"/>
                  <w:vAlign w:val="center"/>
                </w:tcPr>
                <w:p>
                  <w:pPr>
                    <w:pStyle w:val="68"/>
                    <w:rPr>
                      <w:color w:val="auto"/>
                    </w:rPr>
                  </w:pPr>
                  <w:r>
                    <w:rPr>
                      <w:color w:val="auto"/>
                    </w:rPr>
                    <w:t>达标</w:t>
                  </w:r>
                </w:p>
              </w:tc>
              <w:tc>
                <w:tcPr>
                  <w:tcW w:w="1069" w:type="dxa"/>
                  <w:vAlign w:val="center"/>
                </w:tcPr>
                <w:p>
                  <w:pPr>
                    <w:pStyle w:val="68"/>
                    <w:rPr>
                      <w:color w:val="auto"/>
                    </w:rPr>
                  </w:pPr>
                  <w:r>
                    <w:rPr>
                      <w:color w:val="auto"/>
                    </w:rPr>
                    <w:t>达标</w:t>
                  </w:r>
                </w:p>
              </w:tc>
              <w:tc>
                <w:tcPr>
                  <w:tcW w:w="1484" w:type="dxa"/>
                  <w:vAlign w:val="center"/>
                </w:tcPr>
                <w:p>
                  <w:pPr>
                    <w:pStyle w:val="68"/>
                    <w:rPr>
                      <w:color w:val="auto"/>
                    </w:rPr>
                  </w:pPr>
                  <w:r>
                    <w:rPr>
                      <w:color w:val="auto"/>
                    </w:rPr>
                    <w:t>达标</w:t>
                  </w:r>
                </w:p>
              </w:tc>
              <w:tc>
                <w:tcPr>
                  <w:tcW w:w="1382" w:type="dxa"/>
                  <w:vAlign w:val="center"/>
                </w:tcPr>
                <w:p>
                  <w:pPr>
                    <w:pStyle w:val="68"/>
                    <w:rPr>
                      <w:color w:val="auto"/>
                    </w:rPr>
                  </w:pPr>
                  <w:r>
                    <w:rPr>
                      <w:color w:val="auto"/>
                    </w:rPr>
                    <w:t>达标</w:t>
                  </w:r>
                </w:p>
              </w:tc>
            </w:tr>
          </w:tbl>
          <w:p>
            <w:pPr>
              <w:keepNext w:val="0"/>
              <w:keepLines w:val="0"/>
              <w:pageBreakBefore w:val="0"/>
              <w:widowControl w:val="0"/>
              <w:kinsoku/>
              <w:wordWrap w:val="0"/>
              <w:overflowPunct/>
              <w:topLinePunct w:val="0"/>
              <w:autoSpaceDE/>
              <w:autoSpaceDN w:val="0"/>
              <w:bidi w:val="0"/>
              <w:adjustRightInd/>
              <w:snapToGrid/>
              <w:ind w:firstLine="480"/>
              <w:textAlignment w:val="auto"/>
              <w:rPr>
                <w:color w:val="auto"/>
              </w:rPr>
            </w:pPr>
            <w:r>
              <w:rPr>
                <w:rFonts w:hint="eastAsia"/>
                <w:color w:val="auto"/>
              </w:rPr>
              <w:t>根据</w:t>
            </w:r>
            <w:r>
              <w:rPr>
                <w:color w:val="auto"/>
              </w:rPr>
              <w:t>师宗县空气自动监测站2022年环境空气质量数据</w:t>
            </w:r>
            <w:r>
              <w:rPr>
                <w:rFonts w:hint="eastAsia"/>
                <w:color w:val="auto"/>
              </w:rPr>
              <w:t>，见下表</w:t>
            </w:r>
            <w:r>
              <w:rPr>
                <w:rFonts w:hint="eastAsia"/>
                <w:color w:val="auto"/>
                <w:lang w:val="en-US" w:eastAsia="zh-CN"/>
              </w:rPr>
              <w:t>3.1-3所示</w:t>
            </w:r>
            <w:r>
              <w:rPr>
                <w:color w:val="auto"/>
              </w:rPr>
              <w:t>。</w:t>
            </w:r>
          </w:p>
          <w:p>
            <w:pPr>
              <w:pStyle w:val="71"/>
              <w:rPr>
                <w:color w:val="auto"/>
              </w:rPr>
            </w:pPr>
            <w:r>
              <w:rPr>
                <w:color w:val="auto"/>
              </w:rPr>
              <w:t>表3.1-3 师宗县2022年环境空气质量现状评价表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166"/>
              <w:gridCol w:w="2067"/>
              <w:gridCol w:w="1027"/>
              <w:gridCol w:w="914"/>
              <w:gridCol w:w="1031"/>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545" w:type="pct"/>
                  <w:vAlign w:val="center"/>
                </w:tcPr>
                <w:p>
                  <w:pPr>
                    <w:pStyle w:val="68"/>
                    <w:rPr>
                      <w:b/>
                      <w:bCs/>
                      <w:color w:val="auto"/>
                    </w:rPr>
                  </w:pPr>
                  <w:r>
                    <w:rPr>
                      <w:b/>
                      <w:bCs/>
                      <w:color w:val="auto"/>
                    </w:rPr>
                    <w:t>污染物</w:t>
                  </w:r>
                </w:p>
              </w:tc>
              <w:tc>
                <w:tcPr>
                  <w:tcW w:w="743" w:type="pct"/>
                  <w:vAlign w:val="center"/>
                </w:tcPr>
                <w:p>
                  <w:pPr>
                    <w:pStyle w:val="68"/>
                    <w:rPr>
                      <w:b/>
                      <w:bCs/>
                      <w:color w:val="auto"/>
                    </w:rPr>
                  </w:pPr>
                  <w:r>
                    <w:rPr>
                      <w:b/>
                      <w:bCs/>
                      <w:color w:val="auto"/>
                    </w:rPr>
                    <w:t>有效数据数（个）</w:t>
                  </w:r>
                </w:p>
              </w:tc>
              <w:tc>
                <w:tcPr>
                  <w:tcW w:w="1317" w:type="pct"/>
                  <w:vAlign w:val="center"/>
                </w:tcPr>
                <w:p>
                  <w:pPr>
                    <w:pStyle w:val="68"/>
                    <w:rPr>
                      <w:b/>
                      <w:bCs/>
                      <w:color w:val="auto"/>
                    </w:rPr>
                  </w:pPr>
                  <w:r>
                    <w:rPr>
                      <w:b/>
                      <w:bCs/>
                      <w:color w:val="auto"/>
                      <w:shd w:val="clear" w:fill="FFFFFF"/>
                    </w:rPr>
                    <w:t>年</w:t>
                  </w:r>
                  <w:r>
                    <w:rPr>
                      <w:b/>
                      <w:bCs/>
                      <w:color w:val="auto"/>
                    </w:rPr>
                    <w:t>评价指标</w:t>
                  </w:r>
                </w:p>
              </w:tc>
              <w:tc>
                <w:tcPr>
                  <w:tcW w:w="654" w:type="pct"/>
                  <w:vAlign w:val="center"/>
                </w:tcPr>
                <w:p>
                  <w:pPr>
                    <w:pStyle w:val="68"/>
                    <w:rPr>
                      <w:b/>
                      <w:bCs/>
                      <w:color w:val="auto"/>
                    </w:rPr>
                  </w:pPr>
                  <w:r>
                    <w:rPr>
                      <w:b/>
                      <w:bCs/>
                      <w:color w:val="auto"/>
                    </w:rPr>
                    <w:t>现状浓度µg/m</w:t>
                  </w:r>
                  <w:r>
                    <w:rPr>
                      <w:b/>
                      <w:bCs/>
                      <w:color w:val="auto"/>
                      <w:vertAlign w:val="superscript"/>
                    </w:rPr>
                    <w:t>3</w:t>
                  </w:r>
                </w:p>
              </w:tc>
              <w:tc>
                <w:tcPr>
                  <w:tcW w:w="582" w:type="pct"/>
                  <w:vAlign w:val="center"/>
                </w:tcPr>
                <w:p>
                  <w:pPr>
                    <w:pStyle w:val="68"/>
                    <w:rPr>
                      <w:b/>
                      <w:bCs/>
                      <w:color w:val="auto"/>
                    </w:rPr>
                  </w:pPr>
                  <w:r>
                    <w:rPr>
                      <w:b/>
                      <w:bCs/>
                      <w:color w:val="auto"/>
                    </w:rPr>
                    <w:t>标准值</w:t>
                  </w:r>
                </w:p>
                <w:p>
                  <w:pPr>
                    <w:pStyle w:val="68"/>
                    <w:rPr>
                      <w:b/>
                      <w:bCs/>
                      <w:color w:val="auto"/>
                    </w:rPr>
                  </w:pPr>
                  <w:r>
                    <w:rPr>
                      <w:b/>
                      <w:bCs/>
                      <w:color w:val="auto"/>
                    </w:rPr>
                    <w:t>µg/m</w:t>
                  </w:r>
                  <w:r>
                    <w:rPr>
                      <w:b/>
                      <w:bCs/>
                      <w:color w:val="auto"/>
                      <w:vertAlign w:val="superscript"/>
                    </w:rPr>
                    <w:t>3</w:t>
                  </w:r>
                </w:p>
              </w:tc>
              <w:tc>
                <w:tcPr>
                  <w:tcW w:w="657" w:type="pct"/>
                  <w:vAlign w:val="center"/>
                </w:tcPr>
                <w:p>
                  <w:pPr>
                    <w:pStyle w:val="68"/>
                    <w:rPr>
                      <w:b/>
                      <w:bCs/>
                      <w:color w:val="auto"/>
                    </w:rPr>
                  </w:pPr>
                  <w:r>
                    <w:rPr>
                      <w:b/>
                      <w:bCs/>
                      <w:color w:val="auto"/>
                      <w:shd w:val="clear" w:fill="FFFFFF"/>
                    </w:rPr>
                    <w:t>占标率</w:t>
                  </w:r>
                  <w:r>
                    <w:rPr>
                      <w:b/>
                      <w:bCs/>
                      <w:color w:val="auto"/>
                    </w:rPr>
                    <w:t>%</w:t>
                  </w:r>
                </w:p>
              </w:tc>
              <w:tc>
                <w:tcPr>
                  <w:tcW w:w="499" w:type="pct"/>
                  <w:vAlign w:val="center"/>
                </w:tcPr>
                <w:p>
                  <w:pPr>
                    <w:pStyle w:val="68"/>
                    <w:rPr>
                      <w:b/>
                      <w:bCs/>
                      <w:color w:val="auto"/>
                    </w:rPr>
                  </w:pPr>
                  <w:r>
                    <w:rPr>
                      <w:rFonts w:hint="eastAsia"/>
                      <w:b/>
                      <w:bCs/>
                      <w:color w:val="auto"/>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restart"/>
                  <w:vAlign w:val="center"/>
                </w:tcPr>
                <w:p>
                  <w:pPr>
                    <w:pStyle w:val="68"/>
                    <w:rPr>
                      <w:color w:val="auto"/>
                    </w:rPr>
                  </w:pPr>
                  <w:r>
                    <w:rPr>
                      <w:color w:val="auto"/>
                    </w:rPr>
                    <w:t>SO</w:t>
                  </w:r>
                  <w:r>
                    <w:rPr>
                      <w:color w:val="auto"/>
                      <w:vertAlign w:val="subscript"/>
                    </w:rPr>
                    <w:t>2</w:t>
                  </w:r>
                </w:p>
              </w:tc>
              <w:tc>
                <w:tcPr>
                  <w:tcW w:w="743" w:type="pct"/>
                  <w:vMerge w:val="restart"/>
                  <w:vAlign w:val="center"/>
                </w:tcPr>
                <w:p>
                  <w:pPr>
                    <w:pStyle w:val="68"/>
                    <w:rPr>
                      <w:color w:val="auto"/>
                    </w:rPr>
                  </w:pPr>
                  <w:r>
                    <w:rPr>
                      <w:color w:val="auto"/>
                    </w:rPr>
                    <w:t>363</w:t>
                  </w:r>
                </w:p>
              </w:tc>
              <w:tc>
                <w:tcPr>
                  <w:tcW w:w="1317" w:type="pct"/>
                  <w:vAlign w:val="center"/>
                </w:tcPr>
                <w:p>
                  <w:pPr>
                    <w:pStyle w:val="68"/>
                    <w:rPr>
                      <w:color w:val="auto"/>
                    </w:rPr>
                  </w:pPr>
                  <w:r>
                    <w:rPr>
                      <w:color w:val="auto"/>
                    </w:rPr>
                    <w:t>年平均质量浓度</w:t>
                  </w:r>
                </w:p>
              </w:tc>
              <w:tc>
                <w:tcPr>
                  <w:tcW w:w="654" w:type="pct"/>
                  <w:vAlign w:val="center"/>
                </w:tcPr>
                <w:p>
                  <w:pPr>
                    <w:pStyle w:val="68"/>
                    <w:rPr>
                      <w:color w:val="auto"/>
                    </w:rPr>
                  </w:pPr>
                  <w:r>
                    <w:rPr>
                      <w:color w:val="auto"/>
                    </w:rPr>
                    <w:t>9</w:t>
                  </w:r>
                </w:p>
              </w:tc>
              <w:tc>
                <w:tcPr>
                  <w:tcW w:w="582" w:type="pct"/>
                  <w:vAlign w:val="center"/>
                </w:tcPr>
                <w:p>
                  <w:pPr>
                    <w:pStyle w:val="68"/>
                    <w:rPr>
                      <w:color w:val="auto"/>
                    </w:rPr>
                  </w:pPr>
                  <w:r>
                    <w:rPr>
                      <w:color w:val="auto"/>
                    </w:rPr>
                    <w:t>60</w:t>
                  </w:r>
                </w:p>
              </w:tc>
              <w:tc>
                <w:tcPr>
                  <w:tcW w:w="657" w:type="pct"/>
                  <w:vAlign w:val="center"/>
                </w:tcPr>
                <w:p>
                  <w:pPr>
                    <w:pStyle w:val="68"/>
                    <w:rPr>
                      <w:color w:val="auto"/>
                    </w:rPr>
                  </w:pPr>
                  <w:r>
                    <w:rPr>
                      <w:color w:val="auto"/>
                    </w:rPr>
                    <w:t>15</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continue"/>
                  <w:vAlign w:val="center"/>
                </w:tcPr>
                <w:p>
                  <w:pPr>
                    <w:pStyle w:val="68"/>
                    <w:rPr>
                      <w:color w:val="auto"/>
                    </w:rPr>
                  </w:pPr>
                </w:p>
              </w:tc>
              <w:tc>
                <w:tcPr>
                  <w:tcW w:w="743" w:type="pct"/>
                  <w:vMerge w:val="continue"/>
                  <w:vAlign w:val="center"/>
                </w:tcPr>
                <w:p>
                  <w:pPr>
                    <w:pStyle w:val="68"/>
                    <w:rPr>
                      <w:color w:val="auto"/>
                    </w:rPr>
                  </w:pPr>
                </w:p>
              </w:tc>
              <w:tc>
                <w:tcPr>
                  <w:tcW w:w="1317" w:type="pct"/>
                  <w:vAlign w:val="center"/>
                </w:tcPr>
                <w:p>
                  <w:pPr>
                    <w:pStyle w:val="68"/>
                    <w:rPr>
                      <w:color w:val="auto"/>
                    </w:rPr>
                  </w:pPr>
                  <w:r>
                    <w:rPr>
                      <w:color w:val="auto"/>
                    </w:rPr>
                    <w:t>98百分位日平均</w:t>
                  </w:r>
                </w:p>
              </w:tc>
              <w:tc>
                <w:tcPr>
                  <w:tcW w:w="654" w:type="pct"/>
                  <w:vAlign w:val="center"/>
                </w:tcPr>
                <w:p>
                  <w:pPr>
                    <w:pStyle w:val="68"/>
                    <w:rPr>
                      <w:color w:val="auto"/>
                    </w:rPr>
                  </w:pPr>
                  <w:r>
                    <w:rPr>
                      <w:color w:val="auto"/>
                    </w:rPr>
                    <w:t>18</w:t>
                  </w:r>
                </w:p>
              </w:tc>
              <w:tc>
                <w:tcPr>
                  <w:tcW w:w="582" w:type="pct"/>
                  <w:vAlign w:val="center"/>
                </w:tcPr>
                <w:p>
                  <w:pPr>
                    <w:pStyle w:val="68"/>
                    <w:rPr>
                      <w:color w:val="auto"/>
                    </w:rPr>
                  </w:pPr>
                  <w:r>
                    <w:rPr>
                      <w:color w:val="auto"/>
                    </w:rPr>
                    <w:t>150</w:t>
                  </w:r>
                </w:p>
              </w:tc>
              <w:tc>
                <w:tcPr>
                  <w:tcW w:w="657" w:type="pct"/>
                  <w:vAlign w:val="center"/>
                </w:tcPr>
                <w:p>
                  <w:pPr>
                    <w:pStyle w:val="68"/>
                    <w:rPr>
                      <w:color w:val="auto"/>
                    </w:rPr>
                  </w:pPr>
                  <w:r>
                    <w:rPr>
                      <w:color w:val="auto"/>
                    </w:rPr>
                    <w:t>6</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restart"/>
                  <w:vAlign w:val="center"/>
                </w:tcPr>
                <w:p>
                  <w:pPr>
                    <w:pStyle w:val="68"/>
                    <w:rPr>
                      <w:color w:val="auto"/>
                    </w:rPr>
                  </w:pPr>
                  <w:r>
                    <w:rPr>
                      <w:color w:val="auto"/>
                    </w:rPr>
                    <w:t>NO</w:t>
                  </w:r>
                  <w:r>
                    <w:rPr>
                      <w:color w:val="auto"/>
                      <w:vertAlign w:val="subscript"/>
                    </w:rPr>
                    <w:t>2</w:t>
                  </w:r>
                </w:p>
              </w:tc>
              <w:tc>
                <w:tcPr>
                  <w:tcW w:w="743" w:type="pct"/>
                  <w:vMerge w:val="restart"/>
                  <w:vAlign w:val="center"/>
                </w:tcPr>
                <w:p>
                  <w:pPr>
                    <w:pStyle w:val="68"/>
                    <w:rPr>
                      <w:color w:val="auto"/>
                    </w:rPr>
                  </w:pPr>
                  <w:r>
                    <w:rPr>
                      <w:color w:val="auto"/>
                    </w:rPr>
                    <w:t>363</w:t>
                  </w:r>
                </w:p>
              </w:tc>
              <w:tc>
                <w:tcPr>
                  <w:tcW w:w="1317" w:type="pct"/>
                  <w:vAlign w:val="center"/>
                </w:tcPr>
                <w:p>
                  <w:pPr>
                    <w:pStyle w:val="68"/>
                    <w:rPr>
                      <w:color w:val="auto"/>
                    </w:rPr>
                  </w:pPr>
                  <w:r>
                    <w:rPr>
                      <w:color w:val="auto"/>
                    </w:rPr>
                    <w:t>年平均质量浓度</w:t>
                  </w:r>
                </w:p>
              </w:tc>
              <w:tc>
                <w:tcPr>
                  <w:tcW w:w="654" w:type="pct"/>
                  <w:vAlign w:val="center"/>
                </w:tcPr>
                <w:p>
                  <w:pPr>
                    <w:pStyle w:val="68"/>
                    <w:rPr>
                      <w:color w:val="auto"/>
                    </w:rPr>
                  </w:pPr>
                  <w:r>
                    <w:rPr>
                      <w:color w:val="auto"/>
                    </w:rPr>
                    <w:t>18</w:t>
                  </w:r>
                </w:p>
              </w:tc>
              <w:tc>
                <w:tcPr>
                  <w:tcW w:w="582" w:type="pct"/>
                  <w:vAlign w:val="center"/>
                </w:tcPr>
                <w:p>
                  <w:pPr>
                    <w:pStyle w:val="68"/>
                    <w:rPr>
                      <w:color w:val="auto"/>
                    </w:rPr>
                  </w:pPr>
                  <w:r>
                    <w:rPr>
                      <w:color w:val="auto"/>
                    </w:rPr>
                    <w:t>40</w:t>
                  </w:r>
                </w:p>
              </w:tc>
              <w:tc>
                <w:tcPr>
                  <w:tcW w:w="657" w:type="pct"/>
                  <w:vAlign w:val="center"/>
                </w:tcPr>
                <w:p>
                  <w:pPr>
                    <w:pStyle w:val="68"/>
                    <w:rPr>
                      <w:color w:val="auto"/>
                    </w:rPr>
                  </w:pPr>
                  <w:r>
                    <w:rPr>
                      <w:color w:val="auto"/>
                    </w:rPr>
                    <w:t>45</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continue"/>
                  <w:vAlign w:val="center"/>
                </w:tcPr>
                <w:p>
                  <w:pPr>
                    <w:pStyle w:val="68"/>
                    <w:rPr>
                      <w:color w:val="auto"/>
                    </w:rPr>
                  </w:pPr>
                </w:p>
              </w:tc>
              <w:tc>
                <w:tcPr>
                  <w:tcW w:w="743" w:type="pct"/>
                  <w:vMerge w:val="continue"/>
                  <w:vAlign w:val="center"/>
                </w:tcPr>
                <w:p>
                  <w:pPr>
                    <w:pStyle w:val="68"/>
                    <w:rPr>
                      <w:color w:val="auto"/>
                    </w:rPr>
                  </w:pPr>
                </w:p>
              </w:tc>
              <w:tc>
                <w:tcPr>
                  <w:tcW w:w="1317" w:type="pct"/>
                  <w:vAlign w:val="center"/>
                </w:tcPr>
                <w:p>
                  <w:pPr>
                    <w:pStyle w:val="68"/>
                    <w:rPr>
                      <w:color w:val="auto"/>
                    </w:rPr>
                  </w:pPr>
                  <w:r>
                    <w:rPr>
                      <w:color w:val="auto"/>
                    </w:rPr>
                    <w:t>98百分位日平均</w:t>
                  </w:r>
                </w:p>
              </w:tc>
              <w:tc>
                <w:tcPr>
                  <w:tcW w:w="654" w:type="pct"/>
                  <w:vAlign w:val="center"/>
                </w:tcPr>
                <w:p>
                  <w:pPr>
                    <w:pStyle w:val="68"/>
                    <w:rPr>
                      <w:color w:val="auto"/>
                    </w:rPr>
                  </w:pPr>
                  <w:r>
                    <w:rPr>
                      <w:color w:val="auto"/>
                    </w:rPr>
                    <w:t>55</w:t>
                  </w:r>
                </w:p>
              </w:tc>
              <w:tc>
                <w:tcPr>
                  <w:tcW w:w="582" w:type="pct"/>
                  <w:vAlign w:val="center"/>
                </w:tcPr>
                <w:p>
                  <w:pPr>
                    <w:pStyle w:val="68"/>
                    <w:rPr>
                      <w:color w:val="auto"/>
                    </w:rPr>
                  </w:pPr>
                  <w:r>
                    <w:rPr>
                      <w:color w:val="auto"/>
                    </w:rPr>
                    <w:t>80</w:t>
                  </w:r>
                </w:p>
              </w:tc>
              <w:tc>
                <w:tcPr>
                  <w:tcW w:w="657" w:type="pct"/>
                  <w:vAlign w:val="center"/>
                </w:tcPr>
                <w:p>
                  <w:pPr>
                    <w:pStyle w:val="68"/>
                    <w:rPr>
                      <w:color w:val="auto"/>
                    </w:rPr>
                  </w:pPr>
                  <w:r>
                    <w:rPr>
                      <w:color w:val="auto"/>
                    </w:rPr>
                    <w:t>21</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restart"/>
                  <w:vAlign w:val="center"/>
                </w:tcPr>
                <w:p>
                  <w:pPr>
                    <w:pStyle w:val="68"/>
                    <w:rPr>
                      <w:color w:val="auto"/>
                    </w:rPr>
                  </w:pPr>
                  <w:r>
                    <w:rPr>
                      <w:color w:val="auto"/>
                    </w:rPr>
                    <w:t>PM</w:t>
                  </w:r>
                  <w:r>
                    <w:rPr>
                      <w:color w:val="auto"/>
                      <w:vertAlign w:val="subscript"/>
                    </w:rPr>
                    <w:t>10</w:t>
                  </w:r>
                </w:p>
              </w:tc>
              <w:tc>
                <w:tcPr>
                  <w:tcW w:w="743" w:type="pct"/>
                  <w:vMerge w:val="restart"/>
                  <w:vAlign w:val="center"/>
                </w:tcPr>
                <w:p>
                  <w:pPr>
                    <w:pStyle w:val="68"/>
                    <w:rPr>
                      <w:color w:val="auto"/>
                    </w:rPr>
                  </w:pPr>
                  <w:r>
                    <w:rPr>
                      <w:color w:val="auto"/>
                    </w:rPr>
                    <w:t>363</w:t>
                  </w:r>
                </w:p>
              </w:tc>
              <w:tc>
                <w:tcPr>
                  <w:tcW w:w="1317" w:type="pct"/>
                  <w:vAlign w:val="center"/>
                </w:tcPr>
                <w:p>
                  <w:pPr>
                    <w:pStyle w:val="68"/>
                    <w:rPr>
                      <w:color w:val="auto"/>
                    </w:rPr>
                  </w:pPr>
                  <w:r>
                    <w:rPr>
                      <w:color w:val="auto"/>
                    </w:rPr>
                    <w:t>年平均质量浓度</w:t>
                  </w:r>
                </w:p>
              </w:tc>
              <w:tc>
                <w:tcPr>
                  <w:tcW w:w="654" w:type="pct"/>
                  <w:vAlign w:val="center"/>
                </w:tcPr>
                <w:p>
                  <w:pPr>
                    <w:pStyle w:val="68"/>
                    <w:rPr>
                      <w:color w:val="auto"/>
                    </w:rPr>
                  </w:pPr>
                  <w:r>
                    <w:rPr>
                      <w:color w:val="auto"/>
                    </w:rPr>
                    <w:t>21</w:t>
                  </w:r>
                </w:p>
              </w:tc>
              <w:tc>
                <w:tcPr>
                  <w:tcW w:w="582" w:type="pct"/>
                  <w:vAlign w:val="center"/>
                </w:tcPr>
                <w:p>
                  <w:pPr>
                    <w:pStyle w:val="68"/>
                    <w:rPr>
                      <w:color w:val="auto"/>
                    </w:rPr>
                  </w:pPr>
                  <w:r>
                    <w:rPr>
                      <w:color w:val="auto"/>
                    </w:rPr>
                    <w:t>70</w:t>
                  </w:r>
                </w:p>
              </w:tc>
              <w:tc>
                <w:tcPr>
                  <w:tcW w:w="657" w:type="pct"/>
                  <w:vAlign w:val="center"/>
                </w:tcPr>
                <w:p>
                  <w:pPr>
                    <w:pStyle w:val="68"/>
                    <w:rPr>
                      <w:color w:val="auto"/>
                    </w:rPr>
                  </w:pPr>
                  <w:r>
                    <w:rPr>
                      <w:color w:val="auto"/>
                    </w:rPr>
                    <w:t>30</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continue"/>
                  <w:vAlign w:val="center"/>
                </w:tcPr>
                <w:p>
                  <w:pPr>
                    <w:pStyle w:val="68"/>
                    <w:rPr>
                      <w:color w:val="auto"/>
                    </w:rPr>
                  </w:pPr>
                </w:p>
              </w:tc>
              <w:tc>
                <w:tcPr>
                  <w:tcW w:w="743" w:type="pct"/>
                  <w:vMerge w:val="continue"/>
                  <w:vAlign w:val="center"/>
                </w:tcPr>
                <w:p>
                  <w:pPr>
                    <w:pStyle w:val="68"/>
                    <w:rPr>
                      <w:color w:val="auto"/>
                    </w:rPr>
                  </w:pPr>
                </w:p>
              </w:tc>
              <w:tc>
                <w:tcPr>
                  <w:tcW w:w="1317" w:type="pct"/>
                  <w:vAlign w:val="center"/>
                </w:tcPr>
                <w:p>
                  <w:pPr>
                    <w:pStyle w:val="68"/>
                    <w:rPr>
                      <w:color w:val="auto"/>
                    </w:rPr>
                  </w:pPr>
                  <w:r>
                    <w:rPr>
                      <w:color w:val="auto"/>
                    </w:rPr>
                    <w:t>95百分位日平均</w:t>
                  </w:r>
                </w:p>
              </w:tc>
              <w:tc>
                <w:tcPr>
                  <w:tcW w:w="654" w:type="pct"/>
                  <w:vAlign w:val="center"/>
                </w:tcPr>
                <w:p>
                  <w:pPr>
                    <w:pStyle w:val="68"/>
                    <w:rPr>
                      <w:color w:val="auto"/>
                    </w:rPr>
                  </w:pPr>
                  <w:r>
                    <w:rPr>
                      <w:color w:val="auto"/>
                    </w:rPr>
                    <w:t>55</w:t>
                  </w:r>
                </w:p>
              </w:tc>
              <w:tc>
                <w:tcPr>
                  <w:tcW w:w="582" w:type="pct"/>
                  <w:vAlign w:val="center"/>
                </w:tcPr>
                <w:p>
                  <w:pPr>
                    <w:pStyle w:val="68"/>
                    <w:rPr>
                      <w:color w:val="auto"/>
                    </w:rPr>
                  </w:pPr>
                  <w:r>
                    <w:rPr>
                      <w:color w:val="auto"/>
                    </w:rPr>
                    <w:t>150</w:t>
                  </w:r>
                </w:p>
              </w:tc>
              <w:tc>
                <w:tcPr>
                  <w:tcW w:w="657" w:type="pct"/>
                  <w:vAlign w:val="center"/>
                </w:tcPr>
                <w:p>
                  <w:pPr>
                    <w:pStyle w:val="68"/>
                    <w:rPr>
                      <w:color w:val="auto"/>
                    </w:rPr>
                  </w:pPr>
                  <w:r>
                    <w:rPr>
                      <w:color w:val="auto"/>
                    </w:rPr>
                    <w:t>12</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restart"/>
                  <w:vAlign w:val="center"/>
                </w:tcPr>
                <w:p>
                  <w:pPr>
                    <w:pStyle w:val="68"/>
                    <w:rPr>
                      <w:color w:val="auto"/>
                    </w:rPr>
                  </w:pPr>
                  <w:r>
                    <w:rPr>
                      <w:color w:val="auto"/>
                    </w:rPr>
                    <w:t>PM</w:t>
                  </w:r>
                  <w:r>
                    <w:rPr>
                      <w:color w:val="auto"/>
                      <w:vertAlign w:val="subscript"/>
                    </w:rPr>
                    <w:t>2.5</w:t>
                  </w:r>
                </w:p>
              </w:tc>
              <w:tc>
                <w:tcPr>
                  <w:tcW w:w="743" w:type="pct"/>
                  <w:vMerge w:val="restart"/>
                  <w:vAlign w:val="center"/>
                </w:tcPr>
                <w:p>
                  <w:pPr>
                    <w:pStyle w:val="68"/>
                    <w:rPr>
                      <w:color w:val="auto"/>
                    </w:rPr>
                  </w:pPr>
                  <w:r>
                    <w:rPr>
                      <w:color w:val="auto"/>
                    </w:rPr>
                    <w:t>363</w:t>
                  </w:r>
                </w:p>
              </w:tc>
              <w:tc>
                <w:tcPr>
                  <w:tcW w:w="1317" w:type="pct"/>
                  <w:vAlign w:val="center"/>
                </w:tcPr>
                <w:p>
                  <w:pPr>
                    <w:pStyle w:val="68"/>
                    <w:rPr>
                      <w:color w:val="auto"/>
                    </w:rPr>
                  </w:pPr>
                  <w:r>
                    <w:rPr>
                      <w:color w:val="auto"/>
                    </w:rPr>
                    <w:t>年平均质量浓度</w:t>
                  </w:r>
                </w:p>
              </w:tc>
              <w:tc>
                <w:tcPr>
                  <w:tcW w:w="654" w:type="pct"/>
                  <w:vAlign w:val="center"/>
                </w:tcPr>
                <w:p>
                  <w:pPr>
                    <w:pStyle w:val="68"/>
                    <w:rPr>
                      <w:color w:val="auto"/>
                    </w:rPr>
                  </w:pPr>
                  <w:r>
                    <w:rPr>
                      <w:color w:val="auto"/>
                    </w:rPr>
                    <w:t>15</w:t>
                  </w:r>
                </w:p>
              </w:tc>
              <w:tc>
                <w:tcPr>
                  <w:tcW w:w="582" w:type="pct"/>
                  <w:vAlign w:val="center"/>
                </w:tcPr>
                <w:p>
                  <w:pPr>
                    <w:pStyle w:val="68"/>
                    <w:rPr>
                      <w:color w:val="auto"/>
                    </w:rPr>
                  </w:pPr>
                  <w:r>
                    <w:rPr>
                      <w:color w:val="auto"/>
                    </w:rPr>
                    <w:t>35</w:t>
                  </w:r>
                </w:p>
              </w:tc>
              <w:tc>
                <w:tcPr>
                  <w:tcW w:w="657" w:type="pct"/>
                  <w:vAlign w:val="center"/>
                </w:tcPr>
                <w:p>
                  <w:pPr>
                    <w:pStyle w:val="68"/>
                    <w:rPr>
                      <w:color w:val="auto"/>
                    </w:rPr>
                  </w:pPr>
                  <w:r>
                    <w:rPr>
                      <w:color w:val="auto"/>
                    </w:rPr>
                    <w:t>43</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Merge w:val="continue"/>
                  <w:vAlign w:val="center"/>
                </w:tcPr>
                <w:p>
                  <w:pPr>
                    <w:pStyle w:val="68"/>
                    <w:rPr>
                      <w:color w:val="auto"/>
                    </w:rPr>
                  </w:pPr>
                </w:p>
              </w:tc>
              <w:tc>
                <w:tcPr>
                  <w:tcW w:w="743" w:type="pct"/>
                  <w:vMerge w:val="continue"/>
                  <w:vAlign w:val="center"/>
                </w:tcPr>
                <w:p>
                  <w:pPr>
                    <w:pStyle w:val="68"/>
                    <w:rPr>
                      <w:color w:val="auto"/>
                    </w:rPr>
                  </w:pPr>
                </w:p>
              </w:tc>
              <w:tc>
                <w:tcPr>
                  <w:tcW w:w="1317" w:type="pct"/>
                  <w:vAlign w:val="center"/>
                </w:tcPr>
                <w:p>
                  <w:pPr>
                    <w:pStyle w:val="68"/>
                    <w:rPr>
                      <w:color w:val="auto"/>
                    </w:rPr>
                  </w:pPr>
                  <w:r>
                    <w:rPr>
                      <w:color w:val="auto"/>
                    </w:rPr>
                    <w:t>95百分位日平均</w:t>
                  </w:r>
                </w:p>
              </w:tc>
              <w:tc>
                <w:tcPr>
                  <w:tcW w:w="654" w:type="pct"/>
                  <w:vAlign w:val="center"/>
                </w:tcPr>
                <w:p>
                  <w:pPr>
                    <w:pStyle w:val="68"/>
                    <w:rPr>
                      <w:color w:val="auto"/>
                    </w:rPr>
                  </w:pPr>
                  <w:r>
                    <w:rPr>
                      <w:color w:val="auto"/>
                    </w:rPr>
                    <w:t>39</w:t>
                  </w:r>
                </w:p>
              </w:tc>
              <w:tc>
                <w:tcPr>
                  <w:tcW w:w="582" w:type="pct"/>
                  <w:vAlign w:val="center"/>
                </w:tcPr>
                <w:p>
                  <w:pPr>
                    <w:pStyle w:val="68"/>
                    <w:rPr>
                      <w:color w:val="auto"/>
                    </w:rPr>
                  </w:pPr>
                  <w:r>
                    <w:rPr>
                      <w:color w:val="auto"/>
                    </w:rPr>
                    <w:t>75</w:t>
                  </w:r>
                </w:p>
              </w:tc>
              <w:tc>
                <w:tcPr>
                  <w:tcW w:w="657" w:type="pct"/>
                  <w:vAlign w:val="center"/>
                </w:tcPr>
                <w:p>
                  <w:pPr>
                    <w:pStyle w:val="68"/>
                    <w:rPr>
                      <w:color w:val="auto"/>
                    </w:rPr>
                  </w:pPr>
                  <w:r>
                    <w:rPr>
                      <w:color w:val="auto"/>
                    </w:rPr>
                    <w:t>17</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Align w:val="center"/>
                </w:tcPr>
                <w:p>
                  <w:pPr>
                    <w:pStyle w:val="68"/>
                    <w:rPr>
                      <w:color w:val="auto"/>
                    </w:rPr>
                  </w:pPr>
                  <w:r>
                    <w:rPr>
                      <w:color w:val="auto"/>
                    </w:rPr>
                    <w:t>CO</w:t>
                  </w:r>
                </w:p>
              </w:tc>
              <w:tc>
                <w:tcPr>
                  <w:tcW w:w="743" w:type="pct"/>
                  <w:vAlign w:val="center"/>
                </w:tcPr>
                <w:p>
                  <w:pPr>
                    <w:pStyle w:val="68"/>
                    <w:rPr>
                      <w:color w:val="auto"/>
                    </w:rPr>
                  </w:pPr>
                  <w:r>
                    <w:rPr>
                      <w:color w:val="auto"/>
                    </w:rPr>
                    <w:t>361</w:t>
                  </w:r>
                </w:p>
              </w:tc>
              <w:tc>
                <w:tcPr>
                  <w:tcW w:w="1317" w:type="pct"/>
                  <w:vAlign w:val="center"/>
                </w:tcPr>
                <w:p>
                  <w:pPr>
                    <w:pStyle w:val="68"/>
                    <w:rPr>
                      <w:color w:val="auto"/>
                    </w:rPr>
                  </w:pPr>
                  <w:r>
                    <w:rPr>
                      <w:color w:val="auto"/>
                    </w:rPr>
                    <w:t>第95百分位日平均</w:t>
                  </w:r>
                </w:p>
              </w:tc>
              <w:tc>
                <w:tcPr>
                  <w:tcW w:w="654" w:type="pct"/>
                  <w:vAlign w:val="center"/>
                </w:tcPr>
                <w:p>
                  <w:pPr>
                    <w:pStyle w:val="68"/>
                    <w:rPr>
                      <w:color w:val="auto"/>
                    </w:rPr>
                  </w:pPr>
                  <w:r>
                    <w:rPr>
                      <w:color w:val="auto"/>
                    </w:rPr>
                    <w:t>1100</w:t>
                  </w:r>
                </w:p>
              </w:tc>
              <w:tc>
                <w:tcPr>
                  <w:tcW w:w="582" w:type="pct"/>
                  <w:vAlign w:val="center"/>
                </w:tcPr>
                <w:p>
                  <w:pPr>
                    <w:pStyle w:val="68"/>
                    <w:rPr>
                      <w:color w:val="auto"/>
                    </w:rPr>
                  </w:pPr>
                  <w:r>
                    <w:rPr>
                      <w:color w:val="auto"/>
                    </w:rPr>
                    <w:t>4000</w:t>
                  </w:r>
                </w:p>
              </w:tc>
              <w:tc>
                <w:tcPr>
                  <w:tcW w:w="657" w:type="pct"/>
                  <w:vAlign w:val="center"/>
                </w:tcPr>
                <w:p>
                  <w:pPr>
                    <w:pStyle w:val="68"/>
                    <w:rPr>
                      <w:color w:val="auto"/>
                    </w:rPr>
                  </w:pPr>
                  <w:r>
                    <w:rPr>
                      <w:color w:val="auto"/>
                    </w:rPr>
                    <w:t>17</w:t>
                  </w:r>
                </w:p>
              </w:tc>
              <w:tc>
                <w:tcPr>
                  <w:tcW w:w="499" w:type="pct"/>
                  <w:vAlign w:val="center"/>
                </w:tcPr>
                <w:p>
                  <w:pPr>
                    <w:pStyle w:val="68"/>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 w:type="pct"/>
                  <w:vAlign w:val="center"/>
                </w:tcPr>
                <w:p>
                  <w:pPr>
                    <w:pStyle w:val="68"/>
                    <w:rPr>
                      <w:color w:val="auto"/>
                    </w:rPr>
                  </w:pPr>
                  <w:r>
                    <w:rPr>
                      <w:color w:val="auto"/>
                    </w:rPr>
                    <w:t>O</w:t>
                  </w:r>
                  <w:r>
                    <w:rPr>
                      <w:color w:val="auto"/>
                      <w:vertAlign w:val="subscript"/>
                    </w:rPr>
                    <w:t>3</w:t>
                  </w:r>
                </w:p>
              </w:tc>
              <w:tc>
                <w:tcPr>
                  <w:tcW w:w="743" w:type="pct"/>
                  <w:vAlign w:val="center"/>
                </w:tcPr>
                <w:p>
                  <w:pPr>
                    <w:pStyle w:val="68"/>
                    <w:rPr>
                      <w:color w:val="auto"/>
                    </w:rPr>
                  </w:pPr>
                  <w:r>
                    <w:rPr>
                      <w:color w:val="auto"/>
                    </w:rPr>
                    <w:t>362</w:t>
                  </w:r>
                </w:p>
              </w:tc>
              <w:tc>
                <w:tcPr>
                  <w:tcW w:w="1317" w:type="pct"/>
                  <w:vAlign w:val="center"/>
                </w:tcPr>
                <w:p>
                  <w:pPr>
                    <w:pStyle w:val="68"/>
                    <w:rPr>
                      <w:color w:val="auto"/>
                    </w:rPr>
                  </w:pPr>
                  <w:r>
                    <w:rPr>
                      <w:color w:val="auto"/>
                    </w:rPr>
                    <w:t>第90百分位8h平均质量浓度</w:t>
                  </w:r>
                </w:p>
              </w:tc>
              <w:tc>
                <w:tcPr>
                  <w:tcW w:w="654" w:type="pct"/>
                  <w:vAlign w:val="center"/>
                </w:tcPr>
                <w:p>
                  <w:pPr>
                    <w:pStyle w:val="68"/>
                    <w:rPr>
                      <w:color w:val="auto"/>
                    </w:rPr>
                  </w:pPr>
                  <w:r>
                    <w:rPr>
                      <w:color w:val="auto"/>
                    </w:rPr>
                    <w:t>109</w:t>
                  </w:r>
                </w:p>
              </w:tc>
              <w:tc>
                <w:tcPr>
                  <w:tcW w:w="582" w:type="pct"/>
                  <w:vAlign w:val="center"/>
                </w:tcPr>
                <w:p>
                  <w:pPr>
                    <w:pStyle w:val="68"/>
                    <w:rPr>
                      <w:color w:val="auto"/>
                    </w:rPr>
                  </w:pPr>
                  <w:r>
                    <w:rPr>
                      <w:color w:val="auto"/>
                    </w:rPr>
                    <w:t>160</w:t>
                  </w:r>
                </w:p>
              </w:tc>
              <w:tc>
                <w:tcPr>
                  <w:tcW w:w="657" w:type="pct"/>
                  <w:vAlign w:val="center"/>
                </w:tcPr>
                <w:p>
                  <w:pPr>
                    <w:pStyle w:val="68"/>
                    <w:rPr>
                      <w:color w:val="auto"/>
                    </w:rPr>
                  </w:pPr>
                  <w:r>
                    <w:rPr>
                      <w:color w:val="auto"/>
                    </w:rPr>
                    <w:t>41</w:t>
                  </w:r>
                </w:p>
              </w:tc>
              <w:tc>
                <w:tcPr>
                  <w:tcW w:w="499" w:type="pct"/>
                  <w:vAlign w:val="center"/>
                </w:tcPr>
                <w:p>
                  <w:pPr>
                    <w:pStyle w:val="68"/>
                    <w:rPr>
                      <w:color w:val="auto"/>
                    </w:rPr>
                  </w:pPr>
                  <w:r>
                    <w:rPr>
                      <w:color w:val="auto"/>
                    </w:rPr>
                    <w:t>/</w:t>
                  </w:r>
                </w:p>
              </w:tc>
            </w:tr>
          </w:tbl>
          <w:p>
            <w:pPr>
              <w:ind w:firstLine="480"/>
              <w:rPr>
                <w:color w:val="auto"/>
              </w:rPr>
            </w:pPr>
            <w:r>
              <w:rPr>
                <w:color w:val="auto"/>
              </w:rPr>
              <w:t>根据《师宗县2022年城市环境空气质量报告》，师宗县中心城区2022年环境空气中PM</w:t>
            </w:r>
            <w:r>
              <w:rPr>
                <w:color w:val="auto"/>
                <w:vertAlign w:val="subscript"/>
              </w:rPr>
              <w:t>2.5</w:t>
            </w:r>
            <w:r>
              <w:rPr>
                <w:color w:val="auto"/>
              </w:rPr>
              <w:t>、PM</w:t>
            </w:r>
            <w:r>
              <w:rPr>
                <w:color w:val="auto"/>
                <w:vertAlign w:val="subscript"/>
              </w:rPr>
              <w:t>10</w:t>
            </w:r>
            <w:r>
              <w:rPr>
                <w:color w:val="auto"/>
              </w:rPr>
              <w:t>、SO</w:t>
            </w:r>
            <w:r>
              <w:rPr>
                <w:color w:val="auto"/>
                <w:vertAlign w:val="subscript"/>
              </w:rPr>
              <w:t>2</w:t>
            </w:r>
            <w:r>
              <w:rPr>
                <w:color w:val="auto"/>
              </w:rPr>
              <w:t>、NO</w:t>
            </w:r>
            <w:r>
              <w:rPr>
                <w:color w:val="auto"/>
                <w:vertAlign w:val="subscript"/>
              </w:rPr>
              <w:t>2</w:t>
            </w:r>
            <w:r>
              <w:rPr>
                <w:color w:val="auto"/>
              </w:rPr>
              <w:t>年均浓度、CO24小时平均浓度第95百分位数、O</w:t>
            </w:r>
            <w:r>
              <w:rPr>
                <w:color w:val="auto"/>
                <w:vertAlign w:val="subscript"/>
              </w:rPr>
              <w:t>3</w:t>
            </w:r>
            <w:r>
              <w:rPr>
                <w:color w:val="auto"/>
              </w:rPr>
              <w:t>8h浓度第90百分位数均小于《环境空气质量标准》（GB3095-2012）及其修改单中的二级标准要求，因此判定项目所在区域为环境空气质量达标区。</w:t>
            </w:r>
          </w:p>
          <w:p>
            <w:pPr>
              <w:pStyle w:val="84"/>
              <w:ind w:firstLine="482"/>
              <w:rPr>
                <w:color w:val="auto"/>
              </w:rPr>
            </w:pPr>
            <w:r>
              <w:rPr>
                <w:rFonts w:hint="eastAsia"/>
                <w:color w:val="auto"/>
              </w:rPr>
              <w:t>2</w:t>
            </w:r>
            <w:r>
              <w:rPr>
                <w:color w:val="auto"/>
              </w:rPr>
              <w:t>.</w:t>
            </w:r>
            <w:r>
              <w:rPr>
                <w:rFonts w:hint="eastAsia"/>
                <w:color w:val="auto"/>
              </w:rPr>
              <w:t>特征污染物补充监测情况</w:t>
            </w:r>
          </w:p>
          <w:p>
            <w:pPr>
              <w:ind w:firstLine="480"/>
              <w:rPr>
                <w:color w:val="auto"/>
              </w:rPr>
            </w:pPr>
            <w:r>
              <w:rPr>
                <w:rFonts w:hint="eastAsia"/>
                <w:color w:val="auto"/>
              </w:rPr>
              <w:t>本项目特征污染物为T</w:t>
            </w:r>
            <w:r>
              <w:rPr>
                <w:color w:val="auto"/>
              </w:rPr>
              <w:t>SP</w:t>
            </w:r>
            <w:r>
              <w:rPr>
                <w:rFonts w:hint="eastAsia"/>
                <w:color w:val="auto"/>
              </w:rPr>
              <w:t>、</w:t>
            </w:r>
            <w:r>
              <w:rPr>
                <w:color w:val="auto"/>
              </w:rPr>
              <w:t>NH</w:t>
            </w:r>
            <w:r>
              <w:rPr>
                <w:color w:val="auto"/>
                <w:vertAlign w:val="subscript"/>
              </w:rPr>
              <w:t>3</w:t>
            </w:r>
            <w:r>
              <w:rPr>
                <w:rFonts w:hint="eastAsia"/>
                <w:color w:val="auto"/>
              </w:rPr>
              <w:t>、H</w:t>
            </w:r>
            <w:r>
              <w:rPr>
                <w:color w:val="auto"/>
                <w:vertAlign w:val="subscript"/>
              </w:rPr>
              <w:t>2</w:t>
            </w:r>
            <w:r>
              <w:rPr>
                <w:color w:val="auto"/>
              </w:rPr>
              <w:t>S</w:t>
            </w:r>
            <w:r>
              <w:rPr>
                <w:rFonts w:hint="eastAsia"/>
                <w:color w:val="auto"/>
              </w:rPr>
              <w:t>、</w:t>
            </w:r>
            <w:r>
              <w:rPr>
                <w:color w:val="auto"/>
              </w:rPr>
              <w:t>SO</w:t>
            </w:r>
            <w:r>
              <w:rPr>
                <w:color w:val="auto"/>
                <w:vertAlign w:val="subscript"/>
              </w:rPr>
              <w:t>2</w:t>
            </w:r>
            <w:r>
              <w:rPr>
                <w:rFonts w:hint="eastAsia"/>
                <w:color w:val="auto"/>
              </w:rPr>
              <w:t>、</w:t>
            </w:r>
            <w:r>
              <w:rPr>
                <w:color w:val="auto"/>
              </w:rPr>
              <w:t>NOx</w:t>
            </w:r>
            <w:r>
              <w:rPr>
                <w:rFonts w:hint="eastAsia"/>
                <w:color w:val="auto"/>
              </w:rPr>
              <w:t>。</w:t>
            </w:r>
          </w:p>
          <w:p>
            <w:pPr>
              <w:ind w:firstLine="480"/>
              <w:rPr>
                <w:color w:val="auto"/>
              </w:rPr>
            </w:pPr>
            <w:r>
              <w:rPr>
                <w:rFonts w:hint="eastAsia"/>
                <w:color w:val="auto"/>
              </w:rPr>
              <w:t>建设单位</w:t>
            </w:r>
            <w:r>
              <w:rPr>
                <w:rFonts w:hint="eastAsia"/>
                <w:color w:val="auto"/>
                <w:shd w:val="clear" w:fill="FFFFFF"/>
                <w:lang w:val="en-US" w:eastAsia="zh-CN"/>
              </w:rPr>
              <w:t>原</w:t>
            </w:r>
            <w:r>
              <w:rPr>
                <w:rFonts w:hint="eastAsia"/>
                <w:color w:val="auto"/>
                <w:lang w:val="en-US" w:eastAsia="zh-CN"/>
              </w:rPr>
              <w:t>环评阶段</w:t>
            </w:r>
            <w:r>
              <w:rPr>
                <w:rFonts w:hint="eastAsia"/>
                <w:color w:val="auto"/>
              </w:rPr>
              <w:t>委托云南中科检测技术有限公司2</w:t>
            </w:r>
            <w:r>
              <w:rPr>
                <w:color w:val="auto"/>
              </w:rPr>
              <w:t>023</w:t>
            </w:r>
            <w:r>
              <w:rPr>
                <w:rFonts w:hint="eastAsia"/>
                <w:color w:val="auto"/>
              </w:rPr>
              <w:t>年1</w:t>
            </w:r>
            <w:r>
              <w:rPr>
                <w:color w:val="auto"/>
              </w:rPr>
              <w:t>2</w:t>
            </w:r>
            <w:r>
              <w:rPr>
                <w:rFonts w:hint="eastAsia"/>
                <w:color w:val="auto"/>
              </w:rPr>
              <w:t>月1</w:t>
            </w:r>
            <w:r>
              <w:rPr>
                <w:color w:val="auto"/>
              </w:rPr>
              <w:t>5</w:t>
            </w:r>
            <w:r>
              <w:rPr>
                <w:rFonts w:hint="eastAsia"/>
                <w:color w:val="auto"/>
              </w:rPr>
              <w:t>日</w:t>
            </w:r>
            <w:r>
              <w:rPr>
                <w:rFonts w:hint="eastAsia"/>
                <w:color w:val="auto"/>
                <w:lang w:eastAsia="zh-CN"/>
              </w:rPr>
              <w:t>—</w:t>
            </w:r>
            <w:r>
              <w:rPr>
                <w:color w:val="auto"/>
              </w:rPr>
              <w:t>12</w:t>
            </w:r>
            <w:r>
              <w:rPr>
                <w:rFonts w:hint="eastAsia"/>
                <w:color w:val="auto"/>
              </w:rPr>
              <w:t>月1</w:t>
            </w:r>
            <w:r>
              <w:rPr>
                <w:color w:val="auto"/>
              </w:rPr>
              <w:t>8</w:t>
            </w:r>
            <w:r>
              <w:rPr>
                <w:rFonts w:hint="eastAsia"/>
                <w:color w:val="auto"/>
              </w:rPr>
              <w:t>日，对项目区东侧散户开展了特征污染物补充监测，</w:t>
            </w:r>
            <w:r>
              <w:rPr>
                <w:color w:val="auto"/>
              </w:rPr>
              <w:t>TSP</w:t>
            </w:r>
            <w:r>
              <w:rPr>
                <w:rFonts w:hint="eastAsia"/>
                <w:color w:val="auto"/>
              </w:rPr>
              <w:t>监测2</w:t>
            </w:r>
            <w:r>
              <w:rPr>
                <w:color w:val="auto"/>
              </w:rPr>
              <w:t>4</w:t>
            </w:r>
            <w:r>
              <w:rPr>
                <w:rFonts w:hint="eastAsia"/>
                <w:color w:val="auto"/>
              </w:rPr>
              <w:t>小时</w:t>
            </w:r>
            <w:r>
              <w:rPr>
                <w:color w:val="auto"/>
              </w:rPr>
              <w:t>值</w:t>
            </w:r>
            <w:r>
              <w:rPr>
                <w:rFonts w:hint="eastAsia"/>
                <w:color w:val="auto"/>
              </w:rPr>
              <w:t>；N</w:t>
            </w:r>
            <w:r>
              <w:rPr>
                <w:color w:val="auto"/>
              </w:rPr>
              <w:t>O</w:t>
            </w:r>
            <w:r>
              <w:rPr>
                <w:rFonts w:hint="eastAsia"/>
                <w:color w:val="auto"/>
              </w:rPr>
              <w:t>x、S</w:t>
            </w:r>
            <w:r>
              <w:rPr>
                <w:color w:val="auto"/>
              </w:rPr>
              <w:t>O</w:t>
            </w:r>
            <w:r>
              <w:rPr>
                <w:color w:val="auto"/>
                <w:vertAlign w:val="subscript"/>
              </w:rPr>
              <w:t>2</w:t>
            </w:r>
            <w:r>
              <w:rPr>
                <w:color w:val="auto"/>
              </w:rPr>
              <w:t>、</w:t>
            </w:r>
            <w:r>
              <w:rPr>
                <w:rFonts w:hint="eastAsia"/>
                <w:color w:val="auto"/>
              </w:rPr>
              <w:t>H</w:t>
            </w:r>
            <w:r>
              <w:rPr>
                <w:color w:val="auto"/>
                <w:vertAlign w:val="subscript"/>
              </w:rPr>
              <w:t>2</w:t>
            </w:r>
            <w:r>
              <w:rPr>
                <w:color w:val="auto"/>
              </w:rPr>
              <w:t>S</w:t>
            </w:r>
            <w:r>
              <w:rPr>
                <w:rFonts w:hint="eastAsia"/>
                <w:color w:val="auto"/>
              </w:rPr>
              <w:t>、N</w:t>
            </w:r>
            <w:r>
              <w:rPr>
                <w:color w:val="auto"/>
              </w:rPr>
              <w:t>H</w:t>
            </w:r>
            <w:r>
              <w:rPr>
                <w:color w:val="auto"/>
                <w:vertAlign w:val="subscript"/>
              </w:rPr>
              <w:t>3</w:t>
            </w:r>
            <w:r>
              <w:rPr>
                <w:rFonts w:hint="eastAsia"/>
                <w:color w:val="auto"/>
                <w:shd w:val="clear" w:fill="FFFFFF"/>
              </w:rPr>
              <w:t>测</w:t>
            </w:r>
            <w:r>
              <w:rPr>
                <w:rFonts w:hint="eastAsia"/>
                <w:color w:val="auto"/>
              </w:rPr>
              <w:t>小时值，每天4次。监测报告编号：Y</w:t>
            </w:r>
            <w:r>
              <w:rPr>
                <w:color w:val="auto"/>
              </w:rPr>
              <w:t>NZKBG</w:t>
            </w:r>
            <w:r>
              <w:rPr>
                <w:rFonts w:hint="eastAsia"/>
                <w:color w:val="auto"/>
              </w:rPr>
              <w:t>2</w:t>
            </w:r>
            <w:r>
              <w:rPr>
                <w:color w:val="auto"/>
              </w:rPr>
              <w:t>0231226011</w:t>
            </w:r>
            <w:r>
              <w:rPr>
                <w:rFonts w:hint="eastAsia"/>
                <w:color w:val="auto"/>
              </w:rPr>
              <w:t>，监测报告详见附件1</w:t>
            </w:r>
            <w:r>
              <w:rPr>
                <w:color w:val="auto"/>
              </w:rPr>
              <w:t>1</w:t>
            </w:r>
            <w:r>
              <w:rPr>
                <w:rFonts w:hint="eastAsia"/>
                <w:color w:val="auto"/>
              </w:rPr>
              <w:t>。</w:t>
            </w:r>
          </w:p>
          <w:p>
            <w:pPr>
              <w:ind w:firstLine="480"/>
              <w:rPr>
                <w:color w:val="auto"/>
              </w:rPr>
            </w:pPr>
            <w:r>
              <w:rPr>
                <w:rFonts w:hint="eastAsia"/>
                <w:color w:val="auto"/>
              </w:rPr>
              <w:t>监测结果见下表所示。</w:t>
            </w:r>
          </w:p>
          <w:p>
            <w:pPr>
              <w:pStyle w:val="71"/>
              <w:rPr>
                <w:rFonts w:hint="eastAsia"/>
                <w:color w:val="auto"/>
              </w:rPr>
            </w:pPr>
          </w:p>
          <w:p>
            <w:pPr>
              <w:pStyle w:val="71"/>
              <w:rPr>
                <w:rFonts w:hint="eastAsia"/>
                <w:color w:val="auto"/>
              </w:rPr>
            </w:pPr>
          </w:p>
          <w:p>
            <w:pPr>
              <w:pStyle w:val="71"/>
              <w:rPr>
                <w:color w:val="auto"/>
              </w:rPr>
            </w:pPr>
            <w:r>
              <w:rPr>
                <w:rFonts w:hint="eastAsia"/>
                <w:color w:val="auto"/>
              </w:rPr>
              <w:t>表3</w:t>
            </w:r>
            <w:r>
              <w:rPr>
                <w:color w:val="auto"/>
              </w:rPr>
              <w:t xml:space="preserve">.1-4 </w:t>
            </w:r>
            <w:r>
              <w:rPr>
                <w:rFonts w:hint="eastAsia"/>
                <w:color w:val="auto"/>
                <w:lang w:val="en-US" w:eastAsia="zh-CN"/>
              </w:rPr>
              <w:t xml:space="preserve"> </w:t>
            </w:r>
            <w:r>
              <w:rPr>
                <w:rFonts w:hint="eastAsia"/>
                <w:color w:val="auto"/>
              </w:rPr>
              <w:t>特征污染物补充监测结果一览表</w:t>
            </w:r>
          </w:p>
          <w:tbl>
            <w:tblPr>
              <w:tblStyle w:val="30"/>
              <w:tblW w:w="7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2410"/>
              <w:gridCol w:w="1558"/>
              <w:gridCol w:w="850"/>
              <w:gridCol w:w="110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0" w:type="pct"/>
                  <w:vAlign w:val="center"/>
                </w:tcPr>
                <w:p>
                  <w:pPr>
                    <w:pStyle w:val="68"/>
                    <w:rPr>
                      <w:b/>
                      <w:bCs/>
                      <w:color w:val="auto"/>
                    </w:rPr>
                  </w:pPr>
                  <w:r>
                    <w:rPr>
                      <w:rFonts w:hint="eastAsia"/>
                      <w:b/>
                      <w:bCs/>
                      <w:color w:val="auto"/>
                    </w:rPr>
                    <w:t>监测项目</w:t>
                  </w:r>
                </w:p>
              </w:tc>
              <w:tc>
                <w:tcPr>
                  <w:tcW w:w="1539" w:type="pct"/>
                  <w:vAlign w:val="center"/>
                </w:tcPr>
                <w:p>
                  <w:pPr>
                    <w:pStyle w:val="68"/>
                    <w:rPr>
                      <w:b/>
                      <w:bCs/>
                      <w:color w:val="auto"/>
                    </w:rPr>
                  </w:pPr>
                  <w:r>
                    <w:rPr>
                      <w:rFonts w:hint="eastAsia"/>
                      <w:b/>
                      <w:bCs/>
                      <w:color w:val="auto"/>
                    </w:rPr>
                    <w:t>采样时间</w:t>
                  </w:r>
                </w:p>
              </w:tc>
              <w:tc>
                <w:tcPr>
                  <w:tcW w:w="995" w:type="pct"/>
                  <w:vAlign w:val="center"/>
                </w:tcPr>
                <w:p>
                  <w:pPr>
                    <w:pStyle w:val="68"/>
                    <w:rPr>
                      <w:b/>
                      <w:bCs/>
                      <w:color w:val="auto"/>
                    </w:rPr>
                  </w:pPr>
                  <w:r>
                    <w:rPr>
                      <w:b/>
                      <w:bCs/>
                      <w:color w:val="auto"/>
                    </w:rPr>
                    <w:t>检测结果</w:t>
                  </w:r>
                </w:p>
              </w:tc>
              <w:tc>
                <w:tcPr>
                  <w:tcW w:w="543" w:type="pct"/>
                  <w:vAlign w:val="center"/>
                </w:tcPr>
                <w:p>
                  <w:pPr>
                    <w:pStyle w:val="68"/>
                    <w:rPr>
                      <w:b/>
                      <w:bCs/>
                      <w:color w:val="auto"/>
                    </w:rPr>
                  </w:pPr>
                  <w:r>
                    <w:rPr>
                      <w:b/>
                      <w:bCs/>
                      <w:color w:val="auto"/>
                    </w:rPr>
                    <w:t>标准限值</w:t>
                  </w:r>
                </w:p>
              </w:tc>
              <w:tc>
                <w:tcPr>
                  <w:tcW w:w="706" w:type="pct"/>
                  <w:vAlign w:val="center"/>
                </w:tcPr>
                <w:p>
                  <w:pPr>
                    <w:pStyle w:val="68"/>
                    <w:rPr>
                      <w:b/>
                      <w:bCs/>
                      <w:color w:val="auto"/>
                    </w:rPr>
                  </w:pPr>
                  <w:r>
                    <w:rPr>
                      <w:rFonts w:hint="eastAsia"/>
                      <w:b/>
                      <w:bCs/>
                      <w:color w:val="auto"/>
                      <w:lang w:eastAsia="zh-CN"/>
                    </w:rPr>
                    <w:t>最大</w:t>
                  </w:r>
                  <w:r>
                    <w:rPr>
                      <w:rFonts w:hint="eastAsia"/>
                      <w:b/>
                      <w:bCs/>
                      <w:color w:val="auto"/>
                      <w:shd w:val="clear" w:fill="FFFFFF"/>
                      <w:lang w:eastAsia="zh-CN"/>
                    </w:rPr>
                    <w:t>占标率</w:t>
                  </w:r>
                  <w:r>
                    <w:rPr>
                      <w:rFonts w:hint="eastAsia"/>
                      <w:b/>
                      <w:bCs/>
                      <w:color w:val="auto"/>
                      <w:lang w:eastAsia="zh-CN"/>
                    </w:rPr>
                    <w:t>（%）</w:t>
                  </w:r>
                </w:p>
              </w:tc>
              <w:tc>
                <w:tcPr>
                  <w:tcW w:w="517" w:type="pct"/>
                  <w:vAlign w:val="center"/>
                </w:tcPr>
                <w:p>
                  <w:pPr>
                    <w:pStyle w:val="68"/>
                    <w:rPr>
                      <w:b/>
                      <w:bCs/>
                      <w:color w:val="auto"/>
                    </w:rPr>
                  </w:pPr>
                  <w:r>
                    <w:rPr>
                      <w:rFonts w:hint="eastAsia"/>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vAlign w:val="center"/>
                </w:tcPr>
                <w:p>
                  <w:pPr>
                    <w:pStyle w:val="68"/>
                    <w:rPr>
                      <w:color w:val="auto"/>
                    </w:rPr>
                  </w:pPr>
                  <w:r>
                    <w:rPr>
                      <w:rFonts w:hint="eastAsia"/>
                      <w:color w:val="auto"/>
                    </w:rPr>
                    <w:t>T</w:t>
                  </w:r>
                  <w:r>
                    <w:rPr>
                      <w:color w:val="auto"/>
                    </w:rPr>
                    <w:t>SP</w:t>
                  </w:r>
                </w:p>
                <w:p>
                  <w:pPr>
                    <w:pStyle w:val="68"/>
                    <w:rPr>
                      <w:color w:val="auto"/>
                    </w:rPr>
                  </w:pPr>
                  <w:r>
                    <w:rPr>
                      <w:rFonts w:hint="eastAsia"/>
                      <w:color w:val="auto"/>
                      <w:lang w:eastAsia="zh-CN"/>
                    </w:rPr>
                    <w:t>(</w:t>
                  </w:r>
                  <w:r>
                    <w:rPr>
                      <w:color w:val="auto"/>
                    </w:rPr>
                    <w:t>μg/m</w:t>
                  </w:r>
                  <w:r>
                    <w:rPr>
                      <w:color w:val="auto"/>
                      <w:vertAlign w:val="superscript"/>
                    </w:rPr>
                    <w:t>3</w:t>
                  </w:r>
                  <w:r>
                    <w:rPr>
                      <w:rFonts w:hint="eastAsia"/>
                      <w:color w:val="auto"/>
                      <w:vertAlign w:val="baseline"/>
                      <w:lang w:eastAsia="zh-CN"/>
                    </w:rPr>
                    <w:t>)</w:t>
                  </w:r>
                </w:p>
              </w:tc>
              <w:tc>
                <w:tcPr>
                  <w:tcW w:w="1539" w:type="pct"/>
                  <w:vAlign w:val="center"/>
                </w:tcPr>
                <w:p>
                  <w:pPr>
                    <w:pStyle w:val="68"/>
                    <w:rPr>
                      <w:color w:val="auto"/>
                      <w:lang w:val="en-US"/>
                    </w:rPr>
                  </w:pPr>
                  <w:r>
                    <w:rPr>
                      <w:rFonts w:hint="eastAsia"/>
                      <w:color w:val="auto"/>
                    </w:rPr>
                    <w:t>2</w:t>
                  </w:r>
                  <w:r>
                    <w:rPr>
                      <w:color w:val="auto"/>
                    </w:rPr>
                    <w:t>023.12.15~</w:t>
                  </w:r>
                  <w:r>
                    <w:rPr>
                      <w:rFonts w:hint="eastAsia"/>
                      <w:color w:val="auto"/>
                      <w:lang w:val="en-US"/>
                    </w:rPr>
                    <w:t>2</w:t>
                  </w:r>
                  <w:r>
                    <w:rPr>
                      <w:color w:val="auto"/>
                      <w:lang w:val="en-US"/>
                    </w:rPr>
                    <w:t>023.12.16</w:t>
                  </w:r>
                </w:p>
              </w:tc>
              <w:tc>
                <w:tcPr>
                  <w:tcW w:w="995" w:type="pct"/>
                  <w:vAlign w:val="center"/>
                </w:tcPr>
                <w:p>
                  <w:pPr>
                    <w:pStyle w:val="68"/>
                    <w:rPr>
                      <w:color w:val="auto"/>
                    </w:rPr>
                  </w:pPr>
                  <w:r>
                    <w:rPr>
                      <w:color w:val="auto"/>
                    </w:rPr>
                    <w:t>106</w:t>
                  </w:r>
                </w:p>
              </w:tc>
              <w:tc>
                <w:tcPr>
                  <w:tcW w:w="543" w:type="pct"/>
                  <w:vAlign w:val="center"/>
                </w:tcPr>
                <w:p>
                  <w:pPr>
                    <w:pStyle w:val="68"/>
                    <w:rPr>
                      <w:color w:val="auto"/>
                    </w:rPr>
                  </w:pPr>
                  <w:r>
                    <w:rPr>
                      <w:color w:val="auto"/>
                    </w:rPr>
                    <w:t>300</w:t>
                  </w:r>
                </w:p>
              </w:tc>
              <w:tc>
                <w:tcPr>
                  <w:tcW w:w="706" w:type="pct"/>
                  <w:vAlign w:val="center"/>
                </w:tcPr>
                <w:p>
                  <w:pPr>
                    <w:pStyle w:val="68"/>
                    <w:rPr>
                      <w:color w:val="auto"/>
                      <w:lang w:eastAsia="zh-CN"/>
                    </w:rPr>
                  </w:pPr>
                  <w:r>
                    <w:rPr>
                      <w:rFonts w:hint="eastAsia"/>
                      <w:color w:val="auto"/>
                      <w:lang w:eastAsia="zh-CN"/>
                    </w:rPr>
                    <w:t>3</w:t>
                  </w:r>
                  <w:r>
                    <w:rPr>
                      <w:color w:val="auto"/>
                      <w:lang w:eastAsia="zh-CN"/>
                    </w:rPr>
                    <w:t>5.33</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lang w:val="en-US"/>
                    </w:rPr>
                  </w:pPr>
                  <w:r>
                    <w:rPr>
                      <w:rFonts w:hint="eastAsia"/>
                      <w:color w:val="auto"/>
                    </w:rPr>
                    <w:t>2</w:t>
                  </w:r>
                  <w:r>
                    <w:rPr>
                      <w:color w:val="auto"/>
                    </w:rPr>
                    <w:t>023.12.16~</w:t>
                  </w:r>
                  <w:r>
                    <w:rPr>
                      <w:rFonts w:hint="eastAsia"/>
                      <w:color w:val="auto"/>
                      <w:lang w:val="en-US"/>
                    </w:rPr>
                    <w:t>2</w:t>
                  </w:r>
                  <w:r>
                    <w:rPr>
                      <w:color w:val="auto"/>
                      <w:lang w:val="en-US"/>
                    </w:rPr>
                    <w:t>023.12.17</w:t>
                  </w:r>
                </w:p>
              </w:tc>
              <w:tc>
                <w:tcPr>
                  <w:tcW w:w="995" w:type="pct"/>
                  <w:vAlign w:val="center"/>
                </w:tcPr>
                <w:p>
                  <w:pPr>
                    <w:pStyle w:val="68"/>
                    <w:rPr>
                      <w:color w:val="auto"/>
                    </w:rPr>
                  </w:pPr>
                  <w:r>
                    <w:rPr>
                      <w:color w:val="auto"/>
                    </w:rPr>
                    <w:t>110</w:t>
                  </w:r>
                </w:p>
              </w:tc>
              <w:tc>
                <w:tcPr>
                  <w:tcW w:w="543" w:type="pct"/>
                  <w:vAlign w:val="center"/>
                </w:tcPr>
                <w:p>
                  <w:pPr>
                    <w:pStyle w:val="68"/>
                    <w:rPr>
                      <w:color w:val="auto"/>
                    </w:rPr>
                  </w:pPr>
                  <w:r>
                    <w:rPr>
                      <w:rFonts w:hint="eastAsia"/>
                      <w:color w:val="auto"/>
                    </w:rPr>
                    <w:t>3</w:t>
                  </w:r>
                  <w:r>
                    <w:rPr>
                      <w:color w:val="auto"/>
                    </w:rPr>
                    <w:t>00</w:t>
                  </w:r>
                </w:p>
              </w:tc>
              <w:tc>
                <w:tcPr>
                  <w:tcW w:w="706" w:type="pct"/>
                  <w:vAlign w:val="center"/>
                </w:tcPr>
                <w:p>
                  <w:pPr>
                    <w:pStyle w:val="68"/>
                    <w:rPr>
                      <w:color w:val="auto"/>
                      <w:lang w:eastAsia="zh-CN"/>
                    </w:rPr>
                  </w:pPr>
                  <w:r>
                    <w:rPr>
                      <w:rFonts w:hint="eastAsia"/>
                      <w:color w:val="auto"/>
                      <w:lang w:eastAsia="zh-CN"/>
                    </w:rPr>
                    <w:t>3</w:t>
                  </w:r>
                  <w:r>
                    <w:rPr>
                      <w:color w:val="auto"/>
                      <w:lang w:eastAsia="zh-CN"/>
                    </w:rPr>
                    <w:t>6.67</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lang w:val="en-US"/>
                    </w:rPr>
                  </w:pPr>
                  <w:r>
                    <w:rPr>
                      <w:rFonts w:hint="eastAsia"/>
                      <w:color w:val="auto"/>
                    </w:rPr>
                    <w:t>2</w:t>
                  </w:r>
                  <w:r>
                    <w:rPr>
                      <w:color w:val="auto"/>
                    </w:rPr>
                    <w:t>023.12.17~</w:t>
                  </w:r>
                  <w:r>
                    <w:rPr>
                      <w:rFonts w:hint="eastAsia"/>
                      <w:color w:val="auto"/>
                      <w:lang w:val="en-US"/>
                    </w:rPr>
                    <w:t>2</w:t>
                  </w:r>
                  <w:r>
                    <w:rPr>
                      <w:color w:val="auto"/>
                      <w:lang w:val="en-US"/>
                    </w:rPr>
                    <w:t>023.12.18</w:t>
                  </w:r>
                </w:p>
              </w:tc>
              <w:tc>
                <w:tcPr>
                  <w:tcW w:w="995" w:type="pct"/>
                  <w:vAlign w:val="center"/>
                </w:tcPr>
                <w:p>
                  <w:pPr>
                    <w:pStyle w:val="68"/>
                    <w:rPr>
                      <w:color w:val="auto"/>
                    </w:rPr>
                  </w:pPr>
                  <w:r>
                    <w:rPr>
                      <w:color w:val="auto"/>
                    </w:rPr>
                    <w:t>108</w:t>
                  </w:r>
                </w:p>
              </w:tc>
              <w:tc>
                <w:tcPr>
                  <w:tcW w:w="543" w:type="pct"/>
                  <w:vAlign w:val="center"/>
                </w:tcPr>
                <w:p>
                  <w:pPr>
                    <w:pStyle w:val="68"/>
                    <w:rPr>
                      <w:color w:val="auto"/>
                    </w:rPr>
                  </w:pPr>
                  <w:r>
                    <w:rPr>
                      <w:rFonts w:hint="eastAsia"/>
                      <w:color w:val="auto"/>
                    </w:rPr>
                    <w:t>3</w:t>
                  </w:r>
                  <w:r>
                    <w:rPr>
                      <w:color w:val="auto"/>
                    </w:rPr>
                    <w:t>00</w:t>
                  </w:r>
                </w:p>
              </w:tc>
              <w:tc>
                <w:tcPr>
                  <w:tcW w:w="706" w:type="pct"/>
                  <w:vAlign w:val="center"/>
                </w:tcPr>
                <w:p>
                  <w:pPr>
                    <w:pStyle w:val="68"/>
                    <w:rPr>
                      <w:color w:val="auto"/>
                      <w:lang w:eastAsia="zh-CN"/>
                    </w:rPr>
                  </w:pPr>
                  <w:r>
                    <w:rPr>
                      <w:rFonts w:hint="eastAsia"/>
                      <w:color w:val="auto"/>
                      <w:lang w:eastAsia="zh-CN"/>
                    </w:rPr>
                    <w:t>3</w:t>
                  </w:r>
                  <w:r>
                    <w:rPr>
                      <w:color w:val="auto"/>
                      <w:lang w:eastAsia="zh-CN"/>
                    </w:rPr>
                    <w:t>6.00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vAlign w:val="center"/>
                </w:tcPr>
                <w:p>
                  <w:pPr>
                    <w:pStyle w:val="68"/>
                    <w:rPr>
                      <w:color w:val="auto"/>
                      <w:vertAlign w:val="subscript"/>
                    </w:rPr>
                  </w:pPr>
                  <w:r>
                    <w:rPr>
                      <w:color w:val="auto"/>
                    </w:rPr>
                    <w:t>SO</w:t>
                  </w:r>
                  <w:r>
                    <w:rPr>
                      <w:color w:val="auto"/>
                      <w:vertAlign w:val="subscript"/>
                    </w:rPr>
                    <w:t>2</w:t>
                  </w:r>
                </w:p>
                <w:p>
                  <w:pPr>
                    <w:pStyle w:val="68"/>
                    <w:rPr>
                      <w:color w:val="auto"/>
                    </w:rPr>
                  </w:pPr>
                  <w:r>
                    <w:rPr>
                      <w:rFonts w:hint="eastAsia"/>
                      <w:color w:val="auto"/>
                      <w:lang w:eastAsia="zh-CN"/>
                    </w:rPr>
                    <w:t>(</w:t>
                  </w:r>
                  <w:r>
                    <w:rPr>
                      <w:color w:val="auto"/>
                    </w:rPr>
                    <w:t>μg/m</w:t>
                  </w:r>
                  <w:r>
                    <w:rPr>
                      <w:color w:val="auto"/>
                      <w:vertAlign w:val="superscript"/>
                    </w:rPr>
                    <w:t>3</w:t>
                  </w:r>
                  <w:r>
                    <w:rPr>
                      <w:rFonts w:hint="eastAsia"/>
                      <w:color w:val="auto"/>
                      <w:vertAlign w:val="baseline"/>
                      <w:lang w:eastAsia="zh-CN"/>
                    </w:rPr>
                    <w:t>)</w:t>
                  </w:r>
                </w:p>
              </w:tc>
              <w:tc>
                <w:tcPr>
                  <w:tcW w:w="1539" w:type="pct"/>
                  <w:vAlign w:val="center"/>
                </w:tcPr>
                <w:p>
                  <w:pPr>
                    <w:pStyle w:val="68"/>
                    <w:rPr>
                      <w:color w:val="auto"/>
                      <w:lang w:eastAsia="zh-CN"/>
                    </w:rPr>
                  </w:pPr>
                  <w:r>
                    <w:rPr>
                      <w:rFonts w:hint="eastAsia"/>
                      <w:color w:val="auto"/>
                      <w:lang w:eastAsia="zh-CN"/>
                    </w:rPr>
                    <w:t>2</w:t>
                  </w:r>
                  <w:r>
                    <w:rPr>
                      <w:color w:val="auto"/>
                      <w:lang w:eastAsia="zh-CN"/>
                    </w:rPr>
                    <w:t>023.12.15</w:t>
                  </w:r>
                </w:p>
              </w:tc>
              <w:tc>
                <w:tcPr>
                  <w:tcW w:w="995" w:type="pct"/>
                  <w:vAlign w:val="center"/>
                </w:tcPr>
                <w:p>
                  <w:pPr>
                    <w:pStyle w:val="68"/>
                    <w:rPr>
                      <w:color w:val="auto"/>
                      <w:lang w:eastAsia="zh-CN"/>
                    </w:rPr>
                  </w:pPr>
                  <w:r>
                    <w:rPr>
                      <w:rFonts w:hint="eastAsia"/>
                      <w:color w:val="auto"/>
                      <w:lang w:eastAsia="zh-CN"/>
                    </w:rPr>
                    <w:t>1</w:t>
                  </w:r>
                  <w:r>
                    <w:rPr>
                      <w:color w:val="auto"/>
                      <w:lang w:eastAsia="zh-CN"/>
                    </w:rPr>
                    <w:t>1~15</w:t>
                  </w:r>
                </w:p>
              </w:tc>
              <w:tc>
                <w:tcPr>
                  <w:tcW w:w="543" w:type="pct"/>
                  <w:vAlign w:val="center"/>
                </w:tcPr>
                <w:p>
                  <w:pPr>
                    <w:pStyle w:val="68"/>
                    <w:rPr>
                      <w:color w:val="auto"/>
                      <w:lang w:eastAsia="zh-CN"/>
                    </w:rPr>
                  </w:pPr>
                  <w:r>
                    <w:rPr>
                      <w:rFonts w:hint="eastAsia"/>
                      <w:color w:val="auto"/>
                      <w:lang w:eastAsia="zh-CN"/>
                    </w:rPr>
                    <w:t>5</w:t>
                  </w:r>
                  <w:r>
                    <w:rPr>
                      <w:color w:val="auto"/>
                      <w:lang w:eastAsia="zh-CN"/>
                    </w:rPr>
                    <w:t>00</w:t>
                  </w:r>
                </w:p>
              </w:tc>
              <w:tc>
                <w:tcPr>
                  <w:tcW w:w="706" w:type="pct"/>
                  <w:vAlign w:val="center"/>
                </w:tcPr>
                <w:p>
                  <w:pPr>
                    <w:pStyle w:val="68"/>
                    <w:rPr>
                      <w:color w:val="auto"/>
                      <w:lang w:eastAsia="zh-CN"/>
                    </w:rPr>
                  </w:pPr>
                  <w:r>
                    <w:rPr>
                      <w:rFonts w:hint="eastAsia"/>
                      <w:color w:val="auto"/>
                      <w:lang w:eastAsia="zh-CN"/>
                    </w:rPr>
                    <w:t>3</w:t>
                  </w:r>
                  <w:r>
                    <w:rPr>
                      <w:color w:val="auto"/>
                      <w:lang w:eastAsia="zh-CN"/>
                    </w:rPr>
                    <w:t>.00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023.12.16</w:t>
                  </w:r>
                </w:p>
              </w:tc>
              <w:tc>
                <w:tcPr>
                  <w:tcW w:w="995" w:type="pct"/>
                  <w:vAlign w:val="center"/>
                </w:tcPr>
                <w:p>
                  <w:pPr>
                    <w:pStyle w:val="68"/>
                    <w:rPr>
                      <w:color w:val="auto"/>
                    </w:rPr>
                  </w:pPr>
                  <w:r>
                    <w:rPr>
                      <w:rFonts w:hint="eastAsia"/>
                      <w:color w:val="auto"/>
                      <w:lang w:eastAsia="zh-CN"/>
                    </w:rPr>
                    <w:t>1</w:t>
                  </w:r>
                  <w:r>
                    <w:rPr>
                      <w:color w:val="auto"/>
                      <w:lang w:eastAsia="zh-CN"/>
                    </w:rPr>
                    <w:t>3~17</w:t>
                  </w:r>
                </w:p>
              </w:tc>
              <w:tc>
                <w:tcPr>
                  <w:tcW w:w="543" w:type="pct"/>
                  <w:vAlign w:val="center"/>
                </w:tcPr>
                <w:p>
                  <w:pPr>
                    <w:pStyle w:val="68"/>
                    <w:rPr>
                      <w:color w:val="auto"/>
                      <w:lang w:eastAsia="zh-CN"/>
                    </w:rPr>
                  </w:pPr>
                  <w:r>
                    <w:rPr>
                      <w:rFonts w:hint="eastAsia"/>
                      <w:color w:val="auto"/>
                      <w:lang w:eastAsia="zh-CN"/>
                    </w:rPr>
                    <w:t>5</w:t>
                  </w:r>
                  <w:r>
                    <w:rPr>
                      <w:color w:val="auto"/>
                      <w:lang w:eastAsia="zh-CN"/>
                    </w:rPr>
                    <w:t>00</w:t>
                  </w:r>
                </w:p>
              </w:tc>
              <w:tc>
                <w:tcPr>
                  <w:tcW w:w="706" w:type="pct"/>
                  <w:vAlign w:val="center"/>
                </w:tcPr>
                <w:p>
                  <w:pPr>
                    <w:pStyle w:val="68"/>
                    <w:rPr>
                      <w:color w:val="auto"/>
                      <w:lang w:eastAsia="zh-CN"/>
                    </w:rPr>
                  </w:pPr>
                  <w:r>
                    <w:rPr>
                      <w:rFonts w:hint="eastAsia"/>
                      <w:color w:val="auto"/>
                      <w:lang w:eastAsia="zh-CN"/>
                    </w:rPr>
                    <w:t>3</w:t>
                  </w:r>
                  <w:r>
                    <w:rPr>
                      <w:color w:val="auto"/>
                      <w:lang w:eastAsia="zh-CN"/>
                    </w:rPr>
                    <w:t>.40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023.12.17</w:t>
                  </w:r>
                </w:p>
              </w:tc>
              <w:tc>
                <w:tcPr>
                  <w:tcW w:w="995" w:type="pct"/>
                  <w:vAlign w:val="center"/>
                </w:tcPr>
                <w:p>
                  <w:pPr>
                    <w:pStyle w:val="68"/>
                    <w:rPr>
                      <w:color w:val="auto"/>
                    </w:rPr>
                  </w:pPr>
                  <w:r>
                    <w:rPr>
                      <w:rFonts w:hint="eastAsia"/>
                      <w:color w:val="auto"/>
                      <w:lang w:eastAsia="zh-CN"/>
                    </w:rPr>
                    <w:t>1</w:t>
                  </w:r>
                  <w:r>
                    <w:rPr>
                      <w:color w:val="auto"/>
                      <w:lang w:eastAsia="zh-CN"/>
                    </w:rPr>
                    <w:t>2~17</w:t>
                  </w:r>
                </w:p>
              </w:tc>
              <w:tc>
                <w:tcPr>
                  <w:tcW w:w="543" w:type="pct"/>
                  <w:vAlign w:val="center"/>
                </w:tcPr>
                <w:p>
                  <w:pPr>
                    <w:pStyle w:val="68"/>
                    <w:rPr>
                      <w:color w:val="auto"/>
                      <w:lang w:eastAsia="zh-CN"/>
                    </w:rPr>
                  </w:pPr>
                  <w:r>
                    <w:rPr>
                      <w:rFonts w:hint="eastAsia"/>
                      <w:color w:val="auto"/>
                      <w:lang w:eastAsia="zh-CN"/>
                    </w:rPr>
                    <w:t>5</w:t>
                  </w:r>
                  <w:r>
                    <w:rPr>
                      <w:color w:val="auto"/>
                      <w:lang w:eastAsia="zh-CN"/>
                    </w:rPr>
                    <w:t>00</w:t>
                  </w:r>
                </w:p>
              </w:tc>
              <w:tc>
                <w:tcPr>
                  <w:tcW w:w="706" w:type="pct"/>
                  <w:vAlign w:val="center"/>
                </w:tcPr>
                <w:p>
                  <w:pPr>
                    <w:pStyle w:val="68"/>
                    <w:rPr>
                      <w:color w:val="auto"/>
                      <w:lang w:eastAsia="zh-CN"/>
                    </w:rPr>
                  </w:pPr>
                  <w:r>
                    <w:rPr>
                      <w:rFonts w:hint="eastAsia"/>
                      <w:color w:val="auto"/>
                      <w:lang w:eastAsia="zh-CN"/>
                    </w:rPr>
                    <w:t>3</w:t>
                  </w:r>
                  <w:r>
                    <w:rPr>
                      <w:color w:val="auto"/>
                      <w:lang w:eastAsia="zh-CN"/>
                    </w:rPr>
                    <w:t>.40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vAlign w:val="center"/>
                </w:tcPr>
                <w:p>
                  <w:pPr>
                    <w:pStyle w:val="68"/>
                    <w:rPr>
                      <w:color w:val="auto"/>
                      <w:vertAlign w:val="subscript"/>
                    </w:rPr>
                  </w:pPr>
                  <w:r>
                    <w:rPr>
                      <w:color w:val="auto"/>
                    </w:rPr>
                    <w:t>NO</w:t>
                  </w:r>
                  <w:r>
                    <w:rPr>
                      <w:rFonts w:hint="eastAsia"/>
                      <w:color w:val="auto"/>
                      <w:lang w:eastAsia="zh-CN"/>
                    </w:rPr>
                    <w:t>x</w:t>
                  </w:r>
                </w:p>
                <w:p>
                  <w:pPr>
                    <w:pStyle w:val="68"/>
                    <w:rPr>
                      <w:color w:val="auto"/>
                    </w:rPr>
                  </w:pPr>
                  <w:r>
                    <w:rPr>
                      <w:rFonts w:hint="eastAsia"/>
                      <w:color w:val="auto"/>
                      <w:lang w:eastAsia="zh-CN"/>
                    </w:rPr>
                    <w:t>(</w:t>
                  </w:r>
                  <w:r>
                    <w:rPr>
                      <w:color w:val="auto"/>
                    </w:rPr>
                    <w:t>μg/m</w:t>
                  </w:r>
                  <w:r>
                    <w:rPr>
                      <w:color w:val="auto"/>
                      <w:vertAlign w:val="superscript"/>
                    </w:rPr>
                    <w:t>3</w:t>
                  </w:r>
                  <w:r>
                    <w:rPr>
                      <w:rFonts w:hint="eastAsia"/>
                      <w:color w:val="auto"/>
                      <w:vertAlign w:val="baseline"/>
                      <w:lang w:eastAsia="zh-CN"/>
                    </w:rPr>
                    <w:t>)</w:t>
                  </w:r>
                </w:p>
              </w:tc>
              <w:tc>
                <w:tcPr>
                  <w:tcW w:w="1539" w:type="pct"/>
                  <w:vAlign w:val="center"/>
                </w:tcPr>
                <w:p>
                  <w:pPr>
                    <w:pStyle w:val="68"/>
                    <w:rPr>
                      <w:color w:val="auto"/>
                    </w:rPr>
                  </w:pPr>
                  <w:r>
                    <w:rPr>
                      <w:rFonts w:hint="eastAsia"/>
                      <w:color w:val="auto"/>
                      <w:lang w:eastAsia="zh-CN"/>
                    </w:rPr>
                    <w:t>2</w:t>
                  </w:r>
                  <w:r>
                    <w:rPr>
                      <w:color w:val="auto"/>
                      <w:lang w:eastAsia="zh-CN"/>
                    </w:rPr>
                    <w:t>023.12.15</w:t>
                  </w:r>
                </w:p>
              </w:tc>
              <w:tc>
                <w:tcPr>
                  <w:tcW w:w="995" w:type="pct"/>
                  <w:vAlign w:val="center"/>
                </w:tcPr>
                <w:p>
                  <w:pPr>
                    <w:pStyle w:val="68"/>
                    <w:rPr>
                      <w:color w:val="auto"/>
                    </w:rPr>
                  </w:pPr>
                  <w:r>
                    <w:rPr>
                      <w:color w:val="auto"/>
                      <w:lang w:eastAsia="zh-CN"/>
                    </w:rPr>
                    <w:t>21~25</w:t>
                  </w:r>
                </w:p>
              </w:tc>
              <w:tc>
                <w:tcPr>
                  <w:tcW w:w="543" w:type="pct"/>
                  <w:vAlign w:val="center"/>
                </w:tcPr>
                <w:p>
                  <w:pPr>
                    <w:pStyle w:val="68"/>
                    <w:rPr>
                      <w:color w:val="auto"/>
                      <w:lang w:eastAsia="zh-CN"/>
                    </w:rPr>
                  </w:pPr>
                  <w:r>
                    <w:rPr>
                      <w:rFonts w:hint="eastAsia"/>
                      <w:color w:val="auto"/>
                      <w:lang w:eastAsia="zh-CN"/>
                    </w:rPr>
                    <w:t>2</w:t>
                  </w:r>
                  <w:r>
                    <w:rPr>
                      <w:color w:val="auto"/>
                      <w:lang w:eastAsia="zh-CN"/>
                    </w:rPr>
                    <w:t>50</w:t>
                  </w:r>
                </w:p>
              </w:tc>
              <w:tc>
                <w:tcPr>
                  <w:tcW w:w="706" w:type="pct"/>
                  <w:vAlign w:val="center"/>
                </w:tcPr>
                <w:p>
                  <w:pPr>
                    <w:pStyle w:val="68"/>
                    <w:rPr>
                      <w:color w:val="auto"/>
                      <w:lang w:eastAsia="zh-CN"/>
                    </w:rPr>
                  </w:pPr>
                  <w:r>
                    <w:rPr>
                      <w:rFonts w:hint="eastAsia"/>
                      <w:color w:val="auto"/>
                      <w:lang w:eastAsia="zh-CN"/>
                    </w:rPr>
                    <w:t>1</w:t>
                  </w:r>
                  <w:r>
                    <w:rPr>
                      <w:color w:val="auto"/>
                      <w:lang w:eastAsia="zh-CN"/>
                    </w:rPr>
                    <w:t>0.00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023.12.16</w:t>
                  </w:r>
                </w:p>
              </w:tc>
              <w:tc>
                <w:tcPr>
                  <w:tcW w:w="995" w:type="pct"/>
                  <w:vAlign w:val="center"/>
                </w:tcPr>
                <w:p>
                  <w:pPr>
                    <w:pStyle w:val="68"/>
                    <w:rPr>
                      <w:color w:val="auto"/>
                    </w:rPr>
                  </w:pPr>
                  <w:r>
                    <w:rPr>
                      <w:color w:val="auto"/>
                      <w:lang w:eastAsia="zh-CN"/>
                    </w:rPr>
                    <w:t>20~24</w:t>
                  </w:r>
                </w:p>
              </w:tc>
              <w:tc>
                <w:tcPr>
                  <w:tcW w:w="543" w:type="pct"/>
                  <w:vAlign w:val="center"/>
                </w:tcPr>
                <w:p>
                  <w:pPr>
                    <w:pStyle w:val="68"/>
                    <w:rPr>
                      <w:color w:val="auto"/>
                      <w:lang w:eastAsia="zh-CN"/>
                    </w:rPr>
                  </w:pPr>
                  <w:r>
                    <w:rPr>
                      <w:rFonts w:hint="eastAsia"/>
                      <w:color w:val="auto"/>
                      <w:lang w:eastAsia="zh-CN"/>
                    </w:rPr>
                    <w:t>2</w:t>
                  </w:r>
                  <w:r>
                    <w:rPr>
                      <w:color w:val="auto"/>
                      <w:lang w:eastAsia="zh-CN"/>
                    </w:rPr>
                    <w:t>50</w:t>
                  </w:r>
                </w:p>
              </w:tc>
              <w:tc>
                <w:tcPr>
                  <w:tcW w:w="706" w:type="pct"/>
                  <w:vAlign w:val="center"/>
                </w:tcPr>
                <w:p>
                  <w:pPr>
                    <w:pStyle w:val="68"/>
                    <w:rPr>
                      <w:color w:val="auto"/>
                      <w:lang w:eastAsia="zh-CN"/>
                    </w:rPr>
                  </w:pPr>
                  <w:r>
                    <w:rPr>
                      <w:rFonts w:hint="eastAsia"/>
                      <w:color w:val="auto"/>
                      <w:lang w:eastAsia="zh-CN"/>
                    </w:rPr>
                    <w:t>9</w:t>
                  </w:r>
                  <w:r>
                    <w:rPr>
                      <w:color w:val="auto"/>
                      <w:lang w:eastAsia="zh-CN"/>
                    </w:rPr>
                    <w:t>.60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023.12.17</w:t>
                  </w:r>
                </w:p>
              </w:tc>
              <w:tc>
                <w:tcPr>
                  <w:tcW w:w="995" w:type="pct"/>
                  <w:vAlign w:val="center"/>
                </w:tcPr>
                <w:p>
                  <w:pPr>
                    <w:pStyle w:val="68"/>
                    <w:rPr>
                      <w:color w:val="auto"/>
                    </w:rPr>
                  </w:pPr>
                  <w:r>
                    <w:rPr>
                      <w:color w:val="auto"/>
                      <w:lang w:eastAsia="zh-CN"/>
                    </w:rPr>
                    <w:t>21~24</w:t>
                  </w:r>
                </w:p>
              </w:tc>
              <w:tc>
                <w:tcPr>
                  <w:tcW w:w="543" w:type="pct"/>
                  <w:vAlign w:val="center"/>
                </w:tcPr>
                <w:p>
                  <w:pPr>
                    <w:pStyle w:val="68"/>
                    <w:rPr>
                      <w:color w:val="auto"/>
                      <w:lang w:eastAsia="zh-CN"/>
                    </w:rPr>
                  </w:pPr>
                  <w:r>
                    <w:rPr>
                      <w:rFonts w:hint="eastAsia"/>
                      <w:color w:val="auto"/>
                      <w:lang w:eastAsia="zh-CN"/>
                    </w:rPr>
                    <w:t>2</w:t>
                  </w:r>
                  <w:r>
                    <w:rPr>
                      <w:color w:val="auto"/>
                      <w:lang w:eastAsia="zh-CN"/>
                    </w:rPr>
                    <w:t>50</w:t>
                  </w:r>
                </w:p>
              </w:tc>
              <w:tc>
                <w:tcPr>
                  <w:tcW w:w="706" w:type="pct"/>
                  <w:vAlign w:val="center"/>
                </w:tcPr>
                <w:p>
                  <w:pPr>
                    <w:pStyle w:val="68"/>
                    <w:rPr>
                      <w:color w:val="auto"/>
                      <w:lang w:eastAsia="zh-CN"/>
                    </w:rPr>
                  </w:pPr>
                  <w:r>
                    <w:rPr>
                      <w:rFonts w:hint="eastAsia"/>
                      <w:color w:val="auto"/>
                      <w:lang w:eastAsia="zh-CN"/>
                    </w:rPr>
                    <w:t>9</w:t>
                  </w:r>
                  <w:r>
                    <w:rPr>
                      <w:color w:val="auto"/>
                      <w:lang w:eastAsia="zh-CN"/>
                    </w:rPr>
                    <w:t>.60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vAlign w:val="center"/>
                </w:tcPr>
                <w:p>
                  <w:pPr>
                    <w:pStyle w:val="68"/>
                    <w:rPr>
                      <w:color w:val="auto"/>
                      <w:lang w:eastAsia="zh-CN"/>
                    </w:rPr>
                  </w:pPr>
                  <w:r>
                    <w:rPr>
                      <w:color w:val="auto"/>
                    </w:rPr>
                    <w:t>NH</w:t>
                  </w:r>
                  <w:r>
                    <w:rPr>
                      <w:color w:val="auto"/>
                      <w:vertAlign w:val="subscript"/>
                    </w:rPr>
                    <w:t>3</w:t>
                  </w:r>
                </w:p>
                <w:p>
                  <w:pPr>
                    <w:pStyle w:val="68"/>
                    <w:rPr>
                      <w:color w:val="auto"/>
                    </w:rPr>
                  </w:pPr>
                  <w:r>
                    <w:rPr>
                      <w:rFonts w:hint="eastAsia"/>
                      <w:color w:val="auto"/>
                      <w:lang w:eastAsia="zh-CN"/>
                    </w:rPr>
                    <w:t>(m</w:t>
                  </w:r>
                  <w:r>
                    <w:rPr>
                      <w:color w:val="auto"/>
                    </w:rPr>
                    <w:t>g/m</w:t>
                  </w:r>
                  <w:r>
                    <w:rPr>
                      <w:color w:val="auto"/>
                      <w:vertAlign w:val="superscript"/>
                    </w:rPr>
                    <w:t>3</w:t>
                  </w:r>
                  <w:r>
                    <w:rPr>
                      <w:rFonts w:hint="eastAsia"/>
                      <w:color w:val="auto"/>
                      <w:vertAlign w:val="baseline"/>
                      <w:lang w:eastAsia="zh-CN"/>
                    </w:rPr>
                    <w:t>)</w:t>
                  </w:r>
                </w:p>
              </w:tc>
              <w:tc>
                <w:tcPr>
                  <w:tcW w:w="1539" w:type="pct"/>
                  <w:vAlign w:val="center"/>
                </w:tcPr>
                <w:p>
                  <w:pPr>
                    <w:pStyle w:val="68"/>
                    <w:rPr>
                      <w:color w:val="auto"/>
                    </w:rPr>
                  </w:pPr>
                  <w:r>
                    <w:rPr>
                      <w:rFonts w:hint="eastAsia"/>
                      <w:color w:val="auto"/>
                      <w:lang w:eastAsia="zh-CN"/>
                    </w:rPr>
                    <w:t>2</w:t>
                  </w:r>
                  <w:r>
                    <w:rPr>
                      <w:color w:val="auto"/>
                      <w:lang w:eastAsia="zh-CN"/>
                    </w:rPr>
                    <w:t>023.12.15</w:t>
                  </w:r>
                </w:p>
              </w:tc>
              <w:tc>
                <w:tcPr>
                  <w:tcW w:w="995" w:type="pct"/>
                  <w:vAlign w:val="center"/>
                </w:tcPr>
                <w:p>
                  <w:pPr>
                    <w:pStyle w:val="68"/>
                    <w:rPr>
                      <w:color w:val="auto"/>
                      <w:lang w:eastAsia="zh-CN"/>
                    </w:rPr>
                  </w:pPr>
                  <w:r>
                    <w:rPr>
                      <w:color w:val="auto"/>
                      <w:lang w:eastAsia="zh-CN"/>
                    </w:rPr>
                    <w:t>0.0</w:t>
                  </w:r>
                  <w:r>
                    <w:rPr>
                      <w:rFonts w:hint="eastAsia"/>
                      <w:color w:val="auto"/>
                      <w:lang w:eastAsia="zh-CN"/>
                    </w:rPr>
                    <w:t>2</w:t>
                  </w:r>
                  <w:r>
                    <w:rPr>
                      <w:color w:val="auto"/>
                      <w:lang w:eastAsia="zh-CN"/>
                    </w:rPr>
                    <w:t>~0.07</w:t>
                  </w:r>
                </w:p>
              </w:tc>
              <w:tc>
                <w:tcPr>
                  <w:tcW w:w="543" w:type="pct"/>
                  <w:vAlign w:val="center"/>
                </w:tcPr>
                <w:p>
                  <w:pPr>
                    <w:pStyle w:val="68"/>
                    <w:rPr>
                      <w:color w:val="auto"/>
                    </w:rPr>
                  </w:pPr>
                  <w:r>
                    <w:rPr>
                      <w:color w:val="auto"/>
                    </w:rPr>
                    <w:t>0.2</w:t>
                  </w:r>
                </w:p>
              </w:tc>
              <w:tc>
                <w:tcPr>
                  <w:tcW w:w="706" w:type="pct"/>
                  <w:vAlign w:val="center"/>
                </w:tcPr>
                <w:p>
                  <w:pPr>
                    <w:pStyle w:val="68"/>
                    <w:rPr>
                      <w:color w:val="auto"/>
                      <w:lang w:eastAsia="zh-CN"/>
                    </w:rPr>
                  </w:pPr>
                  <w:r>
                    <w:rPr>
                      <w:rFonts w:hint="eastAsia"/>
                      <w:color w:val="auto"/>
                      <w:lang w:eastAsia="zh-CN"/>
                    </w:rPr>
                    <w:t>3</w:t>
                  </w:r>
                  <w:r>
                    <w:rPr>
                      <w:color w:val="auto"/>
                      <w:lang w:eastAsia="zh-CN"/>
                    </w:rPr>
                    <w:t>5.00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023.12.16</w:t>
                  </w:r>
                </w:p>
              </w:tc>
              <w:tc>
                <w:tcPr>
                  <w:tcW w:w="995" w:type="pct"/>
                  <w:vAlign w:val="center"/>
                </w:tcPr>
                <w:p>
                  <w:pPr>
                    <w:pStyle w:val="68"/>
                    <w:rPr>
                      <w:color w:val="auto"/>
                    </w:rPr>
                  </w:pPr>
                  <w:r>
                    <w:rPr>
                      <w:color w:val="auto"/>
                      <w:lang w:eastAsia="zh-CN"/>
                    </w:rPr>
                    <w:t>0.02~0.06</w:t>
                  </w:r>
                </w:p>
              </w:tc>
              <w:tc>
                <w:tcPr>
                  <w:tcW w:w="543" w:type="pct"/>
                  <w:vAlign w:val="center"/>
                </w:tcPr>
                <w:p>
                  <w:pPr>
                    <w:pStyle w:val="68"/>
                    <w:rPr>
                      <w:color w:val="auto"/>
                    </w:rPr>
                  </w:pPr>
                  <w:r>
                    <w:rPr>
                      <w:color w:val="auto"/>
                    </w:rPr>
                    <w:t>0.2</w:t>
                  </w:r>
                </w:p>
              </w:tc>
              <w:tc>
                <w:tcPr>
                  <w:tcW w:w="706" w:type="pct"/>
                  <w:vAlign w:val="center"/>
                </w:tcPr>
                <w:p>
                  <w:pPr>
                    <w:pStyle w:val="68"/>
                    <w:rPr>
                      <w:color w:val="auto"/>
                      <w:lang w:eastAsia="zh-CN"/>
                    </w:rPr>
                  </w:pPr>
                  <w:r>
                    <w:rPr>
                      <w:rFonts w:hint="eastAsia"/>
                      <w:color w:val="auto"/>
                      <w:lang w:eastAsia="zh-CN"/>
                    </w:rPr>
                    <w:t>3</w:t>
                  </w:r>
                  <w:r>
                    <w:rPr>
                      <w:color w:val="auto"/>
                      <w:lang w:eastAsia="zh-CN"/>
                    </w:rPr>
                    <w:t>0.00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023.12.17</w:t>
                  </w:r>
                </w:p>
              </w:tc>
              <w:tc>
                <w:tcPr>
                  <w:tcW w:w="995" w:type="pct"/>
                  <w:vAlign w:val="center"/>
                </w:tcPr>
                <w:p>
                  <w:pPr>
                    <w:pStyle w:val="68"/>
                    <w:rPr>
                      <w:color w:val="auto"/>
                    </w:rPr>
                  </w:pPr>
                  <w:r>
                    <w:rPr>
                      <w:color w:val="auto"/>
                      <w:lang w:eastAsia="zh-CN"/>
                    </w:rPr>
                    <w:t>0.02~0.06</w:t>
                  </w:r>
                </w:p>
              </w:tc>
              <w:tc>
                <w:tcPr>
                  <w:tcW w:w="543" w:type="pct"/>
                  <w:vAlign w:val="center"/>
                </w:tcPr>
                <w:p>
                  <w:pPr>
                    <w:pStyle w:val="68"/>
                    <w:rPr>
                      <w:color w:val="auto"/>
                    </w:rPr>
                  </w:pPr>
                  <w:r>
                    <w:rPr>
                      <w:color w:val="auto"/>
                    </w:rPr>
                    <w:t>0.2</w:t>
                  </w:r>
                </w:p>
              </w:tc>
              <w:tc>
                <w:tcPr>
                  <w:tcW w:w="706" w:type="pct"/>
                  <w:vAlign w:val="center"/>
                </w:tcPr>
                <w:p>
                  <w:pPr>
                    <w:pStyle w:val="68"/>
                    <w:rPr>
                      <w:color w:val="auto"/>
                      <w:lang w:eastAsia="zh-CN"/>
                    </w:rPr>
                  </w:pPr>
                  <w:r>
                    <w:rPr>
                      <w:rFonts w:hint="eastAsia"/>
                      <w:color w:val="auto"/>
                      <w:lang w:eastAsia="zh-CN"/>
                    </w:rPr>
                    <w:t>3</w:t>
                  </w:r>
                  <w:r>
                    <w:rPr>
                      <w:color w:val="auto"/>
                      <w:lang w:eastAsia="zh-CN"/>
                    </w:rPr>
                    <w:t>0.00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vAlign w:val="center"/>
                </w:tcPr>
                <w:p>
                  <w:pPr>
                    <w:pStyle w:val="68"/>
                    <w:rPr>
                      <w:color w:val="auto"/>
                    </w:rPr>
                  </w:pPr>
                  <w:r>
                    <w:rPr>
                      <w:rFonts w:hint="eastAsia"/>
                      <w:color w:val="auto"/>
                    </w:rPr>
                    <w:t>H</w:t>
                  </w:r>
                  <w:r>
                    <w:rPr>
                      <w:color w:val="auto"/>
                      <w:vertAlign w:val="subscript"/>
                    </w:rPr>
                    <w:t>2</w:t>
                  </w:r>
                  <w:r>
                    <w:rPr>
                      <w:color w:val="auto"/>
                    </w:rPr>
                    <w:t>S</w:t>
                  </w:r>
                </w:p>
                <w:p>
                  <w:pPr>
                    <w:pStyle w:val="68"/>
                    <w:rPr>
                      <w:color w:val="auto"/>
                    </w:rPr>
                  </w:pPr>
                  <w:r>
                    <w:rPr>
                      <w:rFonts w:hint="eastAsia"/>
                      <w:color w:val="auto"/>
                      <w:lang w:eastAsia="zh-CN"/>
                    </w:rPr>
                    <w:t>(m</w:t>
                  </w:r>
                  <w:r>
                    <w:rPr>
                      <w:color w:val="auto"/>
                    </w:rPr>
                    <w:t>g/m</w:t>
                  </w:r>
                  <w:r>
                    <w:rPr>
                      <w:color w:val="auto"/>
                      <w:vertAlign w:val="superscript"/>
                    </w:rPr>
                    <w:t>3</w:t>
                  </w:r>
                  <w:r>
                    <w:rPr>
                      <w:rFonts w:hint="eastAsia"/>
                      <w:color w:val="auto"/>
                      <w:vertAlign w:val="baseline"/>
                      <w:lang w:eastAsia="zh-CN"/>
                    </w:rPr>
                    <w:t>)</w:t>
                  </w:r>
                </w:p>
              </w:tc>
              <w:tc>
                <w:tcPr>
                  <w:tcW w:w="1539" w:type="pct"/>
                  <w:vAlign w:val="center"/>
                </w:tcPr>
                <w:p>
                  <w:pPr>
                    <w:pStyle w:val="68"/>
                    <w:rPr>
                      <w:color w:val="auto"/>
                    </w:rPr>
                  </w:pPr>
                  <w:r>
                    <w:rPr>
                      <w:rFonts w:hint="eastAsia"/>
                      <w:color w:val="auto"/>
                      <w:lang w:eastAsia="zh-CN"/>
                    </w:rPr>
                    <w:t>2</w:t>
                  </w:r>
                  <w:r>
                    <w:rPr>
                      <w:color w:val="auto"/>
                      <w:lang w:eastAsia="zh-CN"/>
                    </w:rPr>
                    <w:t>023.12.15</w:t>
                  </w:r>
                </w:p>
              </w:tc>
              <w:tc>
                <w:tcPr>
                  <w:tcW w:w="995" w:type="pct"/>
                  <w:vAlign w:val="center"/>
                </w:tcPr>
                <w:p>
                  <w:pPr>
                    <w:pStyle w:val="68"/>
                    <w:rPr>
                      <w:color w:val="auto"/>
                    </w:rPr>
                  </w:pPr>
                  <w:r>
                    <w:rPr>
                      <w:color w:val="auto"/>
                      <w:lang w:eastAsia="zh-CN"/>
                    </w:rPr>
                    <w:t>0.003~0.005</w:t>
                  </w:r>
                </w:p>
              </w:tc>
              <w:tc>
                <w:tcPr>
                  <w:tcW w:w="543" w:type="pct"/>
                  <w:vAlign w:val="center"/>
                </w:tcPr>
                <w:p>
                  <w:pPr>
                    <w:pStyle w:val="68"/>
                    <w:rPr>
                      <w:color w:val="auto"/>
                    </w:rPr>
                  </w:pPr>
                  <w:r>
                    <w:rPr>
                      <w:color w:val="auto"/>
                    </w:rPr>
                    <w:t>0.01</w:t>
                  </w:r>
                </w:p>
              </w:tc>
              <w:tc>
                <w:tcPr>
                  <w:tcW w:w="706" w:type="pct"/>
                  <w:vAlign w:val="center"/>
                </w:tcPr>
                <w:p>
                  <w:pPr>
                    <w:pStyle w:val="68"/>
                    <w:rPr>
                      <w:color w:val="auto"/>
                      <w:lang w:eastAsia="zh-CN"/>
                    </w:rPr>
                  </w:pPr>
                  <w:r>
                    <w:rPr>
                      <w:rFonts w:hint="eastAsia"/>
                      <w:color w:val="auto"/>
                      <w:lang w:eastAsia="zh-CN"/>
                    </w:rPr>
                    <w:t>5</w:t>
                  </w:r>
                  <w:r>
                    <w:rPr>
                      <w:color w:val="auto"/>
                      <w:lang w:eastAsia="zh-CN"/>
                    </w:rPr>
                    <w:t>0.00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023.12.16</w:t>
                  </w:r>
                </w:p>
              </w:tc>
              <w:tc>
                <w:tcPr>
                  <w:tcW w:w="995" w:type="pct"/>
                  <w:vAlign w:val="center"/>
                </w:tcPr>
                <w:p>
                  <w:pPr>
                    <w:pStyle w:val="68"/>
                    <w:rPr>
                      <w:color w:val="auto"/>
                    </w:rPr>
                  </w:pPr>
                  <w:r>
                    <w:rPr>
                      <w:color w:val="auto"/>
                      <w:lang w:eastAsia="zh-CN"/>
                    </w:rPr>
                    <w:t>0.002~0.005</w:t>
                  </w:r>
                </w:p>
              </w:tc>
              <w:tc>
                <w:tcPr>
                  <w:tcW w:w="543" w:type="pct"/>
                  <w:vAlign w:val="center"/>
                </w:tcPr>
                <w:p>
                  <w:pPr>
                    <w:pStyle w:val="68"/>
                    <w:rPr>
                      <w:color w:val="auto"/>
                    </w:rPr>
                  </w:pPr>
                  <w:r>
                    <w:rPr>
                      <w:color w:val="auto"/>
                    </w:rPr>
                    <w:t>0.01</w:t>
                  </w:r>
                </w:p>
              </w:tc>
              <w:tc>
                <w:tcPr>
                  <w:tcW w:w="706" w:type="pct"/>
                  <w:vAlign w:val="center"/>
                </w:tcPr>
                <w:p>
                  <w:pPr>
                    <w:pStyle w:val="68"/>
                    <w:rPr>
                      <w:color w:val="auto"/>
                      <w:lang w:eastAsia="zh-CN"/>
                    </w:rPr>
                  </w:pPr>
                  <w:r>
                    <w:rPr>
                      <w:rFonts w:hint="eastAsia"/>
                      <w:color w:val="auto"/>
                      <w:lang w:eastAsia="zh-CN"/>
                    </w:rPr>
                    <w:t>5</w:t>
                  </w:r>
                  <w:r>
                    <w:rPr>
                      <w:color w:val="auto"/>
                      <w:lang w:eastAsia="zh-CN"/>
                    </w:rPr>
                    <w:t>0.00</w:t>
                  </w:r>
                </w:p>
              </w:tc>
              <w:tc>
                <w:tcPr>
                  <w:tcW w:w="517"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vAlign w:val="center"/>
                </w:tcPr>
                <w:p>
                  <w:pPr>
                    <w:pStyle w:val="68"/>
                    <w:rPr>
                      <w:color w:val="auto"/>
                    </w:rPr>
                  </w:pPr>
                </w:p>
              </w:tc>
              <w:tc>
                <w:tcPr>
                  <w:tcW w:w="1539" w:type="pct"/>
                  <w:vAlign w:val="center"/>
                </w:tcPr>
                <w:p>
                  <w:pPr>
                    <w:pStyle w:val="68"/>
                    <w:rPr>
                      <w:color w:val="auto"/>
                    </w:rPr>
                  </w:pPr>
                  <w:r>
                    <w:rPr>
                      <w:rFonts w:hint="eastAsia"/>
                      <w:color w:val="auto"/>
                      <w:lang w:eastAsia="zh-CN"/>
                    </w:rPr>
                    <w:t>2</w:t>
                  </w:r>
                  <w:r>
                    <w:rPr>
                      <w:color w:val="auto"/>
                      <w:lang w:eastAsia="zh-CN"/>
                    </w:rPr>
                    <w:t>023.12.17</w:t>
                  </w:r>
                </w:p>
              </w:tc>
              <w:tc>
                <w:tcPr>
                  <w:tcW w:w="995" w:type="pct"/>
                  <w:vAlign w:val="center"/>
                </w:tcPr>
                <w:p>
                  <w:pPr>
                    <w:pStyle w:val="68"/>
                    <w:rPr>
                      <w:color w:val="auto"/>
                    </w:rPr>
                  </w:pPr>
                  <w:r>
                    <w:rPr>
                      <w:color w:val="auto"/>
                      <w:lang w:eastAsia="zh-CN"/>
                    </w:rPr>
                    <w:t>0.001~0.004</w:t>
                  </w:r>
                </w:p>
              </w:tc>
              <w:tc>
                <w:tcPr>
                  <w:tcW w:w="543" w:type="pct"/>
                  <w:vAlign w:val="center"/>
                </w:tcPr>
                <w:p>
                  <w:pPr>
                    <w:pStyle w:val="68"/>
                    <w:rPr>
                      <w:color w:val="auto"/>
                    </w:rPr>
                  </w:pPr>
                  <w:r>
                    <w:rPr>
                      <w:color w:val="auto"/>
                    </w:rPr>
                    <w:t>0.01</w:t>
                  </w:r>
                </w:p>
              </w:tc>
              <w:tc>
                <w:tcPr>
                  <w:tcW w:w="706" w:type="pct"/>
                  <w:vAlign w:val="center"/>
                </w:tcPr>
                <w:p>
                  <w:pPr>
                    <w:pStyle w:val="68"/>
                    <w:rPr>
                      <w:color w:val="auto"/>
                      <w:lang w:eastAsia="zh-CN"/>
                    </w:rPr>
                  </w:pPr>
                  <w:r>
                    <w:rPr>
                      <w:rFonts w:hint="eastAsia"/>
                      <w:color w:val="auto"/>
                      <w:lang w:eastAsia="zh-CN"/>
                    </w:rPr>
                    <w:t>4</w:t>
                  </w:r>
                  <w:r>
                    <w:rPr>
                      <w:color w:val="auto"/>
                      <w:lang w:eastAsia="zh-CN"/>
                    </w:rPr>
                    <w:t>0.00</w:t>
                  </w:r>
                </w:p>
              </w:tc>
              <w:tc>
                <w:tcPr>
                  <w:tcW w:w="517" w:type="pct"/>
                  <w:vAlign w:val="center"/>
                </w:tcPr>
                <w:p>
                  <w:pPr>
                    <w:pStyle w:val="68"/>
                    <w:rPr>
                      <w:color w:val="auto"/>
                    </w:rPr>
                  </w:pPr>
                  <w:r>
                    <w:rPr>
                      <w:rFonts w:hint="eastAsia"/>
                      <w:color w:val="auto"/>
                    </w:rPr>
                    <w:t>达标</w:t>
                  </w:r>
                </w:p>
              </w:tc>
            </w:tr>
          </w:tbl>
          <w:p>
            <w:pPr>
              <w:ind w:firstLine="480"/>
              <w:rPr>
                <w:color w:val="auto"/>
              </w:rPr>
            </w:pPr>
            <w:r>
              <w:rPr>
                <w:rFonts w:hint="eastAsia"/>
                <w:color w:val="auto"/>
              </w:rPr>
              <w:t>根据监测数据，项目区</w:t>
            </w:r>
            <w:r>
              <w:rPr>
                <w:color w:val="auto"/>
              </w:rPr>
              <w:t>H</w:t>
            </w:r>
            <w:r>
              <w:rPr>
                <w:color w:val="auto"/>
                <w:vertAlign w:val="subscript"/>
              </w:rPr>
              <w:t>2</w:t>
            </w:r>
            <w:r>
              <w:rPr>
                <w:color w:val="auto"/>
              </w:rPr>
              <w:t>S、NH</w:t>
            </w:r>
            <w:r>
              <w:rPr>
                <w:color w:val="auto"/>
                <w:vertAlign w:val="subscript"/>
              </w:rPr>
              <w:t>3</w:t>
            </w:r>
            <w:r>
              <w:rPr>
                <w:color w:val="auto"/>
              </w:rPr>
              <w:t>满足《环境影响评价技术导则 大气环境》（HJ2.2-2018）附录D其他污染物空气质量浓度参考限值要求；</w:t>
            </w:r>
            <w:r>
              <w:rPr>
                <w:rFonts w:hint="eastAsia"/>
                <w:color w:val="auto"/>
              </w:rPr>
              <w:t>T</w:t>
            </w:r>
            <w:r>
              <w:rPr>
                <w:color w:val="auto"/>
              </w:rPr>
              <w:t>SP</w:t>
            </w:r>
            <w:r>
              <w:rPr>
                <w:rFonts w:hint="eastAsia"/>
                <w:color w:val="auto"/>
              </w:rPr>
              <w:t>、</w:t>
            </w:r>
            <w:r>
              <w:rPr>
                <w:color w:val="auto"/>
              </w:rPr>
              <w:t>SO</w:t>
            </w:r>
            <w:r>
              <w:rPr>
                <w:color w:val="auto"/>
                <w:vertAlign w:val="subscript"/>
              </w:rPr>
              <w:t>2</w:t>
            </w:r>
            <w:r>
              <w:rPr>
                <w:rFonts w:hint="eastAsia"/>
                <w:color w:val="auto"/>
              </w:rPr>
              <w:t>、</w:t>
            </w:r>
            <w:r>
              <w:rPr>
                <w:color w:val="auto"/>
              </w:rPr>
              <w:t>NOx满足《环境空气质量标准》（GB3095-2012）及其修改单中的二级标准要求。</w:t>
            </w:r>
          </w:p>
          <w:p>
            <w:pPr>
              <w:pStyle w:val="61"/>
              <w:spacing w:before="60" w:after="60"/>
              <w:rPr>
                <w:color w:val="auto"/>
              </w:rPr>
            </w:pPr>
            <w:r>
              <w:rPr>
                <w:rFonts w:hint="eastAsia"/>
                <w:color w:val="auto"/>
                <w:lang w:val="zh-CN"/>
              </w:rPr>
              <w:t>3.1.2</w:t>
            </w:r>
            <w:r>
              <w:rPr>
                <w:rFonts w:hint="eastAsia"/>
                <w:color w:val="auto"/>
              </w:rPr>
              <w:t>地表水环境质量现状</w:t>
            </w:r>
          </w:p>
          <w:p>
            <w:pPr>
              <w:ind w:firstLine="480"/>
              <w:rPr>
                <w:color w:val="auto"/>
              </w:rPr>
            </w:pPr>
            <w:r>
              <w:rPr>
                <w:rFonts w:hint="eastAsia"/>
                <w:color w:val="auto"/>
              </w:rPr>
              <w:t>通过对项目现场勘查和环境调查，项目周边地表水体主要为项目东侧</w:t>
            </w:r>
            <w:r>
              <w:rPr>
                <w:color w:val="auto"/>
              </w:rPr>
              <w:t>330m</w:t>
            </w:r>
            <w:r>
              <w:rPr>
                <w:rFonts w:hint="eastAsia"/>
                <w:color w:val="auto"/>
              </w:rPr>
              <w:t>处的红土</w:t>
            </w:r>
            <w:r>
              <w:rPr>
                <w:rFonts w:hint="eastAsia"/>
                <w:color w:val="auto"/>
                <w:shd w:val="clear" w:fill="FFFFFF"/>
              </w:rPr>
              <w:t>河</w:t>
            </w:r>
            <w:r>
              <w:rPr>
                <w:rFonts w:hint="eastAsia"/>
                <w:color w:val="auto"/>
              </w:rPr>
              <w:t>，红土河</w:t>
            </w:r>
            <w:r>
              <w:rPr>
                <w:rFonts w:hint="eastAsia"/>
                <w:color w:val="auto"/>
                <w:lang w:eastAsia="zh-CN"/>
              </w:rPr>
              <w:t>流</w:t>
            </w:r>
            <w:r>
              <w:rPr>
                <w:rFonts w:hint="eastAsia"/>
                <w:color w:val="auto"/>
              </w:rPr>
              <w:t>经彩云镇，于白水镇汇入小江，小江属珠江流域南盘江水系，根据云南省水利厅发布的《云南省水功能区划（</w:t>
            </w:r>
            <w:r>
              <w:rPr>
                <w:color w:val="auto"/>
              </w:rPr>
              <w:t>2014</w:t>
            </w:r>
            <w:r>
              <w:rPr>
                <w:rFonts w:hint="eastAsia"/>
                <w:color w:val="auto"/>
              </w:rPr>
              <w:t>年修订）》，小江属于一级水功能区划中的“南盘江文山</w:t>
            </w:r>
            <w:r>
              <w:rPr>
                <w:rFonts w:hint="eastAsia"/>
                <w:color w:val="auto"/>
                <w:lang w:eastAsia="zh-CN"/>
              </w:rPr>
              <w:t>－</w:t>
            </w:r>
            <w:r>
              <w:rPr>
                <w:rFonts w:hint="eastAsia"/>
                <w:color w:val="auto"/>
              </w:rPr>
              <w:t>师宗保留区”，由</w:t>
            </w:r>
            <w:r>
              <w:rPr>
                <w:rFonts w:hint="eastAsia"/>
                <w:color w:val="auto"/>
                <w:shd w:val="clear" w:fill="FFFFFF"/>
              </w:rPr>
              <w:t>雷</w:t>
            </w:r>
            <w:r>
              <w:rPr>
                <w:rFonts w:hint="eastAsia"/>
                <w:color w:val="auto"/>
              </w:rPr>
              <w:t>打滩电站坝址</w:t>
            </w:r>
            <w:r>
              <w:rPr>
                <w:rFonts w:hint="eastAsia"/>
                <w:color w:val="auto"/>
                <w:shd w:val="clear" w:fill="FFFFFF"/>
              </w:rPr>
              <w:t>至</w:t>
            </w:r>
            <w:r>
              <w:rPr>
                <w:rFonts w:hint="eastAsia"/>
                <w:color w:val="auto"/>
              </w:rPr>
              <w:t>师宗发蒙水文站，全长</w:t>
            </w:r>
            <w:r>
              <w:rPr>
                <w:color w:val="auto"/>
              </w:rPr>
              <w:t>62.7km</w:t>
            </w:r>
            <w:r>
              <w:rPr>
                <w:rFonts w:hint="eastAsia"/>
                <w:color w:val="auto"/>
              </w:rPr>
              <w:t>，现状年水质为Ⅲ类，规划水平年水质目标为Ⅲ类，地表水环境质量执行《地表水环境质量标准》（</w:t>
            </w:r>
            <w:r>
              <w:rPr>
                <w:color w:val="auto"/>
              </w:rPr>
              <w:t>GB3838-2002</w:t>
            </w:r>
            <w:r>
              <w:rPr>
                <w:rFonts w:hint="eastAsia"/>
                <w:color w:val="auto"/>
              </w:rPr>
              <w:t>）的Ⅲ类。因此，红土</w:t>
            </w:r>
            <w:r>
              <w:rPr>
                <w:rFonts w:hint="eastAsia"/>
                <w:color w:val="auto"/>
                <w:shd w:val="clear" w:fill="FFFFFF"/>
              </w:rPr>
              <w:t>河</w:t>
            </w:r>
            <w:r>
              <w:rPr>
                <w:rFonts w:hint="eastAsia"/>
                <w:color w:val="auto"/>
              </w:rPr>
              <w:t>执行《地表水环境质量标准》（</w:t>
            </w:r>
            <w:r>
              <w:rPr>
                <w:color w:val="auto"/>
              </w:rPr>
              <w:t>GB3838-2002</w:t>
            </w:r>
            <w:r>
              <w:rPr>
                <w:rFonts w:hint="eastAsia"/>
                <w:color w:val="auto"/>
              </w:rPr>
              <w:t>）Ⅲ类标准。</w:t>
            </w:r>
          </w:p>
          <w:p>
            <w:pPr>
              <w:ind w:firstLine="480"/>
              <w:rPr>
                <w:color w:val="auto"/>
              </w:rPr>
            </w:pPr>
            <w:r>
              <w:rPr>
                <w:rFonts w:hint="eastAsia"/>
                <w:color w:val="auto"/>
              </w:rPr>
              <w:t>红土河下游最近断面为泸西县境内的小江益谷坝断面，属于“十四五”调整优化监测断面，距离本项目区1</w:t>
            </w:r>
            <w:r>
              <w:rPr>
                <w:color w:val="auto"/>
              </w:rPr>
              <w:t>4</w:t>
            </w:r>
            <w:r>
              <w:rPr>
                <w:rFonts w:hint="eastAsia"/>
                <w:color w:val="auto"/>
              </w:rPr>
              <w:t>km，根据泸西县人民政府门户网站发布的《泸西县2023年环境质量状况报告》小江河益谷坝断面全年满足《地表水环境质量标准》（</w:t>
            </w:r>
            <w:r>
              <w:rPr>
                <w:color w:val="auto"/>
              </w:rPr>
              <w:t>GB3838-2002</w:t>
            </w:r>
            <w:r>
              <w:rPr>
                <w:rFonts w:hint="eastAsia"/>
                <w:color w:val="auto"/>
              </w:rPr>
              <w:t>）Ⅲ类标准（达到或优于Ⅲ类标准）。</w:t>
            </w:r>
          </w:p>
          <w:p>
            <w:pPr>
              <w:pStyle w:val="61"/>
              <w:spacing w:before="60" w:after="60"/>
              <w:rPr>
                <w:color w:val="auto"/>
              </w:rPr>
            </w:pPr>
            <w:r>
              <w:rPr>
                <w:rFonts w:hint="eastAsia"/>
                <w:color w:val="auto"/>
              </w:rPr>
              <w:t>3.1.3声环境质量现状</w:t>
            </w:r>
          </w:p>
          <w:p>
            <w:pPr>
              <w:ind w:firstLine="480"/>
              <w:rPr>
                <w:color w:val="auto"/>
              </w:rPr>
            </w:pPr>
            <w:r>
              <w:rPr>
                <w:rFonts w:hint="eastAsia"/>
                <w:color w:val="auto"/>
              </w:rPr>
              <w:t>根据现场踏勘，项目厂界周边50m范围内存在1处声环境保护目标，根据《建设项目环境影响报告表编制技术指南》（污染影响类）（试行）要求，</w:t>
            </w:r>
            <w:r>
              <w:rPr>
                <w:rFonts w:hint="eastAsia"/>
                <w:color w:val="auto"/>
                <w:shd w:val="clear" w:fill="FFFFFF"/>
              </w:rPr>
              <w:t>厂</w:t>
            </w:r>
            <w:r>
              <w:rPr>
                <w:rFonts w:hint="eastAsia"/>
                <w:color w:val="auto"/>
              </w:rPr>
              <w:t>界外周边50m范围内存在声环境保护目标的，需开展现状监测。</w:t>
            </w:r>
          </w:p>
          <w:p>
            <w:pPr>
              <w:ind w:firstLine="480"/>
              <w:rPr>
                <w:color w:val="auto"/>
              </w:rPr>
            </w:pPr>
            <w:r>
              <w:rPr>
                <w:rFonts w:hint="eastAsia"/>
                <w:color w:val="auto"/>
              </w:rPr>
              <w:t>建设单位</w:t>
            </w:r>
            <w:r>
              <w:rPr>
                <w:rFonts w:hint="eastAsia"/>
                <w:color w:val="auto"/>
                <w:shd w:val="clear" w:fill="FFFFFF"/>
                <w:lang w:val="en-US" w:eastAsia="zh-CN"/>
              </w:rPr>
              <w:t>原</w:t>
            </w:r>
            <w:r>
              <w:rPr>
                <w:rFonts w:hint="eastAsia"/>
                <w:color w:val="auto"/>
                <w:lang w:val="en-US" w:eastAsia="zh-CN"/>
              </w:rPr>
              <w:t>环评阶段</w:t>
            </w:r>
            <w:r>
              <w:rPr>
                <w:rFonts w:hint="eastAsia"/>
                <w:color w:val="auto"/>
              </w:rPr>
              <w:t>委托云南中科检测技术有限公司对项目区东侧散户进行了声环境现状监测（报告编号Y</w:t>
            </w:r>
            <w:r>
              <w:rPr>
                <w:color w:val="auto"/>
              </w:rPr>
              <w:t>NZKBG</w:t>
            </w:r>
            <w:r>
              <w:rPr>
                <w:rFonts w:hint="eastAsia"/>
                <w:color w:val="auto"/>
              </w:rPr>
              <w:t>2</w:t>
            </w:r>
            <w:r>
              <w:rPr>
                <w:color w:val="auto"/>
              </w:rPr>
              <w:t>0231226011</w:t>
            </w:r>
            <w:r>
              <w:rPr>
                <w:rFonts w:hint="eastAsia"/>
                <w:color w:val="auto"/>
              </w:rPr>
              <w:t>），共设置</w:t>
            </w:r>
            <w:r>
              <w:rPr>
                <w:color w:val="auto"/>
              </w:rPr>
              <w:t>1</w:t>
            </w:r>
            <w:r>
              <w:rPr>
                <w:rFonts w:hint="eastAsia"/>
                <w:color w:val="auto"/>
              </w:rPr>
              <w:t>个监测点位，监测点位和监测数据详见附件</w:t>
            </w:r>
            <w:r>
              <w:rPr>
                <w:color w:val="auto"/>
              </w:rPr>
              <w:t>11</w:t>
            </w:r>
            <w:r>
              <w:rPr>
                <w:rFonts w:hint="eastAsia"/>
                <w:color w:val="auto"/>
              </w:rPr>
              <w:t>，监测结果见下表所示。</w:t>
            </w:r>
          </w:p>
          <w:p>
            <w:pPr>
              <w:pStyle w:val="71"/>
              <w:rPr>
                <w:color w:val="auto"/>
              </w:rPr>
            </w:pPr>
            <w:r>
              <w:rPr>
                <w:rFonts w:hint="eastAsia"/>
                <w:color w:val="auto"/>
              </w:rPr>
              <w:t>表3</w:t>
            </w:r>
            <w:r>
              <w:rPr>
                <w:color w:val="auto"/>
              </w:rPr>
              <w:t xml:space="preserve">.1-5 </w:t>
            </w:r>
            <w:r>
              <w:rPr>
                <w:rFonts w:hint="eastAsia"/>
                <w:color w:val="auto"/>
                <w:lang w:val="en-US" w:eastAsia="zh-CN"/>
              </w:rPr>
              <w:t xml:space="preserve"> </w:t>
            </w:r>
            <w:r>
              <w:rPr>
                <w:rFonts w:hint="eastAsia"/>
                <w:color w:val="auto"/>
              </w:rPr>
              <w:t>声环境监测结果一览表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258"/>
              <w:gridCol w:w="1343"/>
              <w:gridCol w:w="1208"/>
              <w:gridCol w:w="134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pct"/>
                  <w:vMerge w:val="restart"/>
                  <w:vAlign w:val="center"/>
                </w:tcPr>
                <w:p>
                  <w:pPr>
                    <w:pStyle w:val="68"/>
                    <w:rPr>
                      <w:b/>
                      <w:bCs/>
                      <w:color w:val="auto"/>
                    </w:rPr>
                  </w:pPr>
                  <w:r>
                    <w:rPr>
                      <w:rFonts w:hint="eastAsia"/>
                      <w:b/>
                      <w:bCs/>
                      <w:color w:val="auto"/>
                    </w:rPr>
                    <w:t>点位</w:t>
                  </w:r>
                </w:p>
              </w:tc>
              <w:tc>
                <w:tcPr>
                  <w:tcW w:w="802" w:type="pct"/>
                  <w:vMerge w:val="restart"/>
                  <w:vAlign w:val="center"/>
                </w:tcPr>
                <w:p>
                  <w:pPr>
                    <w:pStyle w:val="68"/>
                    <w:rPr>
                      <w:b/>
                      <w:bCs/>
                      <w:color w:val="auto"/>
                    </w:rPr>
                  </w:pPr>
                  <w:r>
                    <w:rPr>
                      <w:rFonts w:hint="eastAsia"/>
                      <w:b/>
                      <w:bCs/>
                      <w:color w:val="auto"/>
                    </w:rPr>
                    <w:t>监测时间</w:t>
                  </w:r>
                </w:p>
              </w:tc>
              <w:tc>
                <w:tcPr>
                  <w:tcW w:w="1626" w:type="pct"/>
                  <w:gridSpan w:val="2"/>
                  <w:vAlign w:val="center"/>
                </w:tcPr>
                <w:p>
                  <w:pPr>
                    <w:pStyle w:val="68"/>
                    <w:rPr>
                      <w:b/>
                      <w:bCs/>
                      <w:color w:val="auto"/>
                    </w:rPr>
                  </w:pPr>
                  <w:r>
                    <w:rPr>
                      <w:rFonts w:hint="eastAsia"/>
                      <w:b/>
                      <w:bCs/>
                      <w:color w:val="auto"/>
                    </w:rPr>
                    <w:t>监测值</w:t>
                  </w:r>
                  <w:r>
                    <w:rPr>
                      <w:rFonts w:hint="eastAsia"/>
                      <w:b/>
                      <w:bCs/>
                      <w:color w:val="auto"/>
                      <w:shd w:val="clear" w:fill="FFFFFF"/>
                    </w:rPr>
                    <w:t>Leq</w:t>
                  </w:r>
                  <w:r>
                    <w:rPr>
                      <w:rFonts w:hint="eastAsia"/>
                      <w:b/>
                      <w:bCs/>
                      <w:color w:val="auto"/>
                    </w:rPr>
                    <w:t>〔d</w:t>
                  </w:r>
                  <w:r>
                    <w:rPr>
                      <w:b/>
                      <w:bCs/>
                      <w:color w:val="auto"/>
                    </w:rPr>
                    <w:t>B</w:t>
                  </w:r>
                  <w:r>
                    <w:rPr>
                      <w:rFonts w:hint="eastAsia"/>
                      <w:b/>
                      <w:bCs/>
                      <w:color w:val="auto"/>
                    </w:rPr>
                    <w:t>（A）〕</w:t>
                  </w:r>
                </w:p>
              </w:tc>
              <w:tc>
                <w:tcPr>
                  <w:tcW w:w="856" w:type="pct"/>
                  <w:vMerge w:val="restart"/>
                  <w:vAlign w:val="center"/>
                </w:tcPr>
                <w:p>
                  <w:pPr>
                    <w:pStyle w:val="68"/>
                    <w:rPr>
                      <w:b/>
                      <w:bCs/>
                      <w:color w:val="auto"/>
                    </w:rPr>
                  </w:pPr>
                  <w:r>
                    <w:rPr>
                      <w:rFonts w:hint="eastAsia"/>
                      <w:b/>
                      <w:bCs/>
                      <w:color w:val="auto"/>
                    </w:rPr>
                    <w:t>标准限值</w:t>
                  </w:r>
                </w:p>
                <w:p>
                  <w:pPr>
                    <w:pStyle w:val="68"/>
                    <w:rPr>
                      <w:b/>
                      <w:bCs/>
                      <w:color w:val="auto"/>
                    </w:rPr>
                  </w:pPr>
                  <w:r>
                    <w:rPr>
                      <w:rFonts w:hint="eastAsia"/>
                      <w:b/>
                      <w:bCs/>
                      <w:color w:val="auto"/>
                      <w:shd w:val="clear" w:fill="FFFFFF"/>
                    </w:rPr>
                    <w:t>Leq</w:t>
                  </w:r>
                  <w:r>
                    <w:rPr>
                      <w:rFonts w:hint="eastAsia"/>
                      <w:b/>
                      <w:bCs/>
                      <w:color w:val="auto"/>
                    </w:rPr>
                    <w:t>〔d</w:t>
                  </w:r>
                  <w:r>
                    <w:rPr>
                      <w:b/>
                      <w:bCs/>
                      <w:color w:val="auto"/>
                    </w:rPr>
                    <w:t>B</w:t>
                  </w:r>
                  <w:r>
                    <w:rPr>
                      <w:rFonts w:hint="eastAsia"/>
                      <w:b/>
                      <w:bCs/>
                      <w:color w:val="auto"/>
                      <w:lang w:eastAsia="zh-CN"/>
                    </w:rPr>
                    <w:t>(</w:t>
                  </w:r>
                  <w:r>
                    <w:rPr>
                      <w:rFonts w:hint="eastAsia"/>
                      <w:b/>
                      <w:bCs/>
                      <w:color w:val="auto"/>
                    </w:rPr>
                    <w:t>A</w:t>
                  </w:r>
                  <w:r>
                    <w:rPr>
                      <w:rFonts w:hint="eastAsia"/>
                      <w:b/>
                      <w:bCs/>
                      <w:color w:val="auto"/>
                      <w:lang w:eastAsia="zh-CN"/>
                    </w:rPr>
                    <w:t>)</w:t>
                  </w:r>
                  <w:r>
                    <w:rPr>
                      <w:rFonts w:hint="eastAsia"/>
                      <w:b/>
                      <w:bCs/>
                      <w:color w:val="auto"/>
                    </w:rPr>
                    <w:t>〕</w:t>
                  </w:r>
                </w:p>
              </w:tc>
              <w:tc>
                <w:tcPr>
                  <w:tcW w:w="703" w:type="pct"/>
                  <w:vMerge w:val="restart"/>
                  <w:vAlign w:val="center"/>
                </w:tcPr>
                <w:p>
                  <w:pPr>
                    <w:pStyle w:val="68"/>
                    <w:rPr>
                      <w:b/>
                      <w:bCs/>
                      <w:color w:val="auto"/>
                    </w:rPr>
                  </w:pPr>
                  <w:r>
                    <w:rPr>
                      <w:rFonts w:hint="eastAsia"/>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pct"/>
                  <w:vMerge w:val="continue"/>
                  <w:vAlign w:val="center"/>
                </w:tcPr>
                <w:p>
                  <w:pPr>
                    <w:pStyle w:val="68"/>
                    <w:rPr>
                      <w:color w:val="auto"/>
                    </w:rPr>
                  </w:pPr>
                </w:p>
              </w:tc>
              <w:tc>
                <w:tcPr>
                  <w:tcW w:w="802" w:type="pct"/>
                  <w:vMerge w:val="continue"/>
                  <w:vAlign w:val="center"/>
                </w:tcPr>
                <w:p>
                  <w:pPr>
                    <w:pStyle w:val="68"/>
                    <w:rPr>
                      <w:color w:val="auto"/>
                    </w:rPr>
                  </w:pPr>
                </w:p>
              </w:tc>
              <w:tc>
                <w:tcPr>
                  <w:tcW w:w="856" w:type="pct"/>
                  <w:vAlign w:val="center"/>
                </w:tcPr>
                <w:p>
                  <w:pPr>
                    <w:pStyle w:val="68"/>
                    <w:rPr>
                      <w:b/>
                      <w:bCs/>
                      <w:color w:val="auto"/>
                    </w:rPr>
                  </w:pPr>
                  <w:r>
                    <w:rPr>
                      <w:rFonts w:hint="eastAsia"/>
                      <w:b/>
                      <w:bCs/>
                      <w:color w:val="auto"/>
                    </w:rPr>
                    <w:t>昼间</w:t>
                  </w:r>
                </w:p>
              </w:tc>
              <w:tc>
                <w:tcPr>
                  <w:tcW w:w="770" w:type="pct"/>
                  <w:vAlign w:val="center"/>
                </w:tcPr>
                <w:p>
                  <w:pPr>
                    <w:pStyle w:val="68"/>
                    <w:rPr>
                      <w:b/>
                      <w:bCs/>
                      <w:color w:val="auto"/>
                    </w:rPr>
                  </w:pPr>
                  <w:r>
                    <w:rPr>
                      <w:rFonts w:hint="eastAsia"/>
                      <w:b/>
                      <w:bCs/>
                      <w:color w:val="auto"/>
                    </w:rPr>
                    <w:t>夜间</w:t>
                  </w:r>
                </w:p>
              </w:tc>
              <w:tc>
                <w:tcPr>
                  <w:tcW w:w="856" w:type="pct"/>
                  <w:vMerge w:val="continue"/>
                  <w:vAlign w:val="center"/>
                </w:tcPr>
                <w:p>
                  <w:pPr>
                    <w:pStyle w:val="68"/>
                    <w:rPr>
                      <w:color w:val="auto"/>
                    </w:rPr>
                  </w:pPr>
                </w:p>
              </w:tc>
              <w:tc>
                <w:tcPr>
                  <w:tcW w:w="703"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3" w:type="pct"/>
                  <w:vAlign w:val="center"/>
                </w:tcPr>
                <w:p>
                  <w:pPr>
                    <w:pStyle w:val="68"/>
                    <w:rPr>
                      <w:color w:val="auto"/>
                    </w:rPr>
                  </w:pPr>
                  <w:r>
                    <w:rPr>
                      <w:color w:val="auto"/>
                    </w:rPr>
                    <w:t>N1</w:t>
                  </w:r>
                  <w:r>
                    <w:rPr>
                      <w:rFonts w:hint="eastAsia"/>
                      <w:color w:val="auto"/>
                    </w:rPr>
                    <w:t>：</w:t>
                  </w:r>
                  <w:r>
                    <w:rPr>
                      <w:rFonts w:hint="eastAsia"/>
                      <w:color w:val="auto"/>
                      <w:lang w:eastAsia="zh-CN"/>
                    </w:rPr>
                    <w:t>项目区东侧散户</w:t>
                  </w:r>
                </w:p>
              </w:tc>
              <w:tc>
                <w:tcPr>
                  <w:tcW w:w="802" w:type="pct"/>
                  <w:vAlign w:val="center"/>
                </w:tcPr>
                <w:p>
                  <w:pPr>
                    <w:pStyle w:val="68"/>
                    <w:rPr>
                      <w:color w:val="auto"/>
                      <w:lang w:eastAsia="zh-CN"/>
                    </w:rPr>
                  </w:pPr>
                  <w:r>
                    <w:rPr>
                      <w:rFonts w:hint="eastAsia"/>
                      <w:color w:val="auto"/>
                      <w:lang w:eastAsia="zh-CN"/>
                    </w:rPr>
                    <w:t>2</w:t>
                  </w:r>
                  <w:r>
                    <w:rPr>
                      <w:color w:val="auto"/>
                      <w:lang w:eastAsia="zh-CN"/>
                    </w:rPr>
                    <w:t>023.12.15</w:t>
                  </w:r>
                </w:p>
              </w:tc>
              <w:tc>
                <w:tcPr>
                  <w:tcW w:w="856" w:type="pct"/>
                  <w:vAlign w:val="center"/>
                </w:tcPr>
                <w:p>
                  <w:pPr>
                    <w:pStyle w:val="68"/>
                    <w:rPr>
                      <w:color w:val="auto"/>
                    </w:rPr>
                  </w:pPr>
                  <w:r>
                    <w:rPr>
                      <w:color w:val="auto"/>
                    </w:rPr>
                    <w:t>53</w:t>
                  </w:r>
                </w:p>
              </w:tc>
              <w:tc>
                <w:tcPr>
                  <w:tcW w:w="770" w:type="pct"/>
                  <w:vAlign w:val="center"/>
                </w:tcPr>
                <w:p>
                  <w:pPr>
                    <w:pStyle w:val="68"/>
                    <w:rPr>
                      <w:color w:val="auto"/>
                    </w:rPr>
                  </w:pPr>
                  <w:r>
                    <w:rPr>
                      <w:color w:val="auto"/>
                    </w:rPr>
                    <w:t>42</w:t>
                  </w:r>
                </w:p>
              </w:tc>
              <w:tc>
                <w:tcPr>
                  <w:tcW w:w="856" w:type="pct"/>
                  <w:vAlign w:val="center"/>
                </w:tcPr>
                <w:p>
                  <w:pPr>
                    <w:pStyle w:val="68"/>
                    <w:rPr>
                      <w:color w:val="auto"/>
                    </w:rPr>
                  </w:pPr>
                  <w:r>
                    <w:rPr>
                      <w:rFonts w:hint="eastAsia"/>
                      <w:color w:val="auto"/>
                    </w:rPr>
                    <w:t>昼间：6</w:t>
                  </w:r>
                  <w:r>
                    <w:rPr>
                      <w:color w:val="auto"/>
                    </w:rPr>
                    <w:t>0</w:t>
                  </w:r>
                </w:p>
                <w:p>
                  <w:pPr>
                    <w:pStyle w:val="68"/>
                    <w:rPr>
                      <w:color w:val="auto"/>
                    </w:rPr>
                  </w:pPr>
                  <w:r>
                    <w:rPr>
                      <w:rFonts w:hint="eastAsia"/>
                      <w:color w:val="auto"/>
                    </w:rPr>
                    <w:t>夜间：5</w:t>
                  </w:r>
                  <w:r>
                    <w:rPr>
                      <w:color w:val="auto"/>
                    </w:rPr>
                    <w:t>0</w:t>
                  </w:r>
                </w:p>
              </w:tc>
              <w:tc>
                <w:tcPr>
                  <w:tcW w:w="703" w:type="pct"/>
                  <w:vAlign w:val="center"/>
                </w:tcPr>
                <w:p>
                  <w:pPr>
                    <w:pStyle w:val="68"/>
                    <w:rPr>
                      <w:color w:val="auto"/>
                    </w:rPr>
                  </w:pPr>
                  <w:r>
                    <w:rPr>
                      <w:rFonts w:hint="eastAsia"/>
                      <w:color w:val="auto"/>
                    </w:rPr>
                    <w:t>达标</w:t>
                  </w:r>
                </w:p>
              </w:tc>
            </w:tr>
          </w:tbl>
          <w:p>
            <w:pPr>
              <w:ind w:firstLine="480"/>
              <w:rPr>
                <w:color w:val="auto"/>
              </w:rPr>
            </w:pPr>
            <w:r>
              <w:rPr>
                <w:rFonts w:hint="eastAsia"/>
                <w:color w:val="auto"/>
              </w:rPr>
              <w:t>根据上表，项目区周边声环境满足《声环境质量标准》（G</w:t>
            </w:r>
            <w:r>
              <w:rPr>
                <w:color w:val="auto"/>
              </w:rPr>
              <w:t>B3096-2008</w:t>
            </w:r>
            <w:r>
              <w:rPr>
                <w:rFonts w:hint="eastAsia"/>
                <w:color w:val="auto"/>
              </w:rPr>
              <w:t>）</w:t>
            </w:r>
            <w:r>
              <w:rPr>
                <w:color w:val="auto"/>
              </w:rPr>
              <w:t>2</w:t>
            </w:r>
            <w:r>
              <w:rPr>
                <w:rFonts w:hint="eastAsia"/>
                <w:color w:val="auto"/>
              </w:rPr>
              <w:t>类标准限值。</w:t>
            </w:r>
          </w:p>
          <w:p>
            <w:pPr>
              <w:pStyle w:val="61"/>
              <w:spacing w:before="60" w:after="60"/>
              <w:rPr>
                <w:color w:val="auto"/>
              </w:rPr>
            </w:pPr>
            <w:r>
              <w:rPr>
                <w:rFonts w:hint="eastAsia"/>
                <w:color w:val="auto"/>
              </w:rPr>
              <w:t>3.1.4地下水环境</w:t>
            </w:r>
          </w:p>
          <w:p>
            <w:pPr>
              <w:ind w:firstLine="480"/>
              <w:rPr>
                <w:color w:val="auto"/>
              </w:rPr>
            </w:pPr>
            <w:r>
              <w:rPr>
                <w:rFonts w:hint="eastAsia"/>
                <w:color w:val="auto"/>
              </w:rPr>
              <w:t>根据《建设项目环境影响报告表编制技术指南》（污染影响类）（试行）要求，原则上不开展地下水环境质量监测，可能存在地下水环境污染途径的，应结合污染源、保护目标分布情况开展现状调查以留作背景值，本项目运营期高浓度有机废水设有收集管网和处理设施，各</w:t>
            </w:r>
            <w:r>
              <w:rPr>
                <w:rFonts w:hint="eastAsia"/>
                <w:color w:val="auto"/>
                <w:shd w:val="clear" w:fill="FFFFFF"/>
              </w:rPr>
              <w:t>池</w:t>
            </w:r>
            <w:r>
              <w:rPr>
                <w:rFonts w:hint="eastAsia"/>
                <w:color w:val="auto"/>
              </w:rPr>
              <w:t>体、构筑物发生跑冒滴漏可能影响地下水环境，因此对地下水环境开展监测留作背景值。</w:t>
            </w:r>
          </w:p>
          <w:p>
            <w:pPr>
              <w:ind w:firstLine="480"/>
              <w:rPr>
                <w:color w:val="auto"/>
              </w:rPr>
            </w:pPr>
            <w:r>
              <w:rPr>
                <w:rFonts w:hint="eastAsia"/>
                <w:color w:val="auto"/>
              </w:rPr>
              <w:t>建设单位</w:t>
            </w:r>
            <w:r>
              <w:rPr>
                <w:rFonts w:hint="eastAsia"/>
                <w:color w:val="auto"/>
                <w:shd w:val="clear" w:fill="FFFFFF"/>
                <w:lang w:val="en-US" w:eastAsia="zh-CN"/>
              </w:rPr>
              <w:t>原</w:t>
            </w:r>
            <w:r>
              <w:rPr>
                <w:rFonts w:hint="eastAsia"/>
                <w:color w:val="auto"/>
                <w:lang w:val="en-US" w:eastAsia="zh-CN"/>
              </w:rPr>
              <w:t>环评阶段</w:t>
            </w:r>
            <w:r>
              <w:rPr>
                <w:rFonts w:hint="eastAsia"/>
                <w:color w:val="auto"/>
              </w:rPr>
              <w:t>委托云南中科检测技术有限公司对项目区地下水环境现状开展了监测，共设置</w:t>
            </w:r>
            <w:r>
              <w:rPr>
                <w:color w:val="auto"/>
              </w:rPr>
              <w:t>1</w:t>
            </w:r>
            <w:r>
              <w:rPr>
                <w:rFonts w:hint="eastAsia"/>
                <w:color w:val="auto"/>
              </w:rPr>
              <w:t>个点位，点位设置情况见下：</w:t>
            </w:r>
          </w:p>
          <w:p>
            <w:pPr>
              <w:pStyle w:val="71"/>
              <w:rPr>
                <w:color w:val="auto"/>
              </w:rPr>
            </w:pPr>
            <w:r>
              <w:rPr>
                <w:rFonts w:hint="eastAsia"/>
                <w:color w:val="auto"/>
              </w:rPr>
              <w:t>表</w:t>
            </w:r>
            <w:r>
              <w:rPr>
                <w:color w:val="auto"/>
              </w:rPr>
              <w:t xml:space="preserve">3.1-6 </w:t>
            </w:r>
            <w:r>
              <w:rPr>
                <w:rFonts w:hint="eastAsia"/>
                <w:color w:val="auto"/>
              </w:rPr>
              <w:t>地下水监测点位一览表</w:t>
            </w:r>
          </w:p>
          <w:tbl>
            <w:tblPr>
              <w:tblStyle w:val="30"/>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93"/>
              <w:gridCol w:w="1134"/>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pStyle w:val="68"/>
                    <w:rPr>
                      <w:b/>
                      <w:bCs/>
                      <w:color w:val="auto"/>
                    </w:rPr>
                  </w:pPr>
                  <w:r>
                    <w:rPr>
                      <w:rFonts w:hint="eastAsia"/>
                      <w:b/>
                      <w:bCs/>
                      <w:color w:val="auto"/>
                    </w:rPr>
                    <w:t>编号</w:t>
                  </w:r>
                </w:p>
              </w:tc>
              <w:tc>
                <w:tcPr>
                  <w:tcW w:w="993" w:type="dxa"/>
                  <w:vAlign w:val="center"/>
                </w:tcPr>
                <w:p>
                  <w:pPr>
                    <w:pStyle w:val="68"/>
                    <w:rPr>
                      <w:b/>
                      <w:bCs/>
                      <w:color w:val="auto"/>
                    </w:rPr>
                  </w:pPr>
                  <w:r>
                    <w:rPr>
                      <w:rFonts w:hint="eastAsia"/>
                      <w:b/>
                      <w:bCs/>
                      <w:color w:val="auto"/>
                    </w:rPr>
                    <w:t>名称</w:t>
                  </w:r>
                </w:p>
              </w:tc>
              <w:tc>
                <w:tcPr>
                  <w:tcW w:w="1134" w:type="dxa"/>
                  <w:vAlign w:val="center"/>
                </w:tcPr>
                <w:p>
                  <w:pPr>
                    <w:pStyle w:val="68"/>
                    <w:rPr>
                      <w:b/>
                      <w:bCs/>
                      <w:color w:val="auto"/>
                    </w:rPr>
                  </w:pPr>
                  <w:r>
                    <w:rPr>
                      <w:rFonts w:hint="eastAsia"/>
                      <w:b/>
                      <w:bCs/>
                      <w:color w:val="auto"/>
                    </w:rPr>
                    <w:t>经纬度</w:t>
                  </w:r>
                </w:p>
              </w:tc>
              <w:tc>
                <w:tcPr>
                  <w:tcW w:w="5103" w:type="dxa"/>
                  <w:vAlign w:val="center"/>
                </w:tcPr>
                <w:p>
                  <w:pPr>
                    <w:pStyle w:val="68"/>
                    <w:rPr>
                      <w:b/>
                      <w:bCs/>
                      <w:color w:val="auto"/>
                    </w:rPr>
                  </w:pPr>
                  <w:r>
                    <w:rPr>
                      <w:rFonts w:hint="eastAsia"/>
                      <w:b/>
                      <w:bCs/>
                      <w:color w:val="auto"/>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pStyle w:val="68"/>
                    <w:rPr>
                      <w:color w:val="auto"/>
                      <w:lang w:eastAsia="zh-CN"/>
                    </w:rPr>
                  </w:pPr>
                  <w:r>
                    <w:rPr>
                      <w:rFonts w:hint="eastAsia"/>
                      <w:color w:val="auto"/>
                      <w:lang w:eastAsia="zh-CN"/>
                    </w:rPr>
                    <w:t>Q</w:t>
                  </w:r>
                  <w:r>
                    <w:rPr>
                      <w:color w:val="auto"/>
                      <w:lang w:eastAsia="zh-CN"/>
                    </w:rPr>
                    <w:t>1</w:t>
                  </w:r>
                </w:p>
              </w:tc>
              <w:tc>
                <w:tcPr>
                  <w:tcW w:w="993" w:type="dxa"/>
                  <w:vAlign w:val="center"/>
                </w:tcPr>
                <w:p>
                  <w:pPr>
                    <w:pStyle w:val="68"/>
                    <w:rPr>
                      <w:color w:val="auto"/>
                    </w:rPr>
                  </w:pPr>
                  <w:r>
                    <w:rPr>
                      <w:rFonts w:hint="eastAsia"/>
                      <w:color w:val="auto"/>
                      <w:lang w:val="en-US"/>
                    </w:rPr>
                    <w:t>项目区西侧地下水井</w:t>
                  </w:r>
                </w:p>
              </w:tc>
              <w:tc>
                <w:tcPr>
                  <w:tcW w:w="1134" w:type="dxa"/>
                  <w:vAlign w:val="center"/>
                </w:tcPr>
                <w:p>
                  <w:pPr>
                    <w:pStyle w:val="68"/>
                    <w:rPr>
                      <w:color w:val="auto"/>
                    </w:rPr>
                  </w:pPr>
                  <w:r>
                    <w:rPr>
                      <w:color w:val="auto"/>
                      <w:lang w:val="en-US"/>
                    </w:rPr>
                    <w:t>103°54′48.92134″</w:t>
                  </w:r>
                </w:p>
                <w:p>
                  <w:pPr>
                    <w:pStyle w:val="68"/>
                    <w:rPr>
                      <w:color w:val="auto"/>
                    </w:rPr>
                  </w:pPr>
                  <w:r>
                    <w:rPr>
                      <w:color w:val="auto"/>
                      <w:lang w:val="en-US"/>
                    </w:rPr>
                    <w:t>24°42′46.49165″</w:t>
                  </w:r>
                </w:p>
              </w:tc>
              <w:tc>
                <w:tcPr>
                  <w:tcW w:w="5103" w:type="dxa"/>
                  <w:vAlign w:val="center"/>
                </w:tcPr>
                <w:p>
                  <w:pPr>
                    <w:pStyle w:val="68"/>
                    <w:rPr>
                      <w:color w:val="auto"/>
                    </w:rPr>
                  </w:pPr>
                  <w:r>
                    <w:rPr>
                      <w:color w:val="auto"/>
                      <w:lang w:val="en-US"/>
                    </w:rPr>
                    <w:t>K</w:t>
                  </w:r>
                  <w:r>
                    <w:rPr>
                      <w:color w:val="auto"/>
                      <w:vertAlign w:val="superscript"/>
                      <w:lang w:val="en-US"/>
                    </w:rPr>
                    <w:t>+</w:t>
                  </w:r>
                  <w:r>
                    <w:rPr>
                      <w:color w:val="auto"/>
                      <w:lang w:val="en-US"/>
                    </w:rPr>
                    <w:t>、Na</w:t>
                  </w:r>
                  <w:r>
                    <w:rPr>
                      <w:color w:val="auto"/>
                      <w:vertAlign w:val="superscript"/>
                      <w:lang w:val="en-US"/>
                    </w:rPr>
                    <w:t>+</w:t>
                  </w:r>
                  <w:r>
                    <w:rPr>
                      <w:color w:val="auto"/>
                      <w:lang w:val="en-US"/>
                    </w:rPr>
                    <w:t>、Ca</w:t>
                  </w:r>
                  <w:r>
                    <w:rPr>
                      <w:color w:val="auto"/>
                      <w:vertAlign w:val="superscript"/>
                      <w:lang w:val="en-US"/>
                    </w:rPr>
                    <w:t>2+</w:t>
                  </w:r>
                  <w:r>
                    <w:rPr>
                      <w:color w:val="auto"/>
                      <w:lang w:val="en-US"/>
                    </w:rPr>
                    <w:t>、Mg</w:t>
                  </w:r>
                  <w:r>
                    <w:rPr>
                      <w:color w:val="auto"/>
                      <w:vertAlign w:val="superscript"/>
                      <w:lang w:val="en-US"/>
                    </w:rPr>
                    <w:t>2+</w:t>
                  </w:r>
                  <w:r>
                    <w:rPr>
                      <w:color w:val="auto"/>
                      <w:lang w:val="en-US"/>
                    </w:rPr>
                    <w:t>、CO</w:t>
                  </w:r>
                  <w:r>
                    <w:rPr>
                      <w:color w:val="auto"/>
                      <w:vertAlign w:val="subscript"/>
                      <w:lang w:val="en-US"/>
                    </w:rPr>
                    <w:t>3</w:t>
                  </w:r>
                  <w:r>
                    <w:rPr>
                      <w:color w:val="auto"/>
                      <w:vertAlign w:val="superscript"/>
                      <w:lang w:val="en-US"/>
                    </w:rPr>
                    <w:t>2-</w:t>
                  </w:r>
                  <w:r>
                    <w:rPr>
                      <w:color w:val="auto"/>
                      <w:lang w:val="en-US"/>
                    </w:rPr>
                    <w:t>、HCO</w:t>
                  </w:r>
                  <w:r>
                    <w:rPr>
                      <w:color w:val="auto"/>
                      <w:vertAlign w:val="subscript"/>
                      <w:lang w:val="en-US"/>
                    </w:rPr>
                    <w:t>3</w:t>
                  </w:r>
                  <w:r>
                    <w:rPr>
                      <w:color w:val="auto"/>
                      <w:vertAlign w:val="superscript"/>
                      <w:lang w:val="en-US"/>
                    </w:rPr>
                    <w:t>-</w:t>
                  </w:r>
                  <w:r>
                    <w:rPr>
                      <w:color w:val="auto"/>
                      <w:lang w:val="en-US"/>
                    </w:rPr>
                    <w:t>、Cl</w:t>
                  </w:r>
                  <w:r>
                    <w:rPr>
                      <w:color w:val="auto"/>
                      <w:vertAlign w:val="superscript"/>
                      <w:lang w:val="en-US"/>
                    </w:rPr>
                    <w:t>-</w:t>
                  </w:r>
                  <w:r>
                    <w:rPr>
                      <w:color w:val="auto"/>
                      <w:lang w:val="en-US"/>
                    </w:rPr>
                    <w:t>、SO</w:t>
                  </w:r>
                  <w:r>
                    <w:rPr>
                      <w:color w:val="auto"/>
                      <w:vertAlign w:val="subscript"/>
                      <w:lang w:val="en-US"/>
                    </w:rPr>
                    <w:t>4</w:t>
                  </w:r>
                  <w:r>
                    <w:rPr>
                      <w:color w:val="auto"/>
                      <w:vertAlign w:val="superscript"/>
                      <w:lang w:val="en-US"/>
                    </w:rPr>
                    <w:t>2-</w:t>
                  </w:r>
                  <w:r>
                    <w:rPr>
                      <w:color w:val="auto"/>
                      <w:lang w:eastAsia="zh-CN"/>
                    </w:rPr>
                    <w:t>、</w:t>
                  </w:r>
                  <w:r>
                    <w:rPr>
                      <w:color w:val="auto"/>
                      <w:lang w:val="en-US" w:eastAsia="zh-CN"/>
                    </w:rPr>
                    <w:t>pH、总硬度、溶解性总固体、氨氮、耗氧量、硝酸盐、亚硝酸盐、挥发性酚类、氰化物、硫酸盐、氯化物、氟化物、硫化物、阴离子表面活性剂、砷、汞、六价铬、铅、镉、铜、锌、镍、铁、锰、总大肠菌群、菌落总数</w:t>
                  </w:r>
                </w:p>
              </w:tc>
            </w:tr>
          </w:tbl>
          <w:p>
            <w:pPr>
              <w:ind w:firstLine="480"/>
              <w:rPr>
                <w:color w:val="auto"/>
              </w:rPr>
            </w:pPr>
            <w:r>
              <w:rPr>
                <w:rFonts w:hint="eastAsia"/>
                <w:color w:val="auto"/>
              </w:rPr>
              <w:t>监测时间及频率：连续监测</w:t>
            </w:r>
            <w:r>
              <w:rPr>
                <w:color w:val="auto"/>
              </w:rPr>
              <w:t>1</w:t>
            </w:r>
            <w:r>
              <w:rPr>
                <w:rFonts w:hint="eastAsia"/>
                <w:color w:val="auto"/>
              </w:rPr>
              <w:t>天，每天监测</w:t>
            </w:r>
            <w:r>
              <w:rPr>
                <w:color w:val="auto"/>
              </w:rPr>
              <w:t>2</w:t>
            </w:r>
            <w:r>
              <w:rPr>
                <w:rFonts w:hint="eastAsia"/>
                <w:color w:val="auto"/>
              </w:rPr>
              <w:t>次；</w:t>
            </w:r>
          </w:p>
          <w:p>
            <w:pPr>
              <w:ind w:firstLine="480"/>
              <w:rPr>
                <w:color w:val="auto"/>
              </w:rPr>
            </w:pPr>
            <w:r>
              <w:rPr>
                <w:rFonts w:hint="eastAsia"/>
                <w:color w:val="auto"/>
              </w:rPr>
              <w:t>执行标准：执行</w:t>
            </w:r>
            <w:r>
              <w:rPr>
                <w:color w:val="auto"/>
              </w:rPr>
              <w:t>《地下水环境质量标准》（GB/14848-2017）Ⅲ类标准</w:t>
            </w:r>
            <w:r>
              <w:rPr>
                <w:rFonts w:hint="eastAsia"/>
                <w:color w:val="auto"/>
              </w:rPr>
              <w:t>。</w:t>
            </w:r>
          </w:p>
          <w:p>
            <w:pPr>
              <w:ind w:firstLine="480"/>
              <w:rPr>
                <w:color w:val="auto"/>
              </w:rPr>
            </w:pPr>
            <w:r>
              <w:rPr>
                <w:rFonts w:hint="eastAsia"/>
                <w:color w:val="auto"/>
              </w:rPr>
              <w:t>根据地下水现状监测报告-YNZKBG20240131016，项目区西侧地下水井监测情况见下表：</w:t>
            </w:r>
          </w:p>
          <w:p>
            <w:pPr>
              <w:pStyle w:val="71"/>
              <w:rPr>
                <w:color w:val="auto"/>
              </w:rPr>
            </w:pPr>
            <w:r>
              <w:rPr>
                <w:color w:val="auto"/>
              </w:rPr>
              <w:t>表3.1-7 地下水检测结果一览表    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503"/>
              <w:gridCol w:w="1225"/>
              <w:gridCol w:w="1382"/>
              <w:gridCol w:w="117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1073" w:type="pct"/>
                  <w:tcBorders>
                    <w:tl2br w:val="single" w:color="auto" w:sz="4" w:space="0"/>
                  </w:tcBorders>
                  <w:vAlign w:val="center"/>
                </w:tcPr>
                <w:p>
                  <w:pPr>
                    <w:pStyle w:val="68"/>
                    <w:jc w:val="right"/>
                    <w:rPr>
                      <w:b/>
                      <w:bCs/>
                      <w:color w:val="auto"/>
                    </w:rPr>
                  </w:pPr>
                  <w:r>
                    <w:rPr>
                      <w:rFonts w:hint="eastAsia"/>
                      <w:b/>
                      <w:bCs/>
                      <w:color w:val="auto"/>
                    </w:rPr>
                    <w:t>监测点位</w:t>
                  </w:r>
                </w:p>
                <w:p>
                  <w:pPr>
                    <w:pStyle w:val="68"/>
                    <w:rPr>
                      <w:b/>
                      <w:bCs/>
                      <w:color w:val="auto"/>
                    </w:rPr>
                  </w:pPr>
                </w:p>
                <w:p>
                  <w:pPr>
                    <w:pStyle w:val="68"/>
                    <w:jc w:val="left"/>
                    <w:rPr>
                      <w:b/>
                      <w:bCs/>
                      <w:color w:val="auto"/>
                    </w:rPr>
                  </w:pPr>
                  <w:r>
                    <w:rPr>
                      <w:rFonts w:hint="eastAsia"/>
                      <w:b/>
                      <w:bCs/>
                      <w:color w:val="auto"/>
                    </w:rPr>
                    <w:t>监测项目</w:t>
                  </w:r>
                </w:p>
              </w:tc>
              <w:tc>
                <w:tcPr>
                  <w:tcW w:w="958" w:type="pct"/>
                  <w:vAlign w:val="center"/>
                </w:tcPr>
                <w:p>
                  <w:pPr>
                    <w:pStyle w:val="68"/>
                    <w:rPr>
                      <w:b/>
                      <w:bCs/>
                      <w:color w:val="auto"/>
                    </w:rPr>
                  </w:pPr>
                  <w:r>
                    <w:rPr>
                      <w:rFonts w:hint="eastAsia"/>
                      <w:b/>
                      <w:bCs/>
                      <w:color w:val="auto"/>
                    </w:rPr>
                    <w:t>监测日期</w:t>
                  </w:r>
                </w:p>
              </w:tc>
              <w:tc>
                <w:tcPr>
                  <w:tcW w:w="781" w:type="pct"/>
                  <w:vAlign w:val="center"/>
                </w:tcPr>
                <w:p>
                  <w:pPr>
                    <w:pStyle w:val="68"/>
                    <w:rPr>
                      <w:b/>
                      <w:bCs/>
                      <w:color w:val="auto"/>
                    </w:rPr>
                  </w:pPr>
                  <w:r>
                    <w:rPr>
                      <w:b/>
                      <w:bCs/>
                      <w:color w:val="auto"/>
                    </w:rPr>
                    <w:t>YNZKSC20240123013-W001</w:t>
                  </w:r>
                </w:p>
              </w:tc>
              <w:tc>
                <w:tcPr>
                  <w:tcW w:w="881" w:type="pct"/>
                  <w:tcBorders>
                    <w:right w:val="single" w:color="000000" w:sz="4" w:space="0"/>
                  </w:tcBorders>
                  <w:vAlign w:val="center"/>
                </w:tcPr>
                <w:p>
                  <w:pPr>
                    <w:pStyle w:val="68"/>
                    <w:rPr>
                      <w:b/>
                      <w:bCs/>
                      <w:color w:val="auto"/>
                    </w:rPr>
                  </w:pPr>
                  <w:r>
                    <w:rPr>
                      <w:b/>
                      <w:bCs/>
                      <w:color w:val="auto"/>
                    </w:rPr>
                    <w:t>YNZKSC20240123013-W002</w:t>
                  </w:r>
                </w:p>
              </w:tc>
              <w:tc>
                <w:tcPr>
                  <w:tcW w:w="747" w:type="pct"/>
                  <w:tcBorders>
                    <w:right w:val="single" w:color="000000" w:sz="4" w:space="0"/>
                  </w:tcBorders>
                  <w:vAlign w:val="center"/>
                </w:tcPr>
                <w:p>
                  <w:pPr>
                    <w:pStyle w:val="68"/>
                    <w:rPr>
                      <w:b/>
                      <w:bCs/>
                      <w:color w:val="auto"/>
                    </w:rPr>
                  </w:pPr>
                  <w:r>
                    <w:rPr>
                      <w:rFonts w:hint="eastAsia"/>
                      <w:b/>
                      <w:bCs/>
                      <w:color w:val="auto"/>
                    </w:rPr>
                    <w:t>标准限值</w:t>
                  </w:r>
                </w:p>
              </w:tc>
              <w:tc>
                <w:tcPr>
                  <w:tcW w:w="560" w:type="pct"/>
                  <w:tcBorders>
                    <w:right w:val="single" w:color="000000" w:sz="4" w:space="0"/>
                  </w:tcBorders>
                  <w:vAlign w:val="center"/>
                </w:tcPr>
                <w:p>
                  <w:pPr>
                    <w:pStyle w:val="68"/>
                    <w:rPr>
                      <w:b/>
                      <w:bCs/>
                      <w:color w:val="auto"/>
                    </w:rPr>
                  </w:pPr>
                  <w:r>
                    <w:rPr>
                      <w:rFonts w:hint="eastAsia"/>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pH值（无量纲）</w:t>
                  </w:r>
                </w:p>
              </w:tc>
              <w:tc>
                <w:tcPr>
                  <w:tcW w:w="958" w:type="pct"/>
                  <w:vMerge w:val="restart"/>
                  <w:vAlign w:val="center"/>
                </w:tcPr>
                <w:p>
                  <w:pPr>
                    <w:pStyle w:val="68"/>
                    <w:rPr>
                      <w:color w:val="auto"/>
                    </w:rPr>
                  </w:pPr>
                  <w:r>
                    <w:rPr>
                      <w:color w:val="auto"/>
                    </w:rPr>
                    <w:t>2024.01.23</w:t>
                  </w:r>
                </w:p>
              </w:tc>
              <w:tc>
                <w:tcPr>
                  <w:tcW w:w="781" w:type="pct"/>
                  <w:vAlign w:val="center"/>
                </w:tcPr>
                <w:p>
                  <w:pPr>
                    <w:pStyle w:val="68"/>
                    <w:rPr>
                      <w:color w:val="auto"/>
                      <w:lang w:eastAsia="zh-CN"/>
                    </w:rPr>
                  </w:pPr>
                  <w:r>
                    <w:rPr>
                      <w:rFonts w:hint="eastAsia"/>
                      <w:color w:val="auto"/>
                      <w:lang w:eastAsia="zh-CN"/>
                    </w:rPr>
                    <w:t>8</w:t>
                  </w:r>
                  <w:r>
                    <w:rPr>
                      <w:color w:val="auto"/>
                      <w:lang w:eastAsia="zh-CN"/>
                    </w:rPr>
                    <w:t>.0</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8</w:t>
                  </w:r>
                  <w:r>
                    <w:rPr>
                      <w:color w:val="auto"/>
                      <w:lang w:eastAsia="zh-CN"/>
                    </w:rPr>
                    <w:t>.1</w:t>
                  </w:r>
                </w:p>
              </w:tc>
              <w:tc>
                <w:tcPr>
                  <w:tcW w:w="747" w:type="pct"/>
                  <w:tcBorders>
                    <w:right w:val="single" w:color="000000" w:sz="4" w:space="0"/>
                  </w:tcBorders>
                  <w:vAlign w:val="center"/>
                </w:tcPr>
                <w:p>
                  <w:pPr>
                    <w:pStyle w:val="68"/>
                    <w:rPr>
                      <w:color w:val="auto"/>
                    </w:rPr>
                  </w:pPr>
                  <w:r>
                    <w:rPr>
                      <w:rFonts w:hint="eastAsia"/>
                      <w:color w:val="auto"/>
                    </w:rPr>
                    <w:t>6.5</w:t>
                  </w:r>
                  <w:r>
                    <w:rPr>
                      <w:rFonts w:hint="eastAsia"/>
                      <w:color w:val="auto"/>
                      <w:lang w:eastAsia="zh-CN"/>
                    </w:rPr>
                    <w:t>~</w:t>
                  </w:r>
                  <w:r>
                    <w:rPr>
                      <w:rFonts w:hint="eastAsia"/>
                      <w:color w:val="auto"/>
                    </w:rPr>
                    <w:t>8.5</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lang w:eastAsia="zh-CN"/>
                    </w:rPr>
                    <w:t>总硬度</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1</w:t>
                  </w:r>
                  <w:r>
                    <w:rPr>
                      <w:color w:val="auto"/>
                      <w:lang w:eastAsia="zh-CN"/>
                    </w:rPr>
                    <w:t>43</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1</w:t>
                  </w:r>
                  <w:r>
                    <w:rPr>
                      <w:color w:val="auto"/>
                      <w:lang w:eastAsia="zh-CN"/>
                    </w:rPr>
                    <w:t>44</w:t>
                  </w:r>
                </w:p>
              </w:tc>
              <w:tc>
                <w:tcPr>
                  <w:tcW w:w="747" w:type="pct"/>
                  <w:tcBorders>
                    <w:right w:val="single" w:color="000000" w:sz="4" w:space="0"/>
                  </w:tcBorders>
                  <w:vAlign w:val="center"/>
                </w:tcPr>
                <w:p>
                  <w:pPr>
                    <w:pStyle w:val="68"/>
                    <w:rPr>
                      <w:color w:val="auto"/>
                    </w:rPr>
                  </w:pPr>
                  <w:r>
                    <w:rPr>
                      <w:rFonts w:hint="eastAsia"/>
                      <w:color w:val="auto"/>
                    </w:rPr>
                    <w:t>≤</w:t>
                  </w:r>
                  <w:r>
                    <w:rPr>
                      <w:color w:val="auto"/>
                    </w:rPr>
                    <w:t>450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溶解性总固体</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2</w:t>
                  </w:r>
                  <w:r>
                    <w:rPr>
                      <w:color w:val="auto"/>
                      <w:lang w:eastAsia="zh-CN"/>
                    </w:rPr>
                    <w:t>41</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2</w:t>
                  </w:r>
                  <w:r>
                    <w:rPr>
                      <w:color w:val="auto"/>
                      <w:lang w:eastAsia="zh-CN"/>
                    </w:rPr>
                    <w:t>44</w:t>
                  </w:r>
                </w:p>
              </w:tc>
              <w:tc>
                <w:tcPr>
                  <w:tcW w:w="747" w:type="pct"/>
                  <w:tcBorders>
                    <w:right w:val="single" w:color="000000" w:sz="4" w:space="0"/>
                  </w:tcBorders>
                  <w:vAlign w:val="center"/>
                </w:tcPr>
                <w:p>
                  <w:pPr>
                    <w:pStyle w:val="68"/>
                    <w:rPr>
                      <w:color w:val="auto"/>
                    </w:rPr>
                  </w:pPr>
                  <w:r>
                    <w:rPr>
                      <w:rFonts w:hint="eastAsia"/>
                      <w:color w:val="auto"/>
                    </w:rPr>
                    <w:t>≤1</w:t>
                  </w:r>
                  <w:r>
                    <w:rPr>
                      <w:color w:val="auto"/>
                    </w:rPr>
                    <w:t>000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lang w:eastAsia="zh-CN"/>
                    </w:rPr>
                  </w:pPr>
                  <w:r>
                    <w:rPr>
                      <w:rFonts w:hint="eastAsia"/>
                      <w:color w:val="auto"/>
                      <w:lang w:eastAsia="zh-CN"/>
                    </w:rPr>
                    <w:t>耗氧量</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color w:val="auto"/>
                      <w:lang w:eastAsia="zh-CN"/>
                    </w:rPr>
                    <w:t>0.42</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0</w:t>
                  </w:r>
                  <w:r>
                    <w:rPr>
                      <w:color w:val="auto"/>
                      <w:lang w:eastAsia="zh-CN"/>
                    </w:rPr>
                    <w:t>.44</w:t>
                  </w:r>
                </w:p>
              </w:tc>
              <w:tc>
                <w:tcPr>
                  <w:tcW w:w="747" w:type="pct"/>
                  <w:tcBorders>
                    <w:right w:val="single" w:color="000000" w:sz="4" w:space="0"/>
                  </w:tcBorders>
                  <w:vAlign w:val="center"/>
                </w:tcPr>
                <w:p>
                  <w:pPr>
                    <w:pStyle w:val="68"/>
                    <w:rPr>
                      <w:color w:val="auto"/>
                      <w:lang w:eastAsia="zh-CN"/>
                    </w:rPr>
                  </w:pPr>
                  <w:r>
                    <w:rPr>
                      <w:rFonts w:hint="eastAsia"/>
                      <w:color w:val="auto"/>
                    </w:rPr>
                    <w:t>≤</w:t>
                  </w:r>
                  <w:r>
                    <w:rPr>
                      <w:rFonts w:hint="eastAsia"/>
                      <w:color w:val="auto"/>
                      <w:lang w:eastAsia="zh-CN"/>
                    </w:rPr>
                    <w:t>3</w:t>
                  </w:r>
                  <w:r>
                    <w:rPr>
                      <w:color w:val="auto"/>
                      <w:lang w:eastAsia="zh-CN"/>
                    </w:rPr>
                    <w:t>.0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lang w:eastAsia="zh-CN"/>
                    </w:rPr>
                  </w:pPr>
                  <w:r>
                    <w:rPr>
                      <w:rFonts w:hint="eastAsia"/>
                      <w:color w:val="auto"/>
                      <w:lang w:eastAsia="zh-CN"/>
                    </w:rPr>
                    <w:t>挥发酚</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color w:val="auto"/>
                      <w:lang w:eastAsia="zh-CN"/>
                    </w:rPr>
                    <w:t>0.0003L</w:t>
                  </w:r>
                </w:p>
              </w:tc>
              <w:tc>
                <w:tcPr>
                  <w:tcW w:w="881" w:type="pct"/>
                  <w:tcBorders>
                    <w:right w:val="single" w:color="000000" w:sz="4" w:space="0"/>
                  </w:tcBorders>
                  <w:vAlign w:val="center"/>
                </w:tcPr>
                <w:p>
                  <w:pPr>
                    <w:pStyle w:val="68"/>
                    <w:rPr>
                      <w:color w:val="auto"/>
                      <w:lang w:eastAsia="zh-CN"/>
                    </w:rPr>
                  </w:pPr>
                  <w:r>
                    <w:rPr>
                      <w:color w:val="auto"/>
                      <w:lang w:eastAsia="zh-CN"/>
                    </w:rPr>
                    <w:t>0.0003L</w:t>
                  </w:r>
                </w:p>
              </w:tc>
              <w:tc>
                <w:tcPr>
                  <w:tcW w:w="747" w:type="pct"/>
                  <w:tcBorders>
                    <w:right w:val="single" w:color="000000" w:sz="4" w:space="0"/>
                  </w:tcBorders>
                  <w:vAlign w:val="center"/>
                </w:tcPr>
                <w:p>
                  <w:pPr>
                    <w:pStyle w:val="68"/>
                    <w:rPr>
                      <w:color w:val="auto"/>
                    </w:rPr>
                  </w:pPr>
                  <w:r>
                    <w:rPr>
                      <w:rFonts w:hint="eastAsia"/>
                      <w:color w:val="auto"/>
                    </w:rPr>
                    <w:t>≤0</w:t>
                  </w:r>
                  <w:r>
                    <w:rPr>
                      <w:color w:val="auto"/>
                    </w:rPr>
                    <w:t>.002</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lang w:eastAsia="zh-CN"/>
                    </w:rPr>
                  </w:pPr>
                  <w:r>
                    <w:rPr>
                      <w:rFonts w:hint="eastAsia"/>
                      <w:color w:val="auto"/>
                      <w:lang w:eastAsia="zh-CN"/>
                    </w:rPr>
                    <w:t>氨氮</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0</w:t>
                  </w:r>
                  <w:r>
                    <w:rPr>
                      <w:color w:val="auto"/>
                      <w:lang w:eastAsia="zh-CN"/>
                    </w:rPr>
                    <w:t>.032</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0</w:t>
                  </w:r>
                  <w:r>
                    <w:rPr>
                      <w:color w:val="auto"/>
                      <w:lang w:eastAsia="zh-CN"/>
                    </w:rPr>
                    <w:t>.029</w:t>
                  </w:r>
                </w:p>
              </w:tc>
              <w:tc>
                <w:tcPr>
                  <w:tcW w:w="747" w:type="pct"/>
                  <w:tcBorders>
                    <w:right w:val="single" w:color="000000" w:sz="4" w:space="0"/>
                  </w:tcBorders>
                  <w:vAlign w:val="center"/>
                </w:tcPr>
                <w:p>
                  <w:pPr>
                    <w:pStyle w:val="68"/>
                    <w:rPr>
                      <w:color w:val="auto"/>
                    </w:rPr>
                  </w:pPr>
                  <w:r>
                    <w:rPr>
                      <w:rFonts w:hint="eastAsia"/>
                      <w:color w:val="auto"/>
                    </w:rPr>
                    <w:t>≤</w:t>
                  </w:r>
                  <w:r>
                    <w:rPr>
                      <w:color w:val="auto"/>
                      <w:lang w:eastAsia="zh-CN"/>
                    </w:rPr>
                    <w:t>0.5</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lang w:eastAsia="zh-CN"/>
                    </w:rPr>
                  </w:pPr>
                  <w:r>
                    <w:rPr>
                      <w:rFonts w:hint="eastAsia"/>
                      <w:color w:val="auto"/>
                      <w:lang w:eastAsia="zh-CN"/>
                    </w:rPr>
                    <w:t>总大肠菌群</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未检出</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未检出</w:t>
                  </w:r>
                </w:p>
              </w:tc>
              <w:tc>
                <w:tcPr>
                  <w:tcW w:w="747" w:type="pct"/>
                  <w:tcBorders>
                    <w:right w:val="single" w:color="000000" w:sz="4" w:space="0"/>
                  </w:tcBorders>
                  <w:vAlign w:val="center"/>
                </w:tcPr>
                <w:p>
                  <w:pPr>
                    <w:pStyle w:val="68"/>
                    <w:rPr>
                      <w:color w:val="auto"/>
                    </w:rPr>
                  </w:pPr>
                  <w:r>
                    <w:rPr>
                      <w:rFonts w:hint="eastAsia"/>
                      <w:color w:val="auto"/>
                    </w:rPr>
                    <w:t>≤</w:t>
                  </w:r>
                  <w:r>
                    <w:rPr>
                      <w:rFonts w:hint="eastAsia"/>
                      <w:color w:val="auto"/>
                      <w:lang w:eastAsia="zh-CN"/>
                    </w:rPr>
                    <w:t>3</w:t>
                  </w:r>
                  <w:r>
                    <w:rPr>
                      <w:color w:val="auto"/>
                      <w:lang w:eastAsia="zh-CN"/>
                    </w:rPr>
                    <w:t>.0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lang w:eastAsia="zh-CN"/>
                    </w:rPr>
                  </w:pPr>
                  <w:r>
                    <w:rPr>
                      <w:rFonts w:hint="eastAsia"/>
                      <w:color w:val="auto"/>
                      <w:lang w:eastAsia="zh-CN"/>
                    </w:rPr>
                    <w:t>菌落总数</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7</w:t>
                  </w:r>
                  <w:r>
                    <w:rPr>
                      <w:color w:val="auto"/>
                      <w:lang w:eastAsia="zh-CN"/>
                    </w:rPr>
                    <w:t>4</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9</w:t>
                  </w:r>
                  <w:r>
                    <w:rPr>
                      <w:color w:val="auto"/>
                      <w:lang w:eastAsia="zh-CN"/>
                    </w:rPr>
                    <w:t>1</w:t>
                  </w:r>
                </w:p>
              </w:tc>
              <w:tc>
                <w:tcPr>
                  <w:tcW w:w="747" w:type="pct"/>
                  <w:tcBorders>
                    <w:right w:val="single" w:color="000000" w:sz="4" w:space="0"/>
                  </w:tcBorders>
                  <w:vAlign w:val="center"/>
                </w:tcPr>
                <w:p>
                  <w:pPr>
                    <w:pStyle w:val="68"/>
                    <w:rPr>
                      <w:color w:val="auto"/>
                    </w:rPr>
                  </w:pPr>
                  <w:r>
                    <w:rPr>
                      <w:rFonts w:hint="eastAsia"/>
                      <w:color w:val="auto"/>
                    </w:rPr>
                    <w:t>≤</w:t>
                  </w:r>
                  <w:r>
                    <w:rPr>
                      <w:color w:val="auto"/>
                      <w:lang w:eastAsia="zh-CN"/>
                    </w:rPr>
                    <w:t>100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bCs/>
                      <w:color w:val="auto"/>
                    </w:rPr>
                  </w:pPr>
                  <w:r>
                    <w:rPr>
                      <w:rFonts w:hint="eastAsia"/>
                      <w:color w:val="auto"/>
                    </w:rPr>
                    <w:t>硝酸盐氮</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1</w:t>
                  </w:r>
                  <w:r>
                    <w:rPr>
                      <w:color w:val="auto"/>
                      <w:lang w:eastAsia="zh-CN"/>
                    </w:rPr>
                    <w:t>7.6</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1</w:t>
                  </w:r>
                  <w:r>
                    <w:rPr>
                      <w:color w:val="auto"/>
                      <w:lang w:eastAsia="zh-CN"/>
                    </w:rPr>
                    <w:t>7.9</w:t>
                  </w:r>
                </w:p>
              </w:tc>
              <w:tc>
                <w:tcPr>
                  <w:tcW w:w="747" w:type="pct"/>
                  <w:tcBorders>
                    <w:right w:val="single" w:color="000000" w:sz="4" w:space="0"/>
                  </w:tcBorders>
                  <w:vAlign w:val="center"/>
                </w:tcPr>
                <w:p>
                  <w:pPr>
                    <w:pStyle w:val="68"/>
                    <w:rPr>
                      <w:color w:val="auto"/>
                    </w:rPr>
                  </w:pPr>
                  <w:r>
                    <w:rPr>
                      <w:rFonts w:hint="eastAsia"/>
                      <w:color w:val="auto"/>
                    </w:rPr>
                    <w:t>≤2</w:t>
                  </w:r>
                  <w:r>
                    <w:rPr>
                      <w:color w:val="auto"/>
                    </w:rPr>
                    <w:t>0.0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bCs/>
                      <w:color w:val="auto"/>
                    </w:rPr>
                  </w:pPr>
                  <w:r>
                    <w:rPr>
                      <w:rFonts w:hint="eastAsia"/>
                      <w:bCs/>
                      <w:color w:val="auto"/>
                    </w:rPr>
                    <w:t>亚硝酸盐氮</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0.009</w:t>
                  </w:r>
                </w:p>
              </w:tc>
              <w:tc>
                <w:tcPr>
                  <w:tcW w:w="881" w:type="pct"/>
                  <w:tcBorders>
                    <w:right w:val="single" w:color="000000" w:sz="4" w:space="0"/>
                  </w:tcBorders>
                  <w:vAlign w:val="center"/>
                </w:tcPr>
                <w:p>
                  <w:pPr>
                    <w:pStyle w:val="68"/>
                    <w:rPr>
                      <w:color w:val="auto"/>
                    </w:rPr>
                  </w:pPr>
                  <w:r>
                    <w:rPr>
                      <w:color w:val="auto"/>
                    </w:rPr>
                    <w:t>0.008</w:t>
                  </w:r>
                </w:p>
              </w:tc>
              <w:tc>
                <w:tcPr>
                  <w:tcW w:w="747" w:type="pct"/>
                  <w:tcBorders>
                    <w:right w:val="single" w:color="000000" w:sz="4" w:space="0"/>
                  </w:tcBorders>
                  <w:vAlign w:val="center"/>
                </w:tcPr>
                <w:p>
                  <w:pPr>
                    <w:pStyle w:val="68"/>
                    <w:rPr>
                      <w:color w:val="auto"/>
                    </w:rPr>
                  </w:pPr>
                  <w:r>
                    <w:rPr>
                      <w:rFonts w:hint="eastAsia"/>
                      <w:color w:val="auto"/>
                    </w:rPr>
                    <w:t>≤1</w:t>
                  </w:r>
                  <w:r>
                    <w:rPr>
                      <w:color w:val="auto"/>
                    </w:rPr>
                    <w:t>.00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氰化物</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&lt;0.002</w:t>
                  </w:r>
                </w:p>
              </w:tc>
              <w:tc>
                <w:tcPr>
                  <w:tcW w:w="881" w:type="pct"/>
                  <w:tcBorders>
                    <w:right w:val="single" w:color="000000" w:sz="4" w:space="0"/>
                  </w:tcBorders>
                  <w:vAlign w:val="center"/>
                </w:tcPr>
                <w:p>
                  <w:pPr>
                    <w:pStyle w:val="68"/>
                    <w:rPr>
                      <w:color w:val="auto"/>
                    </w:rPr>
                  </w:pPr>
                  <w:r>
                    <w:rPr>
                      <w:color w:val="auto"/>
                    </w:rPr>
                    <w:t>&lt;0.002</w:t>
                  </w:r>
                </w:p>
              </w:tc>
              <w:tc>
                <w:tcPr>
                  <w:tcW w:w="747" w:type="pct"/>
                  <w:tcBorders>
                    <w:right w:val="single" w:color="000000" w:sz="4" w:space="0"/>
                  </w:tcBorders>
                  <w:vAlign w:val="center"/>
                </w:tcPr>
                <w:p>
                  <w:pPr>
                    <w:pStyle w:val="68"/>
                    <w:rPr>
                      <w:color w:val="auto"/>
                    </w:rPr>
                  </w:pPr>
                  <w:r>
                    <w:rPr>
                      <w:rFonts w:hint="eastAsia"/>
                      <w:color w:val="auto"/>
                    </w:rPr>
                    <w:t>≤0.</w:t>
                  </w:r>
                  <w:r>
                    <w:rPr>
                      <w:color w:val="auto"/>
                    </w:rPr>
                    <w:t>05</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氟化物</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0</w:t>
                  </w:r>
                  <w:r>
                    <w:rPr>
                      <w:color w:val="auto"/>
                      <w:lang w:eastAsia="zh-CN"/>
                    </w:rPr>
                    <w:t>.27</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0</w:t>
                  </w:r>
                  <w:r>
                    <w:rPr>
                      <w:color w:val="auto"/>
                      <w:lang w:eastAsia="zh-CN"/>
                    </w:rPr>
                    <w:t>.31</w:t>
                  </w:r>
                </w:p>
              </w:tc>
              <w:tc>
                <w:tcPr>
                  <w:tcW w:w="747" w:type="pct"/>
                  <w:tcBorders>
                    <w:right w:val="single" w:color="000000" w:sz="4" w:space="0"/>
                  </w:tcBorders>
                  <w:vAlign w:val="center"/>
                </w:tcPr>
                <w:p>
                  <w:pPr>
                    <w:pStyle w:val="68"/>
                    <w:rPr>
                      <w:color w:val="auto"/>
                    </w:rPr>
                  </w:pPr>
                  <w:r>
                    <w:rPr>
                      <w:rFonts w:hint="eastAsia"/>
                      <w:color w:val="auto"/>
                    </w:rPr>
                    <w:t>≤1.</w:t>
                  </w:r>
                  <w:r>
                    <w:rPr>
                      <w:color w:val="auto"/>
                    </w:rPr>
                    <w:t>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硫酸盐</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8</w:t>
                  </w:r>
                  <w:r>
                    <w:rPr>
                      <w:color w:val="auto"/>
                      <w:lang w:eastAsia="zh-CN"/>
                    </w:rPr>
                    <w:t>L</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8</w:t>
                  </w:r>
                  <w:r>
                    <w:rPr>
                      <w:color w:val="auto"/>
                      <w:lang w:eastAsia="zh-CN"/>
                    </w:rPr>
                    <w:t>L</w:t>
                  </w:r>
                </w:p>
              </w:tc>
              <w:tc>
                <w:tcPr>
                  <w:tcW w:w="747" w:type="pct"/>
                  <w:tcBorders>
                    <w:right w:val="single" w:color="000000" w:sz="4" w:space="0"/>
                  </w:tcBorders>
                  <w:vAlign w:val="center"/>
                </w:tcPr>
                <w:p>
                  <w:pPr>
                    <w:pStyle w:val="68"/>
                    <w:rPr>
                      <w:color w:val="auto"/>
                    </w:rPr>
                  </w:pPr>
                  <w:r>
                    <w:rPr>
                      <w:rFonts w:hint="eastAsia"/>
                      <w:color w:val="auto"/>
                    </w:rPr>
                    <w:t>≤2</w:t>
                  </w:r>
                  <w:r>
                    <w:rPr>
                      <w:color w:val="auto"/>
                    </w:rPr>
                    <w:t>50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六价铬</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&lt;0.004</w:t>
                  </w:r>
                </w:p>
              </w:tc>
              <w:tc>
                <w:tcPr>
                  <w:tcW w:w="881" w:type="pct"/>
                  <w:tcBorders>
                    <w:right w:val="single" w:color="000000" w:sz="4" w:space="0"/>
                  </w:tcBorders>
                  <w:vAlign w:val="center"/>
                </w:tcPr>
                <w:p>
                  <w:pPr>
                    <w:pStyle w:val="68"/>
                    <w:rPr>
                      <w:color w:val="auto"/>
                    </w:rPr>
                  </w:pPr>
                  <w:r>
                    <w:rPr>
                      <w:color w:val="auto"/>
                    </w:rPr>
                    <w:t>&lt;0.004</w:t>
                  </w:r>
                </w:p>
              </w:tc>
              <w:tc>
                <w:tcPr>
                  <w:tcW w:w="747" w:type="pct"/>
                  <w:tcBorders>
                    <w:right w:val="single" w:color="000000" w:sz="4" w:space="0"/>
                  </w:tcBorders>
                  <w:vAlign w:val="center"/>
                </w:tcPr>
                <w:p>
                  <w:pPr>
                    <w:pStyle w:val="68"/>
                    <w:rPr>
                      <w:color w:val="auto"/>
                    </w:rPr>
                  </w:pPr>
                  <w:r>
                    <w:rPr>
                      <w:rFonts w:hint="eastAsia"/>
                      <w:color w:val="auto"/>
                    </w:rPr>
                    <w:t>≤0</w:t>
                  </w:r>
                  <w:r>
                    <w:rPr>
                      <w:color w:val="auto"/>
                    </w:rPr>
                    <w:t>.05</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氯化物</w:t>
                  </w:r>
                </w:p>
              </w:tc>
              <w:tc>
                <w:tcPr>
                  <w:tcW w:w="958" w:type="pct"/>
                  <w:vMerge w:val="continue"/>
                  <w:vAlign w:val="center"/>
                </w:tcPr>
                <w:p>
                  <w:pPr>
                    <w:pStyle w:val="68"/>
                    <w:rPr>
                      <w:color w:val="auto"/>
                    </w:rPr>
                  </w:pPr>
                </w:p>
              </w:tc>
              <w:tc>
                <w:tcPr>
                  <w:tcW w:w="781" w:type="pct"/>
                  <w:vAlign w:val="center"/>
                </w:tcPr>
                <w:p>
                  <w:pPr>
                    <w:pStyle w:val="68"/>
                    <w:rPr>
                      <w:color w:val="auto"/>
                      <w:lang w:eastAsia="zh-CN"/>
                    </w:rPr>
                  </w:pPr>
                  <w:r>
                    <w:rPr>
                      <w:rFonts w:hint="eastAsia"/>
                      <w:color w:val="auto"/>
                      <w:lang w:eastAsia="zh-CN"/>
                    </w:rPr>
                    <w:t>5</w:t>
                  </w:r>
                  <w:r>
                    <w:rPr>
                      <w:color w:val="auto"/>
                      <w:lang w:eastAsia="zh-CN"/>
                    </w:rPr>
                    <w:t>4</w:t>
                  </w:r>
                </w:p>
              </w:tc>
              <w:tc>
                <w:tcPr>
                  <w:tcW w:w="881" w:type="pct"/>
                  <w:tcBorders>
                    <w:right w:val="single" w:color="000000" w:sz="4" w:space="0"/>
                  </w:tcBorders>
                  <w:vAlign w:val="center"/>
                </w:tcPr>
                <w:p>
                  <w:pPr>
                    <w:pStyle w:val="68"/>
                    <w:rPr>
                      <w:color w:val="auto"/>
                      <w:lang w:eastAsia="zh-CN"/>
                    </w:rPr>
                  </w:pPr>
                  <w:r>
                    <w:rPr>
                      <w:rFonts w:hint="eastAsia"/>
                      <w:color w:val="auto"/>
                      <w:lang w:eastAsia="zh-CN"/>
                    </w:rPr>
                    <w:t>5</w:t>
                  </w:r>
                  <w:r>
                    <w:rPr>
                      <w:color w:val="auto"/>
                      <w:lang w:eastAsia="zh-CN"/>
                    </w:rPr>
                    <w:t>3</w:t>
                  </w:r>
                </w:p>
              </w:tc>
              <w:tc>
                <w:tcPr>
                  <w:tcW w:w="747" w:type="pct"/>
                  <w:tcBorders>
                    <w:right w:val="single" w:color="000000" w:sz="4" w:space="0"/>
                  </w:tcBorders>
                  <w:vAlign w:val="center"/>
                </w:tcPr>
                <w:p>
                  <w:pPr>
                    <w:pStyle w:val="68"/>
                    <w:rPr>
                      <w:color w:val="auto"/>
                    </w:rPr>
                  </w:pPr>
                  <w:r>
                    <w:rPr>
                      <w:rFonts w:hint="eastAsia"/>
                      <w:color w:val="auto"/>
                    </w:rPr>
                    <w:t>≤2</w:t>
                  </w:r>
                  <w:r>
                    <w:rPr>
                      <w:color w:val="auto"/>
                    </w:rPr>
                    <w:t>50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铅（</w:t>
                  </w:r>
                  <w:r>
                    <w:rPr>
                      <w:color w:val="auto"/>
                    </w:rPr>
                    <w:t>μ</w:t>
                  </w:r>
                  <w:r>
                    <w:rPr>
                      <w:rFonts w:hint="eastAsia"/>
                      <w:color w:val="auto"/>
                    </w:rPr>
                    <w:t>g/L）</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4.4×10</w:t>
                  </w:r>
                  <w:r>
                    <w:rPr>
                      <w:color w:val="auto"/>
                      <w:vertAlign w:val="superscript"/>
                    </w:rPr>
                    <w:t>-4</w:t>
                  </w:r>
                </w:p>
              </w:tc>
              <w:tc>
                <w:tcPr>
                  <w:tcW w:w="881" w:type="pct"/>
                  <w:tcBorders>
                    <w:right w:val="single" w:color="000000" w:sz="4" w:space="0"/>
                  </w:tcBorders>
                  <w:vAlign w:val="center"/>
                </w:tcPr>
                <w:p>
                  <w:pPr>
                    <w:pStyle w:val="68"/>
                    <w:rPr>
                      <w:color w:val="auto"/>
                    </w:rPr>
                  </w:pPr>
                  <w:r>
                    <w:rPr>
                      <w:color w:val="auto"/>
                    </w:rPr>
                    <w:t>4.6×10</w:t>
                  </w:r>
                  <w:r>
                    <w:rPr>
                      <w:color w:val="auto"/>
                      <w:vertAlign w:val="superscript"/>
                    </w:rPr>
                    <w:t>-4</w:t>
                  </w:r>
                </w:p>
              </w:tc>
              <w:tc>
                <w:tcPr>
                  <w:tcW w:w="747" w:type="pct"/>
                  <w:tcBorders>
                    <w:right w:val="single" w:color="000000" w:sz="4" w:space="0"/>
                  </w:tcBorders>
                  <w:vAlign w:val="center"/>
                </w:tcPr>
                <w:p>
                  <w:pPr>
                    <w:pStyle w:val="68"/>
                    <w:rPr>
                      <w:color w:val="auto"/>
                    </w:rPr>
                  </w:pPr>
                  <w:r>
                    <w:rPr>
                      <w:rFonts w:hint="eastAsia"/>
                      <w:color w:val="auto"/>
                    </w:rPr>
                    <w:t>≤</w:t>
                  </w:r>
                  <w:r>
                    <w:rPr>
                      <w:color w:val="auto"/>
                    </w:rPr>
                    <w:t>10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镉（</w:t>
                  </w:r>
                  <w:r>
                    <w:rPr>
                      <w:color w:val="auto"/>
                    </w:rPr>
                    <w:t>μ</w:t>
                  </w:r>
                  <w:r>
                    <w:rPr>
                      <w:rFonts w:hint="eastAsia"/>
                      <w:color w:val="auto"/>
                    </w:rPr>
                    <w:t>g/L）</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1.4×10</w:t>
                  </w:r>
                  <w:r>
                    <w:rPr>
                      <w:color w:val="auto"/>
                      <w:vertAlign w:val="superscript"/>
                    </w:rPr>
                    <w:t>-4</w:t>
                  </w:r>
                </w:p>
              </w:tc>
              <w:tc>
                <w:tcPr>
                  <w:tcW w:w="881" w:type="pct"/>
                  <w:tcBorders>
                    <w:right w:val="single" w:color="000000" w:sz="4" w:space="0"/>
                  </w:tcBorders>
                  <w:vAlign w:val="center"/>
                </w:tcPr>
                <w:p>
                  <w:pPr>
                    <w:pStyle w:val="68"/>
                    <w:rPr>
                      <w:color w:val="auto"/>
                    </w:rPr>
                  </w:pPr>
                  <w:r>
                    <w:rPr>
                      <w:color w:val="auto"/>
                    </w:rPr>
                    <w:t>1.0×10</w:t>
                  </w:r>
                  <w:r>
                    <w:rPr>
                      <w:color w:val="auto"/>
                      <w:vertAlign w:val="superscript"/>
                    </w:rPr>
                    <w:t>-4</w:t>
                  </w:r>
                </w:p>
              </w:tc>
              <w:tc>
                <w:tcPr>
                  <w:tcW w:w="747" w:type="pct"/>
                  <w:tcBorders>
                    <w:right w:val="single" w:color="000000" w:sz="4" w:space="0"/>
                  </w:tcBorders>
                  <w:vAlign w:val="center"/>
                </w:tcPr>
                <w:p>
                  <w:pPr>
                    <w:pStyle w:val="68"/>
                    <w:rPr>
                      <w:color w:val="auto"/>
                    </w:rPr>
                  </w:pPr>
                  <w:r>
                    <w:rPr>
                      <w:rFonts w:hint="eastAsia"/>
                      <w:color w:val="auto"/>
                    </w:rPr>
                    <w:t>≤5</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lang w:eastAsia="zh-CN"/>
                    </w:rPr>
                    <w:t>铜</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3.2×10</w:t>
                  </w:r>
                  <w:r>
                    <w:rPr>
                      <w:color w:val="auto"/>
                      <w:vertAlign w:val="superscript"/>
                    </w:rPr>
                    <w:t>-4</w:t>
                  </w:r>
                </w:p>
              </w:tc>
              <w:tc>
                <w:tcPr>
                  <w:tcW w:w="881" w:type="pct"/>
                  <w:tcBorders>
                    <w:right w:val="single" w:color="000000" w:sz="4" w:space="0"/>
                  </w:tcBorders>
                  <w:vAlign w:val="center"/>
                </w:tcPr>
                <w:p>
                  <w:pPr>
                    <w:pStyle w:val="68"/>
                    <w:rPr>
                      <w:color w:val="auto"/>
                    </w:rPr>
                  </w:pPr>
                  <w:r>
                    <w:rPr>
                      <w:color w:val="auto"/>
                    </w:rPr>
                    <w:t>3.2×10</w:t>
                  </w:r>
                  <w:r>
                    <w:rPr>
                      <w:color w:val="auto"/>
                      <w:vertAlign w:val="superscript"/>
                    </w:rPr>
                    <w:t>-4</w:t>
                  </w:r>
                </w:p>
              </w:tc>
              <w:tc>
                <w:tcPr>
                  <w:tcW w:w="747" w:type="pct"/>
                  <w:tcBorders>
                    <w:right w:val="single" w:color="000000" w:sz="4" w:space="0"/>
                  </w:tcBorders>
                  <w:vAlign w:val="center"/>
                </w:tcPr>
                <w:p>
                  <w:pPr>
                    <w:pStyle w:val="68"/>
                    <w:rPr>
                      <w:color w:val="auto"/>
                    </w:rPr>
                  </w:pPr>
                  <w:r>
                    <w:rPr>
                      <w:rFonts w:hint="eastAsia"/>
                      <w:color w:val="auto"/>
                    </w:rPr>
                    <w:t>≤</w:t>
                  </w:r>
                  <w:r>
                    <w:rPr>
                      <w:color w:val="auto"/>
                    </w:rPr>
                    <w:t>1.00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lang w:eastAsia="zh-CN"/>
                    </w:rPr>
                    <w:t>锌</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3.89×10</w:t>
                  </w:r>
                  <w:r>
                    <w:rPr>
                      <w:color w:val="auto"/>
                      <w:vertAlign w:val="superscript"/>
                    </w:rPr>
                    <w:t>-3</w:t>
                  </w:r>
                </w:p>
              </w:tc>
              <w:tc>
                <w:tcPr>
                  <w:tcW w:w="881" w:type="pct"/>
                  <w:tcBorders>
                    <w:right w:val="single" w:color="000000" w:sz="4" w:space="0"/>
                  </w:tcBorders>
                  <w:vAlign w:val="center"/>
                </w:tcPr>
                <w:p>
                  <w:pPr>
                    <w:pStyle w:val="68"/>
                    <w:rPr>
                      <w:color w:val="auto"/>
                    </w:rPr>
                  </w:pPr>
                  <w:r>
                    <w:rPr>
                      <w:color w:val="auto"/>
                    </w:rPr>
                    <w:t>5.53×10</w:t>
                  </w:r>
                  <w:r>
                    <w:rPr>
                      <w:color w:val="auto"/>
                      <w:vertAlign w:val="superscript"/>
                    </w:rPr>
                    <w:t>-3</w:t>
                  </w:r>
                </w:p>
              </w:tc>
              <w:tc>
                <w:tcPr>
                  <w:tcW w:w="747" w:type="pct"/>
                  <w:tcBorders>
                    <w:right w:val="single" w:color="000000" w:sz="4" w:space="0"/>
                  </w:tcBorders>
                  <w:vAlign w:val="center"/>
                </w:tcPr>
                <w:p>
                  <w:pPr>
                    <w:pStyle w:val="68"/>
                    <w:rPr>
                      <w:color w:val="auto"/>
                    </w:rPr>
                  </w:pPr>
                  <w:r>
                    <w:rPr>
                      <w:rFonts w:hint="eastAsia"/>
                      <w:color w:val="auto"/>
                    </w:rPr>
                    <w:t>≤0</w:t>
                  </w:r>
                  <w:r>
                    <w:rPr>
                      <w:color w:val="auto"/>
                    </w:rPr>
                    <w:t>.3</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lang w:eastAsia="zh-CN"/>
                    </w:rPr>
                    <w:t>镍</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2.69×10</w:t>
                  </w:r>
                  <w:r>
                    <w:rPr>
                      <w:color w:val="auto"/>
                      <w:vertAlign w:val="superscript"/>
                    </w:rPr>
                    <w:t>-3</w:t>
                  </w:r>
                </w:p>
              </w:tc>
              <w:tc>
                <w:tcPr>
                  <w:tcW w:w="881" w:type="pct"/>
                  <w:tcBorders>
                    <w:right w:val="single" w:color="000000" w:sz="4" w:space="0"/>
                  </w:tcBorders>
                  <w:vAlign w:val="center"/>
                </w:tcPr>
                <w:p>
                  <w:pPr>
                    <w:pStyle w:val="68"/>
                    <w:rPr>
                      <w:color w:val="auto"/>
                    </w:rPr>
                  </w:pPr>
                  <w:r>
                    <w:rPr>
                      <w:color w:val="auto"/>
                    </w:rPr>
                    <w:t>2.65×10</w:t>
                  </w:r>
                  <w:r>
                    <w:rPr>
                      <w:color w:val="auto"/>
                      <w:vertAlign w:val="superscript"/>
                    </w:rPr>
                    <w:t>-3</w:t>
                  </w:r>
                </w:p>
              </w:tc>
              <w:tc>
                <w:tcPr>
                  <w:tcW w:w="747" w:type="pct"/>
                  <w:tcBorders>
                    <w:right w:val="single" w:color="000000" w:sz="4" w:space="0"/>
                  </w:tcBorders>
                  <w:vAlign w:val="center"/>
                </w:tcPr>
                <w:p>
                  <w:pPr>
                    <w:pStyle w:val="68"/>
                    <w:rPr>
                      <w:color w:val="auto"/>
                    </w:rPr>
                  </w:pPr>
                  <w:r>
                    <w:rPr>
                      <w:rFonts w:hint="eastAsia"/>
                      <w:color w:val="auto"/>
                    </w:rPr>
                    <w:t>≤0</w:t>
                  </w:r>
                  <w:r>
                    <w:rPr>
                      <w:color w:val="auto"/>
                    </w:rPr>
                    <w:t>.10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砷（</w:t>
                  </w:r>
                  <w:r>
                    <w:rPr>
                      <w:color w:val="auto"/>
                    </w:rPr>
                    <w:t>μ</w:t>
                  </w:r>
                  <w:r>
                    <w:rPr>
                      <w:rFonts w:hint="eastAsia"/>
                      <w:color w:val="auto"/>
                    </w:rPr>
                    <w:t>g/L）</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1.03×10</w:t>
                  </w:r>
                  <w:r>
                    <w:rPr>
                      <w:color w:val="auto"/>
                      <w:vertAlign w:val="superscript"/>
                    </w:rPr>
                    <w:t>-3</w:t>
                  </w:r>
                </w:p>
              </w:tc>
              <w:tc>
                <w:tcPr>
                  <w:tcW w:w="881" w:type="pct"/>
                  <w:tcBorders>
                    <w:right w:val="single" w:color="000000" w:sz="4" w:space="0"/>
                  </w:tcBorders>
                  <w:vAlign w:val="center"/>
                </w:tcPr>
                <w:p>
                  <w:pPr>
                    <w:pStyle w:val="68"/>
                    <w:rPr>
                      <w:color w:val="auto"/>
                    </w:rPr>
                  </w:pPr>
                  <w:r>
                    <w:rPr>
                      <w:color w:val="auto"/>
                    </w:rPr>
                    <w:t>1.06×10</w:t>
                  </w:r>
                  <w:r>
                    <w:rPr>
                      <w:color w:val="auto"/>
                      <w:vertAlign w:val="superscript"/>
                    </w:rPr>
                    <w:t>-3</w:t>
                  </w:r>
                </w:p>
              </w:tc>
              <w:tc>
                <w:tcPr>
                  <w:tcW w:w="747" w:type="pct"/>
                  <w:tcBorders>
                    <w:right w:val="single" w:color="000000" w:sz="4" w:space="0"/>
                  </w:tcBorders>
                  <w:vAlign w:val="center"/>
                </w:tcPr>
                <w:p>
                  <w:pPr>
                    <w:pStyle w:val="68"/>
                    <w:rPr>
                      <w:color w:val="auto"/>
                    </w:rPr>
                  </w:pPr>
                  <w:r>
                    <w:rPr>
                      <w:rFonts w:hint="eastAsia"/>
                      <w:color w:val="auto"/>
                    </w:rPr>
                    <w:t>≤1</w:t>
                  </w:r>
                  <w:r>
                    <w:rPr>
                      <w:color w:val="auto"/>
                    </w:rPr>
                    <w:t>0</w:t>
                  </w:r>
                </w:p>
              </w:tc>
              <w:tc>
                <w:tcPr>
                  <w:tcW w:w="560" w:type="pct"/>
                  <w:tcBorders>
                    <w:right w:val="single" w:color="000000" w:sz="4" w:space="0"/>
                  </w:tcBorders>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73" w:type="pct"/>
                  <w:vAlign w:val="center"/>
                </w:tcPr>
                <w:p>
                  <w:pPr>
                    <w:pStyle w:val="68"/>
                    <w:rPr>
                      <w:color w:val="auto"/>
                    </w:rPr>
                  </w:pPr>
                  <w:r>
                    <w:rPr>
                      <w:rFonts w:hint="eastAsia"/>
                      <w:color w:val="auto"/>
                    </w:rPr>
                    <w:t>汞（</w:t>
                  </w:r>
                  <w:r>
                    <w:rPr>
                      <w:color w:val="auto"/>
                    </w:rPr>
                    <w:t>μ</w:t>
                  </w:r>
                  <w:r>
                    <w:rPr>
                      <w:rFonts w:hint="eastAsia"/>
                      <w:color w:val="auto"/>
                    </w:rPr>
                    <w:t>g/L）</w:t>
                  </w:r>
                </w:p>
              </w:tc>
              <w:tc>
                <w:tcPr>
                  <w:tcW w:w="958" w:type="pct"/>
                  <w:vMerge w:val="continue"/>
                  <w:vAlign w:val="center"/>
                </w:tcPr>
                <w:p>
                  <w:pPr>
                    <w:pStyle w:val="68"/>
                    <w:rPr>
                      <w:color w:val="auto"/>
                    </w:rPr>
                  </w:pPr>
                </w:p>
              </w:tc>
              <w:tc>
                <w:tcPr>
                  <w:tcW w:w="781" w:type="pct"/>
                  <w:vAlign w:val="center"/>
                </w:tcPr>
                <w:p>
                  <w:pPr>
                    <w:pStyle w:val="68"/>
                    <w:rPr>
                      <w:color w:val="auto"/>
                    </w:rPr>
                  </w:pPr>
                  <w:r>
                    <w:rPr>
                      <w:color w:val="auto"/>
                    </w:rPr>
                    <w:t>4×10</w:t>
                  </w:r>
                  <w:r>
                    <w:rPr>
                      <w:color w:val="auto"/>
                      <w:vertAlign w:val="superscript"/>
                    </w:rPr>
                    <w:t>-5</w:t>
                  </w:r>
                  <w:r>
                    <w:rPr>
                      <w:color w:val="auto"/>
                    </w:rPr>
                    <w:t>L</w:t>
                  </w:r>
                </w:p>
              </w:tc>
              <w:tc>
                <w:tcPr>
                  <w:tcW w:w="881" w:type="pct"/>
                  <w:tcBorders>
                    <w:right w:val="single" w:color="000000" w:sz="4" w:space="0"/>
                  </w:tcBorders>
                  <w:vAlign w:val="center"/>
                </w:tcPr>
                <w:p>
                  <w:pPr>
                    <w:pStyle w:val="68"/>
                    <w:rPr>
                      <w:color w:val="auto"/>
                    </w:rPr>
                  </w:pPr>
                  <w:r>
                    <w:rPr>
                      <w:color w:val="auto"/>
                    </w:rPr>
                    <w:t>4×10</w:t>
                  </w:r>
                  <w:r>
                    <w:rPr>
                      <w:color w:val="auto"/>
                      <w:vertAlign w:val="superscript"/>
                    </w:rPr>
                    <w:t>-5</w:t>
                  </w:r>
                  <w:r>
                    <w:rPr>
                      <w:color w:val="auto"/>
                    </w:rPr>
                    <w:t>L</w:t>
                  </w:r>
                </w:p>
              </w:tc>
              <w:tc>
                <w:tcPr>
                  <w:tcW w:w="747" w:type="pct"/>
                  <w:tcBorders>
                    <w:right w:val="single" w:color="000000" w:sz="4" w:space="0"/>
                  </w:tcBorders>
                  <w:vAlign w:val="center"/>
                </w:tcPr>
                <w:p>
                  <w:pPr>
                    <w:pStyle w:val="68"/>
                    <w:rPr>
                      <w:color w:val="auto"/>
                    </w:rPr>
                  </w:pPr>
                  <w:r>
                    <w:rPr>
                      <w:rFonts w:hint="eastAsia"/>
                      <w:color w:val="auto"/>
                    </w:rPr>
                    <w:t>≤1</w:t>
                  </w:r>
                </w:p>
              </w:tc>
              <w:tc>
                <w:tcPr>
                  <w:tcW w:w="560" w:type="pct"/>
                  <w:tcBorders>
                    <w:right w:val="single" w:color="000000" w:sz="4" w:space="0"/>
                  </w:tcBorders>
                  <w:vAlign w:val="center"/>
                </w:tcPr>
                <w:p>
                  <w:pPr>
                    <w:pStyle w:val="68"/>
                    <w:rPr>
                      <w:color w:val="auto"/>
                    </w:rPr>
                  </w:pPr>
                  <w:r>
                    <w:rPr>
                      <w:rFonts w:hint="eastAsia"/>
                      <w:color w:val="auto"/>
                    </w:rPr>
                    <w:t>达标</w:t>
                  </w:r>
                </w:p>
              </w:tc>
            </w:tr>
          </w:tbl>
          <w:p>
            <w:pPr>
              <w:ind w:firstLine="480"/>
              <w:rPr>
                <w:color w:val="auto"/>
              </w:rPr>
            </w:pPr>
            <w:r>
              <w:rPr>
                <w:rFonts w:hint="eastAsia"/>
                <w:color w:val="auto"/>
              </w:rPr>
              <w:t>根据上表，项目区西侧地下水井各项</w:t>
            </w:r>
            <w:r>
              <w:rPr>
                <w:color w:val="auto"/>
              </w:rPr>
              <w:t>检测因子均达到</w:t>
            </w:r>
            <w:r>
              <w:rPr>
                <w:rFonts w:hint="eastAsia"/>
                <w:color w:val="auto"/>
              </w:rPr>
              <w:t>《地下水质量标准》（GB/14848-2017）Ⅲ类标准</w:t>
            </w:r>
            <w:r>
              <w:rPr>
                <w:color w:val="auto"/>
              </w:rPr>
              <w:t>。</w:t>
            </w:r>
          </w:p>
          <w:p>
            <w:pPr>
              <w:pStyle w:val="61"/>
              <w:spacing w:before="60" w:after="60"/>
              <w:rPr>
                <w:color w:val="auto"/>
              </w:rPr>
            </w:pPr>
            <w:r>
              <w:rPr>
                <w:rFonts w:hint="eastAsia"/>
                <w:color w:val="auto"/>
              </w:rPr>
              <w:t>3.1.5土壤环境</w:t>
            </w:r>
          </w:p>
          <w:p>
            <w:pPr>
              <w:ind w:firstLine="480"/>
              <w:rPr>
                <w:color w:val="auto"/>
              </w:rPr>
            </w:pPr>
            <w:r>
              <w:rPr>
                <w:rFonts w:hint="eastAsia"/>
                <w:color w:val="auto"/>
              </w:rPr>
              <w:t>根据《建设项目环境影响报告表编制技术指南》（污染影响类）（试行）要求，原则上不开展土壤环境质量监测，可能存在土壤环境污染途径的，应结合污染源、保护目标分布情况开展现状调查以留作背景值，本项目运营期设有危废暂存间，污水处理站部分设施位于地下，设有粗油脂储罐、有机肥原料暂存库，可能导致土壤环境污染，因此，对项目区土壤环境开展监测留作背景值。</w:t>
            </w:r>
          </w:p>
          <w:p>
            <w:pPr>
              <w:ind w:firstLine="480"/>
              <w:rPr>
                <w:color w:val="auto"/>
              </w:rPr>
            </w:pPr>
            <w:r>
              <w:rPr>
                <w:rFonts w:hint="eastAsia"/>
                <w:color w:val="auto"/>
              </w:rPr>
              <w:t>建设单位</w:t>
            </w:r>
            <w:r>
              <w:rPr>
                <w:rFonts w:hint="eastAsia"/>
                <w:color w:val="auto"/>
                <w:shd w:val="clear" w:fill="FFFFFF"/>
                <w:lang w:val="en-US" w:eastAsia="zh-CN"/>
              </w:rPr>
              <w:t>原</w:t>
            </w:r>
            <w:r>
              <w:rPr>
                <w:rFonts w:hint="eastAsia"/>
                <w:color w:val="auto"/>
                <w:lang w:val="en-US" w:eastAsia="zh-CN"/>
              </w:rPr>
              <w:t>环评阶段</w:t>
            </w:r>
            <w:r>
              <w:rPr>
                <w:rFonts w:hint="eastAsia"/>
                <w:color w:val="auto"/>
              </w:rPr>
              <w:t>委托云南中科检测技术有限公司对项目区土壤环境现状开展了监测，共设置3个点位，点位设置情况见下：</w:t>
            </w:r>
          </w:p>
          <w:p>
            <w:pPr>
              <w:pStyle w:val="71"/>
              <w:rPr>
                <w:b/>
                <w:bCs w:val="0"/>
                <w:color w:val="auto"/>
              </w:rPr>
            </w:pPr>
            <w:r>
              <w:rPr>
                <w:rFonts w:hint="eastAsia"/>
                <w:b/>
                <w:bCs w:val="0"/>
                <w:color w:val="auto"/>
              </w:rPr>
              <w:t>表</w:t>
            </w:r>
            <w:r>
              <w:rPr>
                <w:b/>
                <w:bCs w:val="0"/>
                <w:color w:val="auto"/>
              </w:rPr>
              <w:t xml:space="preserve">3.1-8 </w:t>
            </w:r>
            <w:r>
              <w:rPr>
                <w:rFonts w:hint="eastAsia"/>
                <w:b/>
                <w:bCs w:val="0"/>
                <w:color w:val="auto"/>
              </w:rPr>
              <w:t>土壤监测点位一览表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134"/>
              <w:gridCol w:w="1988"/>
              <w:gridCol w:w="1170"/>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pStyle w:val="68"/>
                    <w:rPr>
                      <w:b/>
                      <w:bCs w:val="0"/>
                      <w:color w:val="auto"/>
                    </w:rPr>
                  </w:pPr>
                  <w:r>
                    <w:rPr>
                      <w:rFonts w:hint="eastAsia"/>
                      <w:b/>
                      <w:bCs w:val="0"/>
                      <w:color w:val="auto"/>
                    </w:rPr>
                    <w:t>编号</w:t>
                  </w:r>
                </w:p>
              </w:tc>
              <w:tc>
                <w:tcPr>
                  <w:tcW w:w="723" w:type="pct"/>
                  <w:vAlign w:val="center"/>
                </w:tcPr>
                <w:p>
                  <w:pPr>
                    <w:pStyle w:val="68"/>
                    <w:rPr>
                      <w:b/>
                      <w:bCs w:val="0"/>
                      <w:color w:val="auto"/>
                    </w:rPr>
                  </w:pPr>
                  <w:r>
                    <w:rPr>
                      <w:rFonts w:hint="eastAsia"/>
                      <w:b/>
                      <w:bCs w:val="0"/>
                      <w:color w:val="auto"/>
                    </w:rPr>
                    <w:t>名称</w:t>
                  </w:r>
                </w:p>
              </w:tc>
              <w:tc>
                <w:tcPr>
                  <w:tcW w:w="1267" w:type="pct"/>
                  <w:vAlign w:val="center"/>
                </w:tcPr>
                <w:p>
                  <w:pPr>
                    <w:pStyle w:val="68"/>
                    <w:rPr>
                      <w:b/>
                      <w:bCs w:val="0"/>
                      <w:color w:val="auto"/>
                    </w:rPr>
                  </w:pPr>
                  <w:r>
                    <w:rPr>
                      <w:rFonts w:hint="eastAsia"/>
                      <w:b/>
                      <w:bCs w:val="0"/>
                      <w:color w:val="auto"/>
                    </w:rPr>
                    <w:t>经纬度</w:t>
                  </w:r>
                </w:p>
              </w:tc>
              <w:tc>
                <w:tcPr>
                  <w:tcW w:w="746" w:type="pct"/>
                  <w:vAlign w:val="center"/>
                </w:tcPr>
                <w:p>
                  <w:pPr>
                    <w:pStyle w:val="68"/>
                    <w:rPr>
                      <w:b/>
                      <w:bCs w:val="0"/>
                      <w:color w:val="auto"/>
                    </w:rPr>
                  </w:pPr>
                  <w:r>
                    <w:rPr>
                      <w:rFonts w:hint="eastAsia"/>
                      <w:b/>
                      <w:bCs w:val="0"/>
                      <w:color w:val="auto"/>
                    </w:rPr>
                    <w:t>取样要求</w:t>
                  </w:r>
                </w:p>
              </w:tc>
              <w:tc>
                <w:tcPr>
                  <w:tcW w:w="1736" w:type="pct"/>
                  <w:vAlign w:val="center"/>
                </w:tcPr>
                <w:p>
                  <w:pPr>
                    <w:pStyle w:val="68"/>
                    <w:rPr>
                      <w:b/>
                      <w:bCs w:val="0"/>
                      <w:color w:val="auto"/>
                    </w:rPr>
                  </w:pPr>
                  <w:r>
                    <w:rPr>
                      <w:rFonts w:hint="eastAsia"/>
                      <w:b/>
                      <w:bCs w:val="0"/>
                      <w:color w:val="auto"/>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525" w:type="pct"/>
                  <w:vAlign w:val="center"/>
                </w:tcPr>
                <w:p>
                  <w:pPr>
                    <w:pStyle w:val="68"/>
                    <w:rPr>
                      <w:color w:val="auto"/>
                    </w:rPr>
                  </w:pPr>
                  <w:r>
                    <w:rPr>
                      <w:rFonts w:hint="eastAsia"/>
                      <w:color w:val="auto"/>
                    </w:rPr>
                    <w:t>S</w:t>
                  </w:r>
                  <w:r>
                    <w:rPr>
                      <w:color w:val="auto"/>
                    </w:rPr>
                    <w:t>1</w:t>
                  </w:r>
                </w:p>
              </w:tc>
              <w:tc>
                <w:tcPr>
                  <w:tcW w:w="723" w:type="pct"/>
                  <w:vAlign w:val="center"/>
                </w:tcPr>
                <w:p>
                  <w:pPr>
                    <w:pStyle w:val="68"/>
                    <w:rPr>
                      <w:color w:val="auto"/>
                    </w:rPr>
                  </w:pPr>
                  <w:r>
                    <w:rPr>
                      <w:rFonts w:hint="eastAsia"/>
                      <w:color w:val="auto"/>
                    </w:rPr>
                    <w:t>项目区1#</w:t>
                  </w:r>
                </w:p>
              </w:tc>
              <w:tc>
                <w:tcPr>
                  <w:tcW w:w="1267" w:type="pct"/>
                  <w:vAlign w:val="center"/>
                </w:tcPr>
                <w:p>
                  <w:pPr>
                    <w:pStyle w:val="68"/>
                    <w:rPr>
                      <w:color w:val="auto"/>
                    </w:rPr>
                  </w:pPr>
                  <w:r>
                    <w:rPr>
                      <w:color w:val="auto"/>
                    </w:rPr>
                    <w:t>103°54′49.79874″</w:t>
                  </w:r>
                </w:p>
                <w:p>
                  <w:pPr>
                    <w:pStyle w:val="68"/>
                    <w:rPr>
                      <w:color w:val="auto"/>
                    </w:rPr>
                  </w:pPr>
                  <w:r>
                    <w:rPr>
                      <w:color w:val="auto"/>
                    </w:rPr>
                    <w:t>24°42′45.94122″</w:t>
                  </w:r>
                </w:p>
              </w:tc>
              <w:tc>
                <w:tcPr>
                  <w:tcW w:w="746" w:type="pct"/>
                  <w:vAlign w:val="center"/>
                </w:tcPr>
                <w:p>
                  <w:pPr>
                    <w:pStyle w:val="68"/>
                    <w:rPr>
                      <w:color w:val="auto"/>
                    </w:rPr>
                  </w:pPr>
                  <w:r>
                    <w:rPr>
                      <w:rFonts w:hint="eastAsia"/>
                      <w:color w:val="auto"/>
                    </w:rPr>
                    <w:t>1个表层样</w:t>
                  </w:r>
                </w:p>
              </w:tc>
              <w:tc>
                <w:tcPr>
                  <w:tcW w:w="1736" w:type="pct"/>
                  <w:vAlign w:val="center"/>
                </w:tcPr>
                <w:p>
                  <w:pPr>
                    <w:pStyle w:val="68"/>
                    <w:rPr>
                      <w:color w:val="auto"/>
                    </w:rPr>
                  </w:pPr>
                  <w:r>
                    <w:rPr>
                      <w:color w:val="auto"/>
                    </w:rPr>
                    <w:t>GB36600-2018</w:t>
                  </w:r>
                  <w:r>
                    <w:rPr>
                      <w:rFonts w:hint="eastAsia"/>
                      <w:color w:val="auto"/>
                    </w:rPr>
                    <w:t>中</w:t>
                  </w:r>
                  <w:r>
                    <w:rPr>
                      <w:color w:val="auto"/>
                    </w:rPr>
                    <w:t>45项基本项目</w:t>
                  </w:r>
                  <w:r>
                    <w:rPr>
                      <w:rFonts w:hint="eastAsia"/>
                      <w:color w:val="auto"/>
                    </w:rPr>
                    <w:t>+</w:t>
                  </w:r>
                  <w:r>
                    <w:rPr>
                      <w:color w:val="auto"/>
                    </w:rPr>
                    <w:t>pH</w:t>
                  </w:r>
                  <w:r>
                    <w:rPr>
                      <w:rFonts w:hint="eastAsia"/>
                      <w:color w:val="auto"/>
                      <w:lang w:eastAsia="zh-CN"/>
                    </w:rPr>
                    <w:t>+石油类</w:t>
                  </w:r>
                  <w:r>
                    <w:rPr>
                      <w:rFonts w:hint="eastAsia"/>
                      <w:color w:val="auto"/>
                    </w:rPr>
                    <w:t>，同步测定土壤理化性质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pStyle w:val="68"/>
                    <w:rPr>
                      <w:color w:val="auto"/>
                    </w:rPr>
                  </w:pPr>
                  <w:r>
                    <w:rPr>
                      <w:rFonts w:hint="eastAsia"/>
                      <w:color w:val="auto"/>
                    </w:rPr>
                    <w:t>S</w:t>
                  </w:r>
                  <w:r>
                    <w:rPr>
                      <w:color w:val="auto"/>
                    </w:rPr>
                    <w:t>2</w:t>
                  </w:r>
                </w:p>
              </w:tc>
              <w:tc>
                <w:tcPr>
                  <w:tcW w:w="723" w:type="pct"/>
                  <w:vAlign w:val="center"/>
                </w:tcPr>
                <w:p>
                  <w:pPr>
                    <w:pStyle w:val="68"/>
                    <w:rPr>
                      <w:color w:val="auto"/>
                    </w:rPr>
                  </w:pPr>
                  <w:r>
                    <w:rPr>
                      <w:rFonts w:hint="eastAsia"/>
                      <w:color w:val="auto"/>
                    </w:rPr>
                    <w:t>项目区</w:t>
                  </w:r>
                  <w:r>
                    <w:rPr>
                      <w:color w:val="auto"/>
                    </w:rPr>
                    <w:t>2</w:t>
                  </w:r>
                  <w:r>
                    <w:rPr>
                      <w:rFonts w:hint="eastAsia"/>
                      <w:color w:val="auto"/>
                    </w:rPr>
                    <w:t>#</w:t>
                  </w:r>
                </w:p>
              </w:tc>
              <w:tc>
                <w:tcPr>
                  <w:tcW w:w="1267" w:type="pct"/>
                  <w:vAlign w:val="center"/>
                </w:tcPr>
                <w:p>
                  <w:pPr>
                    <w:pStyle w:val="68"/>
                    <w:rPr>
                      <w:color w:val="auto"/>
                    </w:rPr>
                  </w:pPr>
                  <w:r>
                    <w:rPr>
                      <w:color w:val="auto"/>
                    </w:rPr>
                    <w:t>103°54′50.51811″</w:t>
                  </w:r>
                </w:p>
                <w:p>
                  <w:pPr>
                    <w:pStyle w:val="68"/>
                    <w:rPr>
                      <w:color w:val="auto"/>
                    </w:rPr>
                  </w:pPr>
                  <w:r>
                    <w:rPr>
                      <w:color w:val="auto"/>
                    </w:rPr>
                    <w:t>24°42′46.81508″</w:t>
                  </w:r>
                </w:p>
              </w:tc>
              <w:tc>
                <w:tcPr>
                  <w:tcW w:w="746" w:type="pct"/>
                  <w:vAlign w:val="center"/>
                </w:tcPr>
                <w:p>
                  <w:pPr>
                    <w:pStyle w:val="68"/>
                    <w:rPr>
                      <w:color w:val="auto"/>
                    </w:rPr>
                  </w:pPr>
                  <w:r>
                    <w:rPr>
                      <w:rFonts w:hint="eastAsia"/>
                      <w:color w:val="auto"/>
                    </w:rPr>
                    <w:t>1个表层样</w:t>
                  </w:r>
                </w:p>
              </w:tc>
              <w:tc>
                <w:tcPr>
                  <w:tcW w:w="1736" w:type="pct"/>
                  <w:vMerge w:val="restart"/>
                  <w:vAlign w:val="center"/>
                </w:tcPr>
                <w:p>
                  <w:pPr>
                    <w:pStyle w:val="68"/>
                    <w:rPr>
                      <w:color w:val="auto"/>
                    </w:rPr>
                  </w:pPr>
                  <w:r>
                    <w:rPr>
                      <w:color w:val="auto"/>
                    </w:rPr>
                    <w:t>GB36600-2018</w:t>
                  </w:r>
                  <w:r>
                    <w:rPr>
                      <w:rFonts w:hint="eastAsia"/>
                      <w:color w:val="auto"/>
                    </w:rPr>
                    <w:t>中</w:t>
                  </w:r>
                  <w:r>
                    <w:rPr>
                      <w:rFonts w:hint="eastAsia"/>
                      <w:color w:val="auto"/>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pPr>
                    <w:pStyle w:val="68"/>
                    <w:rPr>
                      <w:color w:val="auto"/>
                    </w:rPr>
                  </w:pPr>
                  <w:r>
                    <w:rPr>
                      <w:rFonts w:hint="eastAsia"/>
                      <w:color w:val="auto"/>
                    </w:rPr>
                    <w:t>S</w:t>
                  </w:r>
                  <w:r>
                    <w:rPr>
                      <w:color w:val="auto"/>
                    </w:rPr>
                    <w:t>3</w:t>
                  </w:r>
                </w:p>
              </w:tc>
              <w:tc>
                <w:tcPr>
                  <w:tcW w:w="723" w:type="pct"/>
                  <w:vAlign w:val="center"/>
                </w:tcPr>
                <w:p>
                  <w:pPr>
                    <w:pStyle w:val="68"/>
                    <w:rPr>
                      <w:color w:val="auto"/>
                    </w:rPr>
                  </w:pPr>
                  <w:r>
                    <w:rPr>
                      <w:rFonts w:hint="eastAsia"/>
                      <w:color w:val="auto"/>
                    </w:rPr>
                    <w:t>项目区</w:t>
                  </w:r>
                  <w:r>
                    <w:rPr>
                      <w:color w:val="auto"/>
                    </w:rPr>
                    <w:t>3</w:t>
                  </w:r>
                  <w:r>
                    <w:rPr>
                      <w:rFonts w:hint="eastAsia"/>
                      <w:color w:val="auto"/>
                    </w:rPr>
                    <w:t>#</w:t>
                  </w:r>
                </w:p>
              </w:tc>
              <w:tc>
                <w:tcPr>
                  <w:tcW w:w="1267" w:type="pct"/>
                  <w:vAlign w:val="center"/>
                </w:tcPr>
                <w:p>
                  <w:pPr>
                    <w:pStyle w:val="68"/>
                    <w:rPr>
                      <w:color w:val="auto"/>
                    </w:rPr>
                  </w:pPr>
                  <w:r>
                    <w:rPr>
                      <w:color w:val="auto"/>
                    </w:rPr>
                    <w:t>103°54′49.58631″</w:t>
                  </w:r>
                </w:p>
                <w:p>
                  <w:pPr>
                    <w:pStyle w:val="68"/>
                    <w:rPr>
                      <w:color w:val="auto"/>
                    </w:rPr>
                  </w:pPr>
                  <w:r>
                    <w:rPr>
                      <w:color w:val="auto"/>
                    </w:rPr>
                    <w:t>24°42′46.97923″</w:t>
                  </w:r>
                </w:p>
              </w:tc>
              <w:tc>
                <w:tcPr>
                  <w:tcW w:w="746" w:type="pct"/>
                  <w:vAlign w:val="center"/>
                </w:tcPr>
                <w:p>
                  <w:pPr>
                    <w:pStyle w:val="68"/>
                    <w:rPr>
                      <w:color w:val="auto"/>
                    </w:rPr>
                  </w:pPr>
                  <w:r>
                    <w:rPr>
                      <w:rFonts w:hint="eastAsia"/>
                      <w:color w:val="auto"/>
                    </w:rPr>
                    <w:t>1个表层样</w:t>
                  </w:r>
                </w:p>
              </w:tc>
              <w:tc>
                <w:tcPr>
                  <w:tcW w:w="1736" w:type="pct"/>
                  <w:vMerge w:val="continue"/>
                  <w:vAlign w:val="center"/>
                </w:tcPr>
                <w:p>
                  <w:pPr>
                    <w:pStyle w:val="68"/>
                    <w:rPr>
                      <w:color w:val="auto"/>
                    </w:rPr>
                  </w:pPr>
                </w:p>
              </w:tc>
            </w:tr>
          </w:tbl>
          <w:p>
            <w:pPr>
              <w:ind w:firstLine="480"/>
              <w:rPr>
                <w:color w:val="auto"/>
              </w:rPr>
            </w:pPr>
            <w:r>
              <w:rPr>
                <w:rFonts w:hint="eastAsia"/>
                <w:color w:val="auto"/>
              </w:rPr>
              <w:t>监测时间及频率：监测1天，取样1次；</w:t>
            </w:r>
          </w:p>
          <w:p>
            <w:pPr>
              <w:ind w:firstLine="480"/>
              <w:rPr>
                <w:color w:val="auto"/>
              </w:rPr>
            </w:pPr>
            <w:r>
              <w:rPr>
                <w:rFonts w:hint="eastAsia"/>
                <w:color w:val="auto"/>
              </w:rPr>
              <w:t>执行标准：执行《土壤环境质量 建设用地土壤污染风险管控标准（试行）》（GB36600-2018）；</w:t>
            </w:r>
          </w:p>
          <w:p>
            <w:pPr>
              <w:ind w:firstLine="480"/>
              <w:rPr>
                <w:color w:val="auto"/>
              </w:rPr>
            </w:pPr>
            <w:r>
              <w:rPr>
                <w:rFonts w:hint="eastAsia"/>
                <w:color w:val="auto"/>
              </w:rPr>
              <w:t>根据监测报告（报告编号Y</w:t>
            </w:r>
            <w:r>
              <w:rPr>
                <w:color w:val="auto"/>
              </w:rPr>
              <w:t>NZKBG</w:t>
            </w:r>
            <w:r>
              <w:rPr>
                <w:rFonts w:hint="eastAsia"/>
                <w:color w:val="auto"/>
              </w:rPr>
              <w:t>2</w:t>
            </w:r>
            <w:r>
              <w:rPr>
                <w:color w:val="auto"/>
              </w:rPr>
              <w:t>0231226011</w:t>
            </w:r>
            <w:r>
              <w:rPr>
                <w:rFonts w:hint="eastAsia"/>
                <w:color w:val="auto"/>
              </w:rPr>
              <w:t>），项目区土壤监测结果见下表。</w:t>
            </w:r>
          </w:p>
          <w:p>
            <w:pPr>
              <w:pStyle w:val="71"/>
              <w:rPr>
                <w:color w:val="auto"/>
              </w:rPr>
            </w:pPr>
            <w:r>
              <w:rPr>
                <w:rFonts w:hint="eastAsia"/>
                <w:color w:val="auto"/>
              </w:rPr>
              <w:t>表</w:t>
            </w:r>
            <w:r>
              <w:rPr>
                <w:color w:val="auto"/>
              </w:rPr>
              <w:t xml:space="preserve">3.1-9 </w:t>
            </w:r>
            <w:r>
              <w:rPr>
                <w:rFonts w:hint="eastAsia"/>
                <w:color w:val="auto"/>
              </w:rPr>
              <w:t>土壤监测数据一览表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89"/>
              <w:gridCol w:w="1278"/>
              <w:gridCol w:w="1278"/>
              <w:gridCol w:w="1264"/>
              <w:gridCol w:w="105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Merge w:val="restart"/>
                  <w:vAlign w:val="center"/>
                </w:tcPr>
                <w:p>
                  <w:pPr>
                    <w:pStyle w:val="68"/>
                    <w:rPr>
                      <w:b/>
                      <w:bCs/>
                      <w:color w:val="auto"/>
                    </w:rPr>
                  </w:pPr>
                  <w:r>
                    <w:rPr>
                      <w:rFonts w:hint="eastAsia"/>
                      <w:b/>
                      <w:bCs/>
                      <w:color w:val="auto"/>
                    </w:rPr>
                    <w:t>项目名称</w:t>
                  </w:r>
                </w:p>
              </w:tc>
              <w:tc>
                <w:tcPr>
                  <w:tcW w:w="2435" w:type="pct"/>
                  <w:gridSpan w:val="3"/>
                  <w:vAlign w:val="center"/>
                </w:tcPr>
                <w:p>
                  <w:pPr>
                    <w:pStyle w:val="68"/>
                    <w:rPr>
                      <w:b/>
                      <w:bCs/>
                      <w:color w:val="auto"/>
                    </w:rPr>
                  </w:pPr>
                  <w:r>
                    <w:rPr>
                      <w:rFonts w:hint="eastAsia"/>
                      <w:b/>
                      <w:bCs/>
                      <w:color w:val="auto"/>
                    </w:rPr>
                    <w:t>监测值</w:t>
                  </w:r>
                </w:p>
              </w:tc>
              <w:tc>
                <w:tcPr>
                  <w:tcW w:w="672" w:type="pct"/>
                  <w:vMerge w:val="restart"/>
                  <w:vAlign w:val="center"/>
                </w:tcPr>
                <w:p>
                  <w:pPr>
                    <w:pStyle w:val="68"/>
                    <w:rPr>
                      <w:b/>
                      <w:bCs/>
                      <w:color w:val="auto"/>
                    </w:rPr>
                  </w:pPr>
                  <w:r>
                    <w:rPr>
                      <w:rFonts w:hint="eastAsia"/>
                      <w:b/>
                      <w:bCs/>
                      <w:color w:val="auto"/>
                    </w:rPr>
                    <w:t>风险筛选值</w:t>
                  </w:r>
                </w:p>
              </w:tc>
              <w:tc>
                <w:tcPr>
                  <w:tcW w:w="561" w:type="pct"/>
                  <w:vMerge w:val="restart"/>
                  <w:vAlign w:val="center"/>
                </w:tcPr>
                <w:p>
                  <w:pPr>
                    <w:pStyle w:val="68"/>
                    <w:rPr>
                      <w:b/>
                      <w:bCs/>
                      <w:color w:val="auto"/>
                    </w:rPr>
                  </w:pPr>
                  <w:r>
                    <w:rPr>
                      <w:rFonts w:hint="eastAsia"/>
                      <w:b/>
                      <w:bCs/>
                      <w:color w:val="auto"/>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332" w:type="pct"/>
                  <w:vMerge w:val="continue"/>
                  <w:vAlign w:val="center"/>
                </w:tcPr>
                <w:p>
                  <w:pPr>
                    <w:pStyle w:val="68"/>
                    <w:rPr>
                      <w:color w:val="auto"/>
                    </w:rPr>
                  </w:pPr>
                </w:p>
              </w:tc>
              <w:tc>
                <w:tcPr>
                  <w:tcW w:w="815" w:type="pct"/>
                  <w:vAlign w:val="center"/>
                </w:tcPr>
                <w:p>
                  <w:pPr>
                    <w:pStyle w:val="68"/>
                    <w:rPr>
                      <w:b/>
                      <w:bCs/>
                      <w:color w:val="auto"/>
                    </w:rPr>
                  </w:pPr>
                  <w:r>
                    <w:rPr>
                      <w:rFonts w:hint="eastAsia"/>
                      <w:b/>
                      <w:bCs/>
                      <w:color w:val="auto"/>
                    </w:rPr>
                    <w:t>项目区1#</w:t>
                  </w:r>
                </w:p>
              </w:tc>
              <w:tc>
                <w:tcPr>
                  <w:tcW w:w="815" w:type="pct"/>
                  <w:vAlign w:val="center"/>
                </w:tcPr>
                <w:p>
                  <w:pPr>
                    <w:pStyle w:val="68"/>
                    <w:rPr>
                      <w:b/>
                      <w:bCs/>
                      <w:color w:val="auto"/>
                    </w:rPr>
                  </w:pPr>
                  <w:r>
                    <w:rPr>
                      <w:rFonts w:hint="eastAsia"/>
                      <w:b/>
                      <w:bCs/>
                      <w:color w:val="auto"/>
                    </w:rPr>
                    <w:t>项目区2#</w:t>
                  </w:r>
                </w:p>
              </w:tc>
              <w:tc>
                <w:tcPr>
                  <w:tcW w:w="806" w:type="pct"/>
                  <w:vAlign w:val="center"/>
                </w:tcPr>
                <w:p>
                  <w:pPr>
                    <w:pStyle w:val="68"/>
                    <w:rPr>
                      <w:b/>
                      <w:bCs/>
                      <w:color w:val="auto"/>
                    </w:rPr>
                  </w:pPr>
                  <w:r>
                    <w:rPr>
                      <w:rFonts w:hint="eastAsia"/>
                      <w:b/>
                      <w:bCs/>
                      <w:color w:val="auto"/>
                    </w:rPr>
                    <w:t>项目区3#</w:t>
                  </w:r>
                </w:p>
              </w:tc>
              <w:tc>
                <w:tcPr>
                  <w:tcW w:w="672" w:type="pct"/>
                  <w:vMerge w:val="continue"/>
                  <w:vAlign w:val="center"/>
                </w:tcPr>
                <w:p>
                  <w:pPr>
                    <w:pStyle w:val="68"/>
                    <w:rPr>
                      <w:color w:val="auto"/>
                    </w:rPr>
                  </w:pPr>
                </w:p>
              </w:tc>
              <w:tc>
                <w:tcPr>
                  <w:tcW w:w="561"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p</w:t>
                  </w:r>
                  <w:r>
                    <w:rPr>
                      <w:color w:val="auto"/>
                    </w:rPr>
                    <w:t>H</w:t>
                  </w:r>
                </w:p>
              </w:tc>
              <w:tc>
                <w:tcPr>
                  <w:tcW w:w="815" w:type="pct"/>
                  <w:vAlign w:val="center"/>
                </w:tcPr>
                <w:p>
                  <w:pPr>
                    <w:pStyle w:val="68"/>
                    <w:rPr>
                      <w:color w:val="auto"/>
                    </w:rPr>
                  </w:pPr>
                  <w:r>
                    <w:rPr>
                      <w:color w:val="auto"/>
                    </w:rPr>
                    <w:t>8.18</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rFonts w:hint="eastAsia"/>
                      <w:color w:val="auto"/>
                    </w:rPr>
                    <w:t>/</w:t>
                  </w:r>
                </w:p>
              </w:tc>
              <w:tc>
                <w:tcPr>
                  <w:tcW w:w="561" w:type="pct"/>
                  <w:vAlign w:val="center"/>
                </w:tcPr>
                <w:p>
                  <w:pPr>
                    <w:pStyle w:val="68"/>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砷</w:t>
                  </w:r>
                </w:p>
              </w:tc>
              <w:tc>
                <w:tcPr>
                  <w:tcW w:w="815" w:type="pct"/>
                  <w:vAlign w:val="center"/>
                </w:tcPr>
                <w:p>
                  <w:pPr>
                    <w:pStyle w:val="68"/>
                    <w:rPr>
                      <w:color w:val="auto"/>
                    </w:rPr>
                  </w:pPr>
                  <w:r>
                    <w:rPr>
                      <w:color w:val="auto"/>
                    </w:rPr>
                    <w:t>42.6</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镉</w:t>
                  </w:r>
                </w:p>
              </w:tc>
              <w:tc>
                <w:tcPr>
                  <w:tcW w:w="815" w:type="pct"/>
                  <w:vAlign w:val="center"/>
                </w:tcPr>
                <w:p>
                  <w:pPr>
                    <w:pStyle w:val="68"/>
                    <w:rPr>
                      <w:color w:val="auto"/>
                      <w:lang w:eastAsia="zh-CN"/>
                    </w:rPr>
                  </w:pPr>
                  <w:r>
                    <w:rPr>
                      <w:rFonts w:hint="eastAsia"/>
                      <w:color w:val="auto"/>
                      <w:lang w:eastAsia="zh-CN"/>
                    </w:rPr>
                    <w:t>0</w:t>
                  </w:r>
                  <w:r>
                    <w:rPr>
                      <w:color w:val="auto"/>
                      <w:lang w:eastAsia="zh-CN"/>
                    </w:rPr>
                    <w:t>.18</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铬（六价）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5.7</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铜</w:t>
                  </w:r>
                </w:p>
              </w:tc>
              <w:tc>
                <w:tcPr>
                  <w:tcW w:w="815" w:type="pct"/>
                  <w:vAlign w:val="center"/>
                </w:tcPr>
                <w:p>
                  <w:pPr>
                    <w:pStyle w:val="68"/>
                    <w:rPr>
                      <w:color w:val="auto"/>
                    </w:rPr>
                  </w:pPr>
                  <w:r>
                    <w:rPr>
                      <w:color w:val="auto"/>
                    </w:rPr>
                    <w:t>40</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18000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铅</w:t>
                  </w:r>
                </w:p>
              </w:tc>
              <w:tc>
                <w:tcPr>
                  <w:tcW w:w="815" w:type="pct"/>
                  <w:vAlign w:val="center"/>
                </w:tcPr>
                <w:p>
                  <w:pPr>
                    <w:pStyle w:val="68"/>
                    <w:rPr>
                      <w:color w:val="auto"/>
                    </w:rPr>
                  </w:pPr>
                  <w:r>
                    <w:rPr>
                      <w:color w:val="auto"/>
                    </w:rPr>
                    <w:t>54</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800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汞</w:t>
                  </w:r>
                </w:p>
              </w:tc>
              <w:tc>
                <w:tcPr>
                  <w:tcW w:w="815" w:type="pct"/>
                  <w:vAlign w:val="center"/>
                </w:tcPr>
                <w:p>
                  <w:pPr>
                    <w:pStyle w:val="68"/>
                    <w:rPr>
                      <w:color w:val="auto"/>
                    </w:rPr>
                  </w:pPr>
                  <w:r>
                    <w:rPr>
                      <w:color w:val="auto"/>
                    </w:rPr>
                    <w:t>0.250</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38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镍</w:t>
                  </w:r>
                </w:p>
              </w:tc>
              <w:tc>
                <w:tcPr>
                  <w:tcW w:w="815" w:type="pct"/>
                  <w:vAlign w:val="center"/>
                </w:tcPr>
                <w:p>
                  <w:pPr>
                    <w:pStyle w:val="68"/>
                    <w:rPr>
                      <w:color w:val="auto"/>
                    </w:rPr>
                  </w:pPr>
                  <w:r>
                    <w:rPr>
                      <w:color w:val="auto"/>
                    </w:rPr>
                    <w:t>60</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900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四氯化碳</w:t>
                  </w:r>
                </w:p>
              </w:tc>
              <w:tc>
                <w:tcPr>
                  <w:tcW w:w="815" w:type="pct"/>
                  <w:vAlign w:val="center"/>
                </w:tcPr>
                <w:p>
                  <w:pPr>
                    <w:pStyle w:val="68"/>
                    <w:rPr>
                      <w:color w:val="auto"/>
                      <w:lang w:eastAsia="zh-CN"/>
                    </w:rPr>
                  </w:pPr>
                  <w:r>
                    <w:rPr>
                      <w:rFonts w:hint="eastAsia"/>
                      <w:color w:val="auto"/>
                      <w:lang w:eastAsia="zh-CN"/>
                    </w:rPr>
                    <w:t>0</w:t>
                  </w:r>
                  <w:r>
                    <w:rPr>
                      <w:color w:val="auto"/>
                      <w:lang w:eastAsia="zh-CN"/>
                    </w:rPr>
                    <w:t>.0015</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氯仿</w:t>
                  </w:r>
                </w:p>
              </w:tc>
              <w:tc>
                <w:tcPr>
                  <w:tcW w:w="815" w:type="pct"/>
                  <w:vAlign w:val="center"/>
                </w:tcPr>
                <w:p>
                  <w:pPr>
                    <w:pStyle w:val="68"/>
                    <w:rPr>
                      <w:color w:val="auto"/>
                      <w:lang w:eastAsia="zh-CN"/>
                    </w:rPr>
                  </w:pPr>
                  <w:r>
                    <w:rPr>
                      <w:rFonts w:hint="eastAsia"/>
                      <w:color w:val="auto"/>
                      <w:lang w:eastAsia="zh-CN"/>
                    </w:rPr>
                    <w:t>0</w:t>
                  </w:r>
                  <w:r>
                    <w:rPr>
                      <w:color w:val="auto"/>
                      <w:lang w:eastAsia="zh-CN"/>
                    </w:rPr>
                    <w:t>.0026</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0.9</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氯甲烷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37</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w:t>
                  </w:r>
                  <w:r>
                    <w:rPr>
                      <w:rFonts w:hint="eastAsia"/>
                      <w:color w:val="auto"/>
                    </w:rPr>
                    <w:t>二氯乙烷</w:t>
                  </w:r>
                </w:p>
              </w:tc>
              <w:tc>
                <w:tcPr>
                  <w:tcW w:w="815" w:type="pct"/>
                  <w:vAlign w:val="center"/>
                </w:tcPr>
                <w:p>
                  <w:pPr>
                    <w:pStyle w:val="68"/>
                    <w:rPr>
                      <w:color w:val="auto"/>
                    </w:rPr>
                  </w:pPr>
                  <w:r>
                    <w:rPr>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9</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1,2-</w:t>
                  </w:r>
                  <w:r>
                    <w:rPr>
                      <w:rFonts w:hint="eastAsia"/>
                      <w:color w:val="auto"/>
                    </w:rPr>
                    <w:t>二氯乙烷</w:t>
                  </w:r>
                </w:p>
              </w:tc>
              <w:tc>
                <w:tcPr>
                  <w:tcW w:w="815" w:type="pct"/>
                  <w:vAlign w:val="center"/>
                </w:tcPr>
                <w:p>
                  <w:pPr>
                    <w:pStyle w:val="68"/>
                    <w:rPr>
                      <w:color w:val="auto"/>
                    </w:rPr>
                  </w:pPr>
                  <w:r>
                    <w:rPr>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w:t>
                  </w:r>
                  <w:r>
                    <w:rPr>
                      <w:rFonts w:hint="eastAsia"/>
                      <w:color w:val="auto"/>
                    </w:rPr>
                    <w:t>二氯乙烯</w:t>
                  </w:r>
                </w:p>
              </w:tc>
              <w:tc>
                <w:tcPr>
                  <w:tcW w:w="815" w:type="pct"/>
                  <w:vAlign w:val="center"/>
                </w:tcPr>
                <w:p>
                  <w:pPr>
                    <w:pStyle w:val="68"/>
                    <w:rPr>
                      <w:color w:val="auto"/>
                    </w:rPr>
                  </w:pPr>
                  <w:r>
                    <w:rPr>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66</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顺</w:t>
                  </w:r>
                  <w:r>
                    <w:rPr>
                      <w:color w:val="auto"/>
                    </w:rPr>
                    <w:t>-1,2-</w:t>
                  </w:r>
                  <w:r>
                    <w:rPr>
                      <w:rFonts w:hint="eastAsia"/>
                      <w:color w:val="auto"/>
                    </w:rPr>
                    <w:t>二氯乙烯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596</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反</w:t>
                  </w:r>
                  <w:r>
                    <w:rPr>
                      <w:color w:val="auto"/>
                    </w:rPr>
                    <w:t>-1,2-</w:t>
                  </w:r>
                  <w:r>
                    <w:rPr>
                      <w:rFonts w:hint="eastAsia"/>
                      <w:color w:val="auto"/>
                    </w:rPr>
                    <w:t>二氯乙烯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54</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二氯甲烷</w:t>
                  </w:r>
                </w:p>
              </w:tc>
              <w:tc>
                <w:tcPr>
                  <w:tcW w:w="815" w:type="pct"/>
                  <w:vAlign w:val="center"/>
                </w:tcPr>
                <w:p>
                  <w:pPr>
                    <w:pStyle w:val="68"/>
                    <w:rPr>
                      <w:color w:val="auto"/>
                      <w:lang w:eastAsia="zh-CN"/>
                    </w:rPr>
                  </w:pPr>
                  <w:r>
                    <w:rPr>
                      <w:rFonts w:hint="eastAsia"/>
                      <w:color w:val="auto"/>
                      <w:lang w:eastAsia="zh-CN"/>
                    </w:rPr>
                    <w:t>0</w:t>
                  </w:r>
                  <w:r>
                    <w:rPr>
                      <w:color w:val="auto"/>
                      <w:lang w:eastAsia="zh-CN"/>
                    </w:rPr>
                    <w:t>.0069</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616</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1,2-</w:t>
                  </w:r>
                  <w:r>
                    <w:rPr>
                      <w:rFonts w:hint="eastAsia"/>
                      <w:color w:val="auto"/>
                    </w:rPr>
                    <w:t>二氯丙烷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1,1,1,2-</w:t>
                  </w:r>
                  <w:r>
                    <w:rPr>
                      <w:rFonts w:hint="eastAsia"/>
                      <w:color w:val="auto"/>
                    </w:rPr>
                    <w:t>四氯乙烷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1,1,2,2-</w:t>
                  </w:r>
                  <w:r>
                    <w:rPr>
                      <w:rFonts w:hint="eastAsia"/>
                      <w:color w:val="auto"/>
                    </w:rPr>
                    <w:t>四氯乙烷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四氯乙烯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53</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1,1,1-</w:t>
                  </w:r>
                  <w:r>
                    <w:rPr>
                      <w:rFonts w:hint="eastAsia"/>
                      <w:color w:val="auto"/>
                    </w:rPr>
                    <w:t>三氯乙烷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840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1,1,2-</w:t>
                  </w:r>
                  <w:r>
                    <w:rPr>
                      <w:rFonts w:hint="eastAsia"/>
                      <w:color w:val="auto"/>
                    </w:rPr>
                    <w:t>三氯乙烷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三氯乙烯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1,2,3-</w:t>
                  </w:r>
                  <w:r>
                    <w:rPr>
                      <w:rFonts w:hint="eastAsia"/>
                      <w:color w:val="auto"/>
                    </w:rPr>
                    <w:t>三氯丙烷</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0.5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0.43</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4</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氯苯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270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1,2-</w:t>
                  </w:r>
                  <w:r>
                    <w:rPr>
                      <w:rFonts w:hint="eastAsia"/>
                      <w:color w:val="auto"/>
                    </w:rPr>
                    <w:t>二氯苯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560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1,4-</w:t>
                  </w:r>
                  <w:r>
                    <w:rPr>
                      <w:rFonts w:hint="eastAsia"/>
                      <w:color w:val="auto"/>
                    </w:rPr>
                    <w:t>二氯苯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乙苯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28</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苯乙烯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1290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甲苯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1200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间二甲苯</w:t>
                  </w:r>
                  <w:r>
                    <w:rPr>
                      <w:color w:val="auto"/>
                    </w:rPr>
                    <w:t>+</w:t>
                  </w:r>
                  <w:r>
                    <w:rPr>
                      <w:rFonts w:hint="eastAsia"/>
                      <w:color w:val="auto"/>
                    </w:rPr>
                    <w:t>对二甲苯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570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邻二甲苯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640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硝基苯</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76</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苯胺</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260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color w:val="auto"/>
                    </w:rPr>
                    <w:t>2-</w:t>
                  </w:r>
                  <w:r>
                    <w:rPr>
                      <w:rFonts w:hint="eastAsia"/>
                      <w:color w:val="auto"/>
                    </w:rPr>
                    <w:t>氯酚</w:t>
                  </w:r>
                </w:p>
              </w:tc>
              <w:tc>
                <w:tcPr>
                  <w:tcW w:w="815" w:type="pct"/>
                  <w:vAlign w:val="center"/>
                </w:tcPr>
                <w:p>
                  <w:pPr>
                    <w:pStyle w:val="68"/>
                    <w:rPr>
                      <w:color w:val="auto"/>
                    </w:rPr>
                  </w:pPr>
                  <w:r>
                    <w:rPr>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2256</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苯并</w:t>
                  </w:r>
                  <w:r>
                    <w:rPr>
                      <w:color w:val="auto"/>
                    </w:rPr>
                    <w:t>[α]</w:t>
                  </w:r>
                  <w:r>
                    <w:rPr>
                      <w:rFonts w:hint="eastAsia"/>
                      <w:color w:val="auto"/>
                    </w:rPr>
                    <w:t>蒽</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苯并</w:t>
                  </w:r>
                  <w:r>
                    <w:rPr>
                      <w:color w:val="auto"/>
                    </w:rPr>
                    <w:t>[α]</w:t>
                  </w:r>
                  <w:r>
                    <w:rPr>
                      <w:rFonts w:hint="eastAsia"/>
                      <w:color w:val="auto"/>
                      <w:shd w:val="clear" w:fill="FFFFFF"/>
                    </w:rPr>
                    <w:t>芘</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苯并</w:t>
                  </w:r>
                  <w:r>
                    <w:rPr>
                      <w:color w:val="auto"/>
                    </w:rPr>
                    <w:t>[b]</w:t>
                  </w:r>
                  <w:r>
                    <w:rPr>
                      <w:rFonts w:hint="eastAsia"/>
                      <w:color w:val="auto"/>
                    </w:rPr>
                    <w:t>荧蒽</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苯并</w:t>
                  </w:r>
                  <w:r>
                    <w:rPr>
                      <w:color w:val="auto"/>
                    </w:rPr>
                    <w:t>[k]</w:t>
                  </w:r>
                  <w:r>
                    <w:rPr>
                      <w:rFonts w:hint="eastAsia"/>
                      <w:color w:val="auto"/>
                    </w:rPr>
                    <w:t>荧蒽</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151</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䓛</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1293</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二苯并</w:t>
                  </w:r>
                  <w:r>
                    <w:rPr>
                      <w:color w:val="auto"/>
                    </w:rPr>
                    <w:t>[α,h]</w:t>
                  </w:r>
                  <w:r>
                    <w:rPr>
                      <w:rFonts w:hint="eastAsia"/>
                      <w:color w:val="auto"/>
                    </w:rPr>
                    <w:t>蒽</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1332" w:type="pct"/>
                  <w:vAlign w:val="center"/>
                </w:tcPr>
                <w:p>
                  <w:pPr>
                    <w:pStyle w:val="68"/>
                    <w:rPr>
                      <w:color w:val="auto"/>
                    </w:rPr>
                  </w:pPr>
                  <w:r>
                    <w:rPr>
                      <w:rFonts w:hint="eastAsia"/>
                      <w:color w:val="auto"/>
                      <w:shd w:val="clear" w:fill="FFFFFF"/>
                    </w:rPr>
                    <w:t>茚</w:t>
                  </w:r>
                  <w:r>
                    <w:rPr>
                      <w:rFonts w:hint="eastAsia"/>
                      <w:color w:val="auto"/>
                    </w:rPr>
                    <w:t>并</w:t>
                  </w:r>
                  <w:r>
                    <w:rPr>
                      <w:color w:val="auto"/>
                    </w:rPr>
                    <w:t>[1,2,3-cd]</w:t>
                  </w:r>
                  <w:r>
                    <w:rPr>
                      <w:rFonts w:hint="eastAsia"/>
                      <w:color w:val="auto"/>
                      <w:shd w:val="clear" w:fill="FFFFFF"/>
                    </w:rPr>
                    <w:t>芘</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15</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rPr>
                    <w:t>萘</w:t>
                  </w:r>
                </w:p>
              </w:tc>
              <w:tc>
                <w:tcPr>
                  <w:tcW w:w="815" w:type="pct"/>
                  <w:vAlign w:val="center"/>
                </w:tcPr>
                <w:p>
                  <w:pPr>
                    <w:pStyle w:val="68"/>
                    <w:rPr>
                      <w:color w:val="auto"/>
                    </w:rPr>
                  </w:pPr>
                  <w:r>
                    <w:rPr>
                      <w:rFonts w:hint="eastAsia"/>
                      <w:color w:val="auto"/>
                    </w:rPr>
                    <w:t>未检出</w:t>
                  </w:r>
                </w:p>
              </w:tc>
              <w:tc>
                <w:tcPr>
                  <w:tcW w:w="815" w:type="pct"/>
                  <w:vAlign w:val="center"/>
                </w:tcPr>
                <w:p>
                  <w:pPr>
                    <w:pStyle w:val="68"/>
                    <w:rPr>
                      <w:color w:val="auto"/>
                    </w:rPr>
                  </w:pPr>
                  <w:r>
                    <w:rPr>
                      <w:color w:val="auto"/>
                    </w:rPr>
                    <w:t>/</w:t>
                  </w:r>
                </w:p>
              </w:tc>
              <w:tc>
                <w:tcPr>
                  <w:tcW w:w="806" w:type="pct"/>
                  <w:vAlign w:val="center"/>
                </w:tcPr>
                <w:p>
                  <w:pPr>
                    <w:pStyle w:val="68"/>
                    <w:rPr>
                      <w:color w:val="auto"/>
                    </w:rPr>
                  </w:pPr>
                  <w:r>
                    <w:rPr>
                      <w:color w:val="auto"/>
                    </w:rPr>
                    <w:t>/</w:t>
                  </w:r>
                </w:p>
              </w:tc>
              <w:tc>
                <w:tcPr>
                  <w:tcW w:w="672" w:type="pct"/>
                  <w:vAlign w:val="center"/>
                </w:tcPr>
                <w:p>
                  <w:pPr>
                    <w:pStyle w:val="68"/>
                    <w:rPr>
                      <w:color w:val="auto"/>
                    </w:rPr>
                  </w:pPr>
                  <w:r>
                    <w:rPr>
                      <w:color w:val="auto"/>
                    </w:rPr>
                    <w:t>70</w:t>
                  </w:r>
                </w:p>
              </w:tc>
              <w:tc>
                <w:tcPr>
                  <w:tcW w:w="561" w:type="pct"/>
                  <w:vAlign w:val="center"/>
                </w:tcPr>
                <w:p>
                  <w:pPr>
                    <w:pStyle w:val="68"/>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332" w:type="pct"/>
                  <w:vAlign w:val="center"/>
                </w:tcPr>
                <w:p>
                  <w:pPr>
                    <w:pStyle w:val="68"/>
                    <w:rPr>
                      <w:color w:val="auto"/>
                    </w:rPr>
                  </w:pPr>
                  <w:r>
                    <w:rPr>
                      <w:rFonts w:hint="eastAsia"/>
                      <w:color w:val="auto"/>
                      <w:lang w:eastAsia="zh-CN"/>
                    </w:rPr>
                    <w:t>石油烃</w:t>
                  </w:r>
                </w:p>
              </w:tc>
              <w:tc>
                <w:tcPr>
                  <w:tcW w:w="815" w:type="pct"/>
                  <w:vAlign w:val="center"/>
                </w:tcPr>
                <w:p>
                  <w:pPr>
                    <w:pStyle w:val="68"/>
                    <w:rPr>
                      <w:color w:val="auto"/>
                    </w:rPr>
                  </w:pPr>
                  <w:r>
                    <w:rPr>
                      <w:color w:val="auto"/>
                    </w:rPr>
                    <w:t>10</w:t>
                  </w:r>
                </w:p>
              </w:tc>
              <w:tc>
                <w:tcPr>
                  <w:tcW w:w="815" w:type="pct"/>
                  <w:vAlign w:val="center"/>
                </w:tcPr>
                <w:p>
                  <w:pPr>
                    <w:pStyle w:val="68"/>
                    <w:rPr>
                      <w:color w:val="auto"/>
                    </w:rPr>
                  </w:pPr>
                  <w:r>
                    <w:rPr>
                      <w:color w:val="auto"/>
                    </w:rPr>
                    <w:t>10</w:t>
                  </w:r>
                </w:p>
              </w:tc>
              <w:tc>
                <w:tcPr>
                  <w:tcW w:w="806" w:type="pct"/>
                  <w:vAlign w:val="center"/>
                </w:tcPr>
                <w:p>
                  <w:pPr>
                    <w:pStyle w:val="68"/>
                    <w:rPr>
                      <w:color w:val="auto"/>
                    </w:rPr>
                  </w:pPr>
                  <w:r>
                    <w:rPr>
                      <w:color w:val="auto"/>
                    </w:rPr>
                    <w:t>8</w:t>
                  </w:r>
                </w:p>
              </w:tc>
              <w:tc>
                <w:tcPr>
                  <w:tcW w:w="672" w:type="pct"/>
                  <w:vAlign w:val="center"/>
                </w:tcPr>
                <w:p>
                  <w:pPr>
                    <w:pStyle w:val="68"/>
                    <w:rPr>
                      <w:color w:val="auto"/>
                    </w:rPr>
                  </w:pPr>
                  <w:r>
                    <w:rPr>
                      <w:color w:val="auto"/>
                    </w:rPr>
                    <w:t>4500</w:t>
                  </w:r>
                </w:p>
              </w:tc>
              <w:tc>
                <w:tcPr>
                  <w:tcW w:w="561" w:type="pct"/>
                  <w:vAlign w:val="center"/>
                </w:tcPr>
                <w:p>
                  <w:pPr>
                    <w:pStyle w:val="68"/>
                    <w:rPr>
                      <w:color w:val="auto"/>
                    </w:rPr>
                  </w:pPr>
                  <w:r>
                    <w:rPr>
                      <w:rFonts w:hint="eastAsia"/>
                      <w:color w:val="auto"/>
                    </w:rPr>
                    <w:t>达标</w:t>
                  </w:r>
                </w:p>
              </w:tc>
            </w:tr>
          </w:tbl>
          <w:p>
            <w:pPr>
              <w:ind w:firstLine="480"/>
              <w:rPr>
                <w:color w:val="auto"/>
              </w:rPr>
            </w:pPr>
            <w:r>
              <w:rPr>
                <w:rFonts w:hint="eastAsia"/>
                <w:color w:val="auto"/>
              </w:rPr>
              <w:t>根据上表，各点位监测因子均低于《土壤环境质量 建设用地土壤污染风险管控标准（试行）》（GB36600-2018）第二类用地风险筛选值。</w:t>
            </w:r>
          </w:p>
          <w:p>
            <w:pPr>
              <w:pStyle w:val="61"/>
              <w:spacing w:before="60" w:after="60"/>
              <w:rPr>
                <w:color w:val="auto"/>
                <w:highlight w:val="none"/>
              </w:rPr>
            </w:pPr>
            <w:r>
              <w:rPr>
                <w:rFonts w:hint="eastAsia"/>
                <w:color w:val="auto"/>
                <w:highlight w:val="none"/>
              </w:rPr>
              <w:t>3.1.6生态环境</w:t>
            </w:r>
          </w:p>
          <w:p>
            <w:pPr>
              <w:ind w:firstLine="480"/>
              <w:rPr>
                <w:color w:val="auto"/>
              </w:rPr>
            </w:pPr>
            <w:r>
              <w:rPr>
                <w:rFonts w:hint="eastAsia"/>
                <w:color w:val="auto"/>
              </w:rPr>
              <w:t>本项目位于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rPr>
              <w:t>，评价区由于受到多年的人工干扰，原生植被几乎已经被次生植被和人工植被所代替，根据现场调查，项目周边植被主要为</w:t>
            </w:r>
            <w:r>
              <w:rPr>
                <w:rFonts w:hint="eastAsia"/>
                <w:color w:val="auto"/>
                <w:shd w:val="clear" w:fill="FFFFFF"/>
              </w:rPr>
              <w:t>灌</w:t>
            </w:r>
            <w:r>
              <w:rPr>
                <w:rFonts w:hint="eastAsia"/>
                <w:color w:val="auto"/>
              </w:rPr>
              <w:t>草和稀疏的乔木。项目区内不涉及国家级和省级重点保护物种、珍稀濒危物种，以及狭域分布物种；项目内人为干扰较大，生物多样性单一，生态系统结构简单。从总体上来看，该项目所在区域生态环境一般。项目周边200m范围没有原生植被和国家规定需要特殊保护的动植物，生物多样性简单。项目区内生态系统发育不完整、物种多样性较差，易受人为控制，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4" w:type="pct"/>
            <w:vAlign w:val="center"/>
          </w:tcPr>
          <w:p>
            <w:pPr>
              <w:pStyle w:val="68"/>
              <w:rPr>
                <w:color w:val="auto"/>
                <w:sz w:val="24"/>
                <w:szCs w:val="24"/>
                <w:lang w:eastAsia="zh-CN"/>
              </w:rPr>
            </w:pPr>
            <w:r>
              <w:rPr>
                <w:rFonts w:hint="eastAsia"/>
                <w:color w:val="auto"/>
                <w:sz w:val="24"/>
                <w:szCs w:val="24"/>
                <w:lang w:eastAsia="zh-CN"/>
              </w:rPr>
              <w:t>环境保护目标</w:t>
            </w:r>
          </w:p>
        </w:tc>
        <w:tc>
          <w:tcPr>
            <w:tcW w:w="4726" w:type="pct"/>
            <w:vAlign w:val="center"/>
          </w:tcPr>
          <w:p>
            <w:pPr>
              <w:pStyle w:val="56"/>
              <w:spacing w:before="120" w:after="120"/>
              <w:rPr>
                <w:color w:val="auto"/>
              </w:rPr>
            </w:pPr>
            <w:r>
              <w:rPr>
                <w:rFonts w:hint="eastAsia"/>
                <w:color w:val="auto"/>
              </w:rPr>
              <w:t>3.2环境保护目标</w:t>
            </w:r>
          </w:p>
          <w:p>
            <w:pPr>
              <w:pStyle w:val="84"/>
              <w:ind w:firstLine="482"/>
              <w:rPr>
                <w:color w:val="auto"/>
              </w:rPr>
            </w:pPr>
            <w:r>
              <w:rPr>
                <w:rFonts w:hint="eastAsia"/>
                <w:color w:val="auto"/>
              </w:rPr>
              <w:t>1</w:t>
            </w:r>
            <w:r>
              <w:rPr>
                <w:color w:val="auto"/>
              </w:rPr>
              <w:t>.</w:t>
            </w:r>
            <w:r>
              <w:rPr>
                <w:rFonts w:hint="eastAsia"/>
                <w:color w:val="auto"/>
              </w:rPr>
              <w:t>大气环境</w:t>
            </w:r>
          </w:p>
          <w:p>
            <w:pPr>
              <w:ind w:firstLine="480"/>
              <w:rPr>
                <w:color w:val="auto"/>
              </w:rPr>
            </w:pPr>
            <w:r>
              <w:rPr>
                <w:rFonts w:hint="eastAsia"/>
                <w:color w:val="auto"/>
              </w:rPr>
              <w:t>本项目位于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rPr>
              <w:t>，根据现场踏勘，项目区周边50</w:t>
            </w:r>
            <w:r>
              <w:rPr>
                <w:color w:val="auto"/>
              </w:rPr>
              <w:t>0</w:t>
            </w:r>
            <w:r>
              <w:rPr>
                <w:rFonts w:hint="eastAsia"/>
                <w:color w:val="auto"/>
              </w:rPr>
              <w:t>m范围大气环境保护目标共有</w:t>
            </w:r>
            <w:r>
              <w:rPr>
                <w:color w:val="auto"/>
              </w:rPr>
              <w:t>2</w:t>
            </w:r>
            <w:r>
              <w:rPr>
                <w:rFonts w:hint="eastAsia"/>
                <w:color w:val="auto"/>
              </w:rPr>
              <w:t>处，考虑到项目产生的恶臭气体对周边环境有一定的影响，因此将项目区东南侧6</w:t>
            </w:r>
            <w:r>
              <w:rPr>
                <w:color w:val="auto"/>
              </w:rPr>
              <w:t>35</w:t>
            </w:r>
            <w:r>
              <w:rPr>
                <w:rFonts w:hint="eastAsia"/>
                <w:color w:val="auto"/>
              </w:rPr>
              <w:t>m处的彩云小学也列为大气环境保护目标。</w:t>
            </w:r>
          </w:p>
          <w:p>
            <w:pPr>
              <w:pStyle w:val="84"/>
              <w:ind w:firstLine="482"/>
              <w:rPr>
                <w:color w:val="auto"/>
              </w:rPr>
            </w:pPr>
            <w:r>
              <w:rPr>
                <w:rFonts w:hint="eastAsia"/>
                <w:color w:val="auto"/>
              </w:rPr>
              <w:t>2</w:t>
            </w:r>
            <w:r>
              <w:rPr>
                <w:color w:val="auto"/>
              </w:rPr>
              <w:t>.</w:t>
            </w:r>
            <w:r>
              <w:rPr>
                <w:rFonts w:hint="eastAsia"/>
                <w:color w:val="auto"/>
              </w:rPr>
              <w:t>声环境</w:t>
            </w:r>
          </w:p>
          <w:p>
            <w:pPr>
              <w:ind w:firstLine="480"/>
              <w:rPr>
                <w:color w:val="auto"/>
              </w:rPr>
            </w:pPr>
            <w:r>
              <w:rPr>
                <w:rFonts w:hint="eastAsia"/>
                <w:color w:val="auto"/>
              </w:rPr>
              <w:t>项目区周边5</w:t>
            </w:r>
            <w:r>
              <w:rPr>
                <w:color w:val="auto"/>
              </w:rPr>
              <w:t>0</w:t>
            </w:r>
            <w:r>
              <w:rPr>
                <w:rFonts w:hint="eastAsia"/>
                <w:color w:val="auto"/>
              </w:rPr>
              <w:t>m范围内有</w:t>
            </w:r>
            <w:r>
              <w:rPr>
                <w:color w:val="auto"/>
              </w:rPr>
              <w:t>1</w:t>
            </w:r>
            <w:r>
              <w:rPr>
                <w:rFonts w:hint="eastAsia"/>
                <w:color w:val="auto"/>
              </w:rPr>
              <w:t>处声环境保护目标。</w:t>
            </w:r>
          </w:p>
          <w:p>
            <w:pPr>
              <w:pStyle w:val="84"/>
              <w:ind w:firstLine="482"/>
              <w:rPr>
                <w:color w:val="auto"/>
              </w:rPr>
            </w:pPr>
            <w:r>
              <w:rPr>
                <w:color w:val="auto"/>
              </w:rPr>
              <w:t>3.</w:t>
            </w:r>
            <w:r>
              <w:rPr>
                <w:rFonts w:hint="eastAsia"/>
                <w:color w:val="auto"/>
              </w:rPr>
              <w:t>地下水</w:t>
            </w:r>
          </w:p>
          <w:p>
            <w:pPr>
              <w:ind w:firstLine="480"/>
              <w:rPr>
                <w:color w:val="auto"/>
              </w:rPr>
            </w:pPr>
            <w:r>
              <w:rPr>
                <w:rFonts w:hint="eastAsia"/>
                <w:color w:val="auto"/>
              </w:rPr>
              <w:t>项目区</w:t>
            </w:r>
            <w:r>
              <w:rPr>
                <w:rFonts w:hint="eastAsia"/>
                <w:color w:val="auto"/>
                <w:shd w:val="clear" w:fill="FFFFFF"/>
              </w:rPr>
              <w:t>厂界</w:t>
            </w:r>
            <w:r>
              <w:rPr>
                <w:rFonts w:hint="eastAsia"/>
                <w:color w:val="auto"/>
              </w:rPr>
              <w:t>500m范围内无地下水集中式饮用水水源和热水、矿泉水、温泉等特殊地下水资源，因此无地下水保护目标。</w:t>
            </w:r>
          </w:p>
          <w:p>
            <w:pPr>
              <w:pStyle w:val="84"/>
              <w:ind w:firstLine="482"/>
              <w:rPr>
                <w:color w:val="auto"/>
              </w:rPr>
            </w:pPr>
            <w:r>
              <w:rPr>
                <w:color w:val="auto"/>
              </w:rPr>
              <w:t>4.</w:t>
            </w:r>
            <w:r>
              <w:rPr>
                <w:rFonts w:hint="eastAsia"/>
                <w:color w:val="auto"/>
              </w:rPr>
              <w:t>生态环境</w:t>
            </w:r>
          </w:p>
          <w:p>
            <w:pPr>
              <w:ind w:firstLine="480"/>
              <w:rPr>
                <w:color w:val="auto"/>
              </w:rPr>
            </w:pPr>
            <w:r>
              <w:rPr>
                <w:rFonts w:hint="eastAsia"/>
                <w:color w:val="auto"/>
              </w:rPr>
              <w:t>本项目位于</w:t>
            </w:r>
            <w:r>
              <w:rPr>
                <w:rFonts w:hint="eastAsia"/>
                <w:color w:val="auto"/>
                <w:lang w:eastAsia="zh-CN"/>
              </w:rPr>
              <w:t>师宗县彩云镇彩云中学砖厂</w:t>
            </w:r>
            <w:r>
              <w:rPr>
                <w:rFonts w:hint="eastAsia"/>
                <w:color w:val="auto"/>
                <w:shd w:val="clear" w:fill="FFFFFF"/>
                <w:lang w:eastAsia="zh-CN"/>
              </w:rPr>
              <w:t>旁</w:t>
            </w:r>
            <w:r>
              <w:rPr>
                <w:rFonts w:hint="eastAsia"/>
                <w:color w:val="auto"/>
              </w:rPr>
              <w:t>，本项目在现有平整硬化的土地上新建厂房，根据现场踏勘，项目区周边无生态环境保护目标。</w:t>
            </w:r>
          </w:p>
          <w:p>
            <w:pPr>
              <w:pStyle w:val="71"/>
              <w:rPr>
                <w:color w:val="auto"/>
              </w:rPr>
            </w:pPr>
            <w:r>
              <w:rPr>
                <w:color w:val="auto"/>
              </w:rPr>
              <w:t>表3</w:t>
            </w:r>
            <w:r>
              <w:rPr>
                <w:rFonts w:hint="eastAsia"/>
                <w:color w:val="auto"/>
              </w:rPr>
              <w:t>.2</w:t>
            </w:r>
            <w:r>
              <w:rPr>
                <w:color w:val="auto"/>
              </w:rPr>
              <w:t>-</w:t>
            </w:r>
            <w:r>
              <w:rPr>
                <w:rFonts w:hint="eastAsia"/>
                <w:color w:val="auto"/>
              </w:rPr>
              <w:t>1</w:t>
            </w:r>
            <w:r>
              <w:rPr>
                <w:color w:val="auto"/>
              </w:rPr>
              <w:t xml:space="preserve"> </w:t>
            </w:r>
            <w:r>
              <w:rPr>
                <w:rFonts w:hint="eastAsia"/>
                <w:color w:val="auto"/>
              </w:rPr>
              <w:t>环境保护目标一览表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8"/>
              <w:gridCol w:w="930"/>
              <w:gridCol w:w="1362"/>
              <w:gridCol w:w="1277"/>
              <w:gridCol w:w="991"/>
              <w:gridCol w:w="711"/>
              <w:gridCol w:w="988"/>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02" w:type="pct"/>
                  <w:gridSpan w:val="2"/>
                  <w:vMerge w:val="restart"/>
                  <w:vAlign w:val="center"/>
                </w:tcPr>
                <w:p>
                  <w:pPr>
                    <w:pStyle w:val="68"/>
                    <w:rPr>
                      <w:b/>
                      <w:bCs/>
                      <w:color w:val="auto"/>
                    </w:rPr>
                  </w:pPr>
                  <w:r>
                    <w:rPr>
                      <w:b/>
                      <w:bCs/>
                      <w:color w:val="auto"/>
                    </w:rPr>
                    <w:t>名称</w:t>
                  </w:r>
                </w:p>
              </w:tc>
              <w:tc>
                <w:tcPr>
                  <w:tcW w:w="1682" w:type="pct"/>
                  <w:gridSpan w:val="2"/>
                  <w:vAlign w:val="center"/>
                </w:tcPr>
                <w:p>
                  <w:pPr>
                    <w:pStyle w:val="68"/>
                    <w:rPr>
                      <w:b/>
                      <w:bCs/>
                      <w:color w:val="auto"/>
                    </w:rPr>
                  </w:pPr>
                  <w:r>
                    <w:rPr>
                      <w:b/>
                      <w:bCs/>
                      <w:color w:val="auto"/>
                    </w:rPr>
                    <w:t>坐标</w:t>
                  </w:r>
                  <w:r>
                    <w:rPr>
                      <w:rFonts w:hint="eastAsia"/>
                      <w:b/>
                      <w:bCs/>
                      <w:color w:val="auto"/>
                    </w:rPr>
                    <w:t>/</w:t>
                  </w:r>
                  <w:r>
                    <w:rPr>
                      <w:rFonts w:hint="eastAsia"/>
                      <w:b/>
                      <w:bCs/>
                      <w:color w:val="auto"/>
                      <w:lang w:eastAsia="zh-CN"/>
                    </w:rPr>
                    <w:t>经纬度</w:t>
                  </w:r>
                </w:p>
              </w:tc>
              <w:tc>
                <w:tcPr>
                  <w:tcW w:w="632" w:type="pct"/>
                  <w:vMerge w:val="restart"/>
                  <w:vAlign w:val="center"/>
                </w:tcPr>
                <w:p>
                  <w:pPr>
                    <w:pStyle w:val="68"/>
                    <w:rPr>
                      <w:b/>
                      <w:bCs/>
                      <w:color w:val="auto"/>
                    </w:rPr>
                  </w:pPr>
                  <w:r>
                    <w:rPr>
                      <w:b/>
                      <w:bCs/>
                      <w:color w:val="auto"/>
                    </w:rPr>
                    <w:t>保护对象</w:t>
                  </w:r>
                </w:p>
              </w:tc>
              <w:tc>
                <w:tcPr>
                  <w:tcW w:w="453" w:type="pct"/>
                  <w:vMerge w:val="restart"/>
                  <w:vAlign w:val="center"/>
                </w:tcPr>
                <w:p>
                  <w:pPr>
                    <w:pStyle w:val="68"/>
                    <w:rPr>
                      <w:b/>
                      <w:bCs/>
                      <w:color w:val="auto"/>
                    </w:rPr>
                  </w:pPr>
                  <w:r>
                    <w:rPr>
                      <w:b/>
                      <w:bCs/>
                      <w:color w:val="auto"/>
                    </w:rPr>
                    <w:t>环境功能区</w:t>
                  </w:r>
                </w:p>
              </w:tc>
              <w:tc>
                <w:tcPr>
                  <w:tcW w:w="630" w:type="pct"/>
                  <w:vMerge w:val="restart"/>
                  <w:vAlign w:val="center"/>
                </w:tcPr>
                <w:p>
                  <w:pPr>
                    <w:pStyle w:val="68"/>
                    <w:rPr>
                      <w:b/>
                      <w:bCs/>
                      <w:color w:val="auto"/>
                    </w:rPr>
                  </w:pPr>
                  <w:r>
                    <w:rPr>
                      <w:b/>
                      <w:bCs/>
                      <w:color w:val="auto"/>
                      <w:shd w:val="clear" w:fill="FFFFFF"/>
                    </w:rPr>
                    <w:t>相对厂</w:t>
                  </w:r>
                </w:p>
                <w:p>
                  <w:pPr>
                    <w:pStyle w:val="68"/>
                    <w:rPr>
                      <w:b/>
                      <w:bCs/>
                      <w:color w:val="auto"/>
                    </w:rPr>
                  </w:pPr>
                  <w:r>
                    <w:rPr>
                      <w:b/>
                      <w:bCs/>
                      <w:color w:val="auto"/>
                      <w:shd w:val="clear" w:fill="FFFFFF"/>
                    </w:rPr>
                    <w:t>址</w:t>
                  </w:r>
                  <w:r>
                    <w:rPr>
                      <w:b/>
                      <w:bCs/>
                      <w:color w:val="auto"/>
                    </w:rPr>
                    <w:t>方位</w:t>
                  </w:r>
                </w:p>
              </w:tc>
              <w:tc>
                <w:tcPr>
                  <w:tcW w:w="501" w:type="pct"/>
                  <w:vMerge w:val="restart"/>
                  <w:vAlign w:val="center"/>
                </w:tcPr>
                <w:p>
                  <w:pPr>
                    <w:pStyle w:val="68"/>
                    <w:rPr>
                      <w:b/>
                      <w:bCs/>
                      <w:color w:val="auto"/>
                    </w:rPr>
                  </w:pPr>
                  <w:r>
                    <w:rPr>
                      <w:b/>
                      <w:bCs/>
                      <w:color w:val="auto"/>
                      <w:shd w:val="clear" w:fill="FFFFFF"/>
                    </w:rPr>
                    <w:t>相对厂界</w:t>
                  </w:r>
                  <w:r>
                    <w:rPr>
                      <w:b/>
                      <w:bCs/>
                      <w:color w:val="auto"/>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102" w:type="pct"/>
                  <w:gridSpan w:val="2"/>
                  <w:vMerge w:val="continue"/>
                  <w:vAlign w:val="center"/>
                </w:tcPr>
                <w:p>
                  <w:pPr>
                    <w:pStyle w:val="68"/>
                    <w:rPr>
                      <w:color w:val="auto"/>
                    </w:rPr>
                  </w:pPr>
                </w:p>
              </w:tc>
              <w:tc>
                <w:tcPr>
                  <w:tcW w:w="868" w:type="pct"/>
                  <w:vAlign w:val="center"/>
                </w:tcPr>
                <w:p>
                  <w:pPr>
                    <w:pStyle w:val="68"/>
                    <w:rPr>
                      <w:b/>
                      <w:bCs/>
                      <w:color w:val="auto"/>
                    </w:rPr>
                  </w:pPr>
                  <w:r>
                    <w:rPr>
                      <w:rFonts w:hint="eastAsia"/>
                      <w:b/>
                      <w:bCs/>
                      <w:color w:val="auto"/>
                      <w:lang w:eastAsia="zh-CN"/>
                    </w:rPr>
                    <w:t>经度</w:t>
                  </w:r>
                </w:p>
              </w:tc>
              <w:tc>
                <w:tcPr>
                  <w:tcW w:w="814" w:type="pct"/>
                  <w:vAlign w:val="center"/>
                </w:tcPr>
                <w:p>
                  <w:pPr>
                    <w:pStyle w:val="68"/>
                    <w:rPr>
                      <w:b/>
                      <w:bCs/>
                      <w:color w:val="auto"/>
                    </w:rPr>
                  </w:pPr>
                  <w:r>
                    <w:rPr>
                      <w:rFonts w:hint="eastAsia"/>
                      <w:b/>
                      <w:bCs/>
                      <w:color w:val="auto"/>
                      <w:lang w:eastAsia="zh-CN"/>
                    </w:rPr>
                    <w:t>纬度</w:t>
                  </w:r>
                </w:p>
              </w:tc>
              <w:tc>
                <w:tcPr>
                  <w:tcW w:w="632" w:type="pct"/>
                  <w:vMerge w:val="continue"/>
                  <w:vAlign w:val="center"/>
                </w:tcPr>
                <w:p>
                  <w:pPr>
                    <w:pStyle w:val="68"/>
                    <w:rPr>
                      <w:color w:val="auto"/>
                    </w:rPr>
                  </w:pPr>
                </w:p>
              </w:tc>
              <w:tc>
                <w:tcPr>
                  <w:tcW w:w="453" w:type="pct"/>
                  <w:vMerge w:val="continue"/>
                  <w:vAlign w:val="center"/>
                </w:tcPr>
                <w:p>
                  <w:pPr>
                    <w:pStyle w:val="68"/>
                    <w:rPr>
                      <w:color w:val="auto"/>
                    </w:rPr>
                  </w:pPr>
                </w:p>
              </w:tc>
              <w:tc>
                <w:tcPr>
                  <w:tcW w:w="630" w:type="pct"/>
                  <w:vMerge w:val="continue"/>
                  <w:vAlign w:val="center"/>
                </w:tcPr>
                <w:p>
                  <w:pPr>
                    <w:pStyle w:val="68"/>
                    <w:rPr>
                      <w:color w:val="auto"/>
                    </w:rPr>
                  </w:pPr>
                </w:p>
              </w:tc>
              <w:tc>
                <w:tcPr>
                  <w:tcW w:w="501" w:type="pct"/>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 w:type="pct"/>
                  <w:vMerge w:val="restart"/>
                  <w:vAlign w:val="center"/>
                </w:tcPr>
                <w:p>
                  <w:pPr>
                    <w:pStyle w:val="68"/>
                    <w:rPr>
                      <w:color w:val="auto"/>
                    </w:rPr>
                  </w:pPr>
                  <w:r>
                    <w:rPr>
                      <w:color w:val="auto"/>
                    </w:rPr>
                    <w:t>大气环境</w:t>
                  </w:r>
                </w:p>
              </w:tc>
              <w:tc>
                <w:tcPr>
                  <w:tcW w:w="593" w:type="pct"/>
                  <w:vAlign w:val="center"/>
                </w:tcPr>
                <w:p>
                  <w:pPr>
                    <w:pStyle w:val="68"/>
                    <w:rPr>
                      <w:color w:val="auto"/>
                      <w:lang w:val="en-US" w:eastAsia="zh-CN"/>
                    </w:rPr>
                  </w:pPr>
                  <w:r>
                    <w:rPr>
                      <w:rFonts w:hint="eastAsia"/>
                      <w:color w:val="auto"/>
                      <w:lang w:val="en-US" w:eastAsia="zh-CN"/>
                    </w:rPr>
                    <w:t>东侧散户</w:t>
                  </w:r>
                </w:p>
              </w:tc>
              <w:tc>
                <w:tcPr>
                  <w:tcW w:w="868" w:type="pct"/>
                  <w:vAlign w:val="center"/>
                </w:tcPr>
                <w:p>
                  <w:pPr>
                    <w:pStyle w:val="68"/>
                    <w:rPr>
                      <w:color w:val="auto"/>
                    </w:rPr>
                  </w:pPr>
                  <w:r>
                    <w:rPr>
                      <w:color w:val="auto"/>
                    </w:rPr>
                    <w:t>103°54′50.812″</w:t>
                  </w:r>
                </w:p>
              </w:tc>
              <w:tc>
                <w:tcPr>
                  <w:tcW w:w="814" w:type="pct"/>
                  <w:vAlign w:val="center"/>
                </w:tcPr>
                <w:p>
                  <w:pPr>
                    <w:pStyle w:val="68"/>
                    <w:rPr>
                      <w:color w:val="auto"/>
                    </w:rPr>
                  </w:pPr>
                  <w:r>
                    <w:rPr>
                      <w:color w:val="auto"/>
                    </w:rPr>
                    <w:t>24°42′45.917″</w:t>
                  </w:r>
                </w:p>
              </w:tc>
              <w:tc>
                <w:tcPr>
                  <w:tcW w:w="632" w:type="pct"/>
                  <w:vAlign w:val="center"/>
                </w:tcPr>
                <w:p>
                  <w:pPr>
                    <w:pStyle w:val="68"/>
                    <w:rPr>
                      <w:color w:val="auto"/>
                    </w:rPr>
                  </w:pPr>
                  <w:r>
                    <w:rPr>
                      <w:color w:val="auto"/>
                    </w:rPr>
                    <w:t>1</w:t>
                  </w:r>
                  <w:r>
                    <w:rPr>
                      <w:rFonts w:hint="eastAsia"/>
                      <w:color w:val="auto"/>
                      <w:lang w:eastAsia="zh-CN"/>
                    </w:rPr>
                    <w:t>户，</w:t>
                  </w:r>
                  <w:r>
                    <w:rPr>
                      <w:color w:val="auto"/>
                    </w:rPr>
                    <w:t>4</w:t>
                  </w:r>
                  <w:r>
                    <w:rPr>
                      <w:rFonts w:hint="eastAsia"/>
                      <w:color w:val="auto"/>
                      <w:lang w:eastAsia="zh-CN"/>
                    </w:rPr>
                    <w:t>人</w:t>
                  </w:r>
                </w:p>
              </w:tc>
              <w:tc>
                <w:tcPr>
                  <w:tcW w:w="453" w:type="pct"/>
                  <w:vAlign w:val="center"/>
                </w:tcPr>
                <w:p>
                  <w:pPr>
                    <w:pStyle w:val="68"/>
                    <w:rPr>
                      <w:color w:val="auto"/>
                    </w:rPr>
                  </w:pPr>
                  <w:r>
                    <w:rPr>
                      <w:color w:val="auto"/>
                    </w:rPr>
                    <w:t>二类区</w:t>
                  </w:r>
                </w:p>
              </w:tc>
              <w:tc>
                <w:tcPr>
                  <w:tcW w:w="630" w:type="pct"/>
                  <w:vAlign w:val="center"/>
                </w:tcPr>
                <w:p>
                  <w:pPr>
                    <w:pStyle w:val="68"/>
                    <w:rPr>
                      <w:color w:val="auto"/>
                    </w:rPr>
                  </w:pPr>
                  <w:r>
                    <w:rPr>
                      <w:rFonts w:hint="eastAsia"/>
                      <w:color w:val="auto"/>
                      <w:lang w:eastAsia="zh-CN"/>
                    </w:rPr>
                    <w:t>东</w:t>
                  </w:r>
                  <w:r>
                    <w:rPr>
                      <w:color w:val="auto"/>
                    </w:rPr>
                    <w:t>侧</w:t>
                  </w:r>
                </w:p>
              </w:tc>
              <w:tc>
                <w:tcPr>
                  <w:tcW w:w="501" w:type="pct"/>
                  <w:vAlign w:val="center"/>
                </w:tcPr>
                <w:p>
                  <w:pPr>
                    <w:pStyle w:val="68"/>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 w:type="pct"/>
                  <w:vMerge w:val="continue"/>
                  <w:vAlign w:val="center"/>
                </w:tcPr>
                <w:p>
                  <w:pPr>
                    <w:pStyle w:val="68"/>
                    <w:rPr>
                      <w:color w:val="auto"/>
                    </w:rPr>
                  </w:pPr>
                </w:p>
              </w:tc>
              <w:tc>
                <w:tcPr>
                  <w:tcW w:w="593" w:type="pct"/>
                  <w:vAlign w:val="center"/>
                </w:tcPr>
                <w:p>
                  <w:pPr>
                    <w:pStyle w:val="68"/>
                    <w:rPr>
                      <w:color w:val="auto"/>
                      <w:lang w:val="en-US" w:eastAsia="zh-CN"/>
                    </w:rPr>
                  </w:pPr>
                  <w:r>
                    <w:rPr>
                      <w:rFonts w:hint="eastAsia"/>
                      <w:color w:val="auto"/>
                      <w:lang w:val="en-US" w:eastAsia="zh-CN"/>
                    </w:rPr>
                    <w:t>彩云中学</w:t>
                  </w:r>
                </w:p>
              </w:tc>
              <w:tc>
                <w:tcPr>
                  <w:tcW w:w="868" w:type="pct"/>
                  <w:vAlign w:val="center"/>
                </w:tcPr>
                <w:p>
                  <w:pPr>
                    <w:pStyle w:val="68"/>
                    <w:rPr>
                      <w:color w:val="auto"/>
                    </w:rPr>
                  </w:pPr>
                  <w:r>
                    <w:rPr>
                      <w:color w:val="auto"/>
                    </w:rPr>
                    <w:t>103°54′53.241″</w:t>
                  </w:r>
                </w:p>
              </w:tc>
              <w:tc>
                <w:tcPr>
                  <w:tcW w:w="814" w:type="pct"/>
                  <w:vAlign w:val="center"/>
                </w:tcPr>
                <w:p>
                  <w:pPr>
                    <w:pStyle w:val="68"/>
                    <w:rPr>
                      <w:color w:val="auto"/>
                      <w:lang w:val="en-US"/>
                    </w:rPr>
                  </w:pPr>
                  <w:r>
                    <w:rPr>
                      <w:color w:val="auto"/>
                    </w:rPr>
                    <w:t>24°42′30.095″</w:t>
                  </w:r>
                </w:p>
              </w:tc>
              <w:tc>
                <w:tcPr>
                  <w:tcW w:w="632" w:type="pct"/>
                  <w:vAlign w:val="center"/>
                </w:tcPr>
                <w:p>
                  <w:pPr>
                    <w:pStyle w:val="68"/>
                    <w:rPr>
                      <w:color w:val="auto"/>
                      <w:lang w:eastAsia="zh-CN"/>
                    </w:rPr>
                  </w:pPr>
                  <w:r>
                    <w:rPr>
                      <w:rFonts w:hint="eastAsia"/>
                      <w:color w:val="auto"/>
                      <w:lang w:eastAsia="zh-CN"/>
                    </w:rPr>
                    <w:t>3</w:t>
                  </w:r>
                  <w:r>
                    <w:rPr>
                      <w:color w:val="auto"/>
                      <w:lang w:eastAsia="zh-CN"/>
                    </w:rPr>
                    <w:t>460</w:t>
                  </w:r>
                  <w:r>
                    <w:rPr>
                      <w:rFonts w:hint="eastAsia"/>
                      <w:color w:val="auto"/>
                      <w:lang w:eastAsia="zh-CN"/>
                    </w:rPr>
                    <w:t>人</w:t>
                  </w:r>
                </w:p>
              </w:tc>
              <w:tc>
                <w:tcPr>
                  <w:tcW w:w="453" w:type="pct"/>
                  <w:vAlign w:val="center"/>
                </w:tcPr>
                <w:p>
                  <w:pPr>
                    <w:pStyle w:val="68"/>
                    <w:rPr>
                      <w:color w:val="auto"/>
                    </w:rPr>
                  </w:pPr>
                  <w:r>
                    <w:rPr>
                      <w:color w:val="auto"/>
                    </w:rPr>
                    <w:t>二类区</w:t>
                  </w:r>
                </w:p>
              </w:tc>
              <w:tc>
                <w:tcPr>
                  <w:tcW w:w="630" w:type="pct"/>
                  <w:vAlign w:val="center"/>
                </w:tcPr>
                <w:p>
                  <w:pPr>
                    <w:pStyle w:val="68"/>
                    <w:rPr>
                      <w:color w:val="auto"/>
                    </w:rPr>
                  </w:pPr>
                  <w:r>
                    <w:rPr>
                      <w:rFonts w:hint="eastAsia"/>
                      <w:color w:val="auto"/>
                      <w:lang w:eastAsia="zh-CN"/>
                    </w:rPr>
                    <w:t>南</w:t>
                  </w:r>
                  <w:r>
                    <w:rPr>
                      <w:color w:val="auto"/>
                    </w:rPr>
                    <w:t>侧</w:t>
                  </w:r>
                </w:p>
              </w:tc>
              <w:tc>
                <w:tcPr>
                  <w:tcW w:w="501" w:type="pct"/>
                  <w:vAlign w:val="center"/>
                </w:tcPr>
                <w:p>
                  <w:pPr>
                    <w:pStyle w:val="68"/>
                    <w:rPr>
                      <w:color w:val="auto"/>
                    </w:rPr>
                  </w:pPr>
                  <w:r>
                    <w:rPr>
                      <w:color w:val="auto"/>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 w:type="pct"/>
                  <w:vMerge w:val="continue"/>
                  <w:vAlign w:val="center"/>
                </w:tcPr>
                <w:p>
                  <w:pPr>
                    <w:pStyle w:val="68"/>
                    <w:rPr>
                      <w:color w:val="auto"/>
                    </w:rPr>
                  </w:pPr>
                </w:p>
              </w:tc>
              <w:tc>
                <w:tcPr>
                  <w:tcW w:w="593" w:type="pct"/>
                  <w:vAlign w:val="center"/>
                </w:tcPr>
                <w:p>
                  <w:pPr>
                    <w:pStyle w:val="68"/>
                    <w:rPr>
                      <w:color w:val="auto"/>
                      <w:lang w:val="en-US" w:eastAsia="zh-CN"/>
                    </w:rPr>
                  </w:pPr>
                  <w:r>
                    <w:rPr>
                      <w:rFonts w:hint="eastAsia"/>
                      <w:color w:val="auto"/>
                      <w:lang w:val="en-US" w:eastAsia="zh-CN"/>
                    </w:rPr>
                    <w:t>彩云小学</w:t>
                  </w:r>
                </w:p>
              </w:tc>
              <w:tc>
                <w:tcPr>
                  <w:tcW w:w="868" w:type="pct"/>
                  <w:vAlign w:val="center"/>
                </w:tcPr>
                <w:p>
                  <w:pPr>
                    <w:pStyle w:val="68"/>
                    <w:rPr>
                      <w:color w:val="auto"/>
                    </w:rPr>
                  </w:pPr>
                  <w:r>
                    <w:rPr>
                      <w:color w:val="auto"/>
                    </w:rPr>
                    <w:t>103°55′4.84″</w:t>
                  </w:r>
                </w:p>
              </w:tc>
              <w:tc>
                <w:tcPr>
                  <w:tcW w:w="814" w:type="pct"/>
                  <w:vAlign w:val="center"/>
                </w:tcPr>
                <w:p>
                  <w:pPr>
                    <w:pStyle w:val="68"/>
                    <w:rPr>
                      <w:color w:val="auto"/>
                    </w:rPr>
                  </w:pPr>
                  <w:r>
                    <w:rPr>
                      <w:color w:val="auto"/>
                    </w:rPr>
                    <w:t>24°42′13.73″</w:t>
                  </w:r>
                </w:p>
              </w:tc>
              <w:tc>
                <w:tcPr>
                  <w:tcW w:w="632" w:type="pct"/>
                  <w:vAlign w:val="center"/>
                </w:tcPr>
                <w:p>
                  <w:pPr>
                    <w:pStyle w:val="68"/>
                    <w:rPr>
                      <w:color w:val="auto"/>
                      <w:lang w:eastAsia="zh-CN"/>
                    </w:rPr>
                  </w:pPr>
                  <w:r>
                    <w:rPr>
                      <w:rFonts w:hint="eastAsia"/>
                      <w:color w:val="auto"/>
                      <w:lang w:eastAsia="zh-CN"/>
                    </w:rPr>
                    <w:t>2</w:t>
                  </w:r>
                  <w:r>
                    <w:rPr>
                      <w:color w:val="auto"/>
                      <w:lang w:eastAsia="zh-CN"/>
                    </w:rPr>
                    <w:t>50</w:t>
                  </w:r>
                  <w:r>
                    <w:rPr>
                      <w:rFonts w:hint="eastAsia"/>
                      <w:color w:val="auto"/>
                      <w:lang w:eastAsia="zh-CN"/>
                    </w:rPr>
                    <w:t>人</w:t>
                  </w:r>
                </w:p>
              </w:tc>
              <w:tc>
                <w:tcPr>
                  <w:tcW w:w="453" w:type="pct"/>
                  <w:vAlign w:val="center"/>
                </w:tcPr>
                <w:p>
                  <w:pPr>
                    <w:pStyle w:val="68"/>
                    <w:rPr>
                      <w:color w:val="auto"/>
                    </w:rPr>
                  </w:pPr>
                  <w:r>
                    <w:rPr>
                      <w:color w:val="auto"/>
                    </w:rPr>
                    <w:t>二类区</w:t>
                  </w:r>
                </w:p>
              </w:tc>
              <w:tc>
                <w:tcPr>
                  <w:tcW w:w="630" w:type="pct"/>
                  <w:vAlign w:val="center"/>
                </w:tcPr>
                <w:p>
                  <w:pPr>
                    <w:pStyle w:val="68"/>
                    <w:rPr>
                      <w:color w:val="auto"/>
                      <w:lang w:eastAsia="zh-CN"/>
                    </w:rPr>
                  </w:pPr>
                  <w:r>
                    <w:rPr>
                      <w:rFonts w:hint="eastAsia"/>
                      <w:color w:val="auto"/>
                      <w:lang w:eastAsia="zh-CN"/>
                    </w:rPr>
                    <w:t>东南</w:t>
                  </w:r>
                  <w:r>
                    <w:rPr>
                      <w:color w:val="auto"/>
                    </w:rPr>
                    <w:t>侧</w:t>
                  </w:r>
                </w:p>
              </w:tc>
              <w:tc>
                <w:tcPr>
                  <w:tcW w:w="501" w:type="pct"/>
                  <w:vAlign w:val="center"/>
                </w:tcPr>
                <w:p>
                  <w:pPr>
                    <w:pStyle w:val="68"/>
                    <w:rPr>
                      <w:color w:val="auto"/>
                    </w:rPr>
                  </w:pPr>
                  <w:r>
                    <w:rPr>
                      <w:color w:val="auto"/>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 w:type="pct"/>
                  <w:vAlign w:val="center"/>
                </w:tcPr>
                <w:p>
                  <w:pPr>
                    <w:pStyle w:val="68"/>
                    <w:rPr>
                      <w:color w:val="auto"/>
                    </w:rPr>
                  </w:pPr>
                  <w:r>
                    <w:rPr>
                      <w:rFonts w:hint="eastAsia"/>
                      <w:color w:val="auto"/>
                      <w:lang w:eastAsia="zh-CN"/>
                    </w:rPr>
                    <w:t>声环境</w:t>
                  </w:r>
                </w:p>
              </w:tc>
              <w:tc>
                <w:tcPr>
                  <w:tcW w:w="593" w:type="pct"/>
                  <w:vAlign w:val="center"/>
                </w:tcPr>
                <w:p>
                  <w:pPr>
                    <w:pStyle w:val="68"/>
                    <w:rPr>
                      <w:color w:val="auto"/>
                      <w:lang w:val="en-US" w:eastAsia="zh-CN"/>
                    </w:rPr>
                  </w:pPr>
                  <w:r>
                    <w:rPr>
                      <w:rFonts w:hint="eastAsia"/>
                      <w:color w:val="auto"/>
                      <w:lang w:val="en-US" w:eastAsia="zh-CN"/>
                    </w:rPr>
                    <w:t>东侧散户</w:t>
                  </w:r>
                </w:p>
              </w:tc>
              <w:tc>
                <w:tcPr>
                  <w:tcW w:w="868" w:type="pct"/>
                  <w:vAlign w:val="center"/>
                </w:tcPr>
                <w:p>
                  <w:pPr>
                    <w:pStyle w:val="68"/>
                    <w:rPr>
                      <w:color w:val="auto"/>
                    </w:rPr>
                  </w:pPr>
                  <w:r>
                    <w:rPr>
                      <w:color w:val="auto"/>
                    </w:rPr>
                    <w:t>103°54′50.812″</w:t>
                  </w:r>
                </w:p>
              </w:tc>
              <w:tc>
                <w:tcPr>
                  <w:tcW w:w="814" w:type="pct"/>
                  <w:vAlign w:val="center"/>
                </w:tcPr>
                <w:p>
                  <w:pPr>
                    <w:pStyle w:val="68"/>
                    <w:rPr>
                      <w:color w:val="auto"/>
                      <w:lang w:val="en-US"/>
                    </w:rPr>
                  </w:pPr>
                  <w:r>
                    <w:rPr>
                      <w:color w:val="auto"/>
                    </w:rPr>
                    <w:t>24°42′45.917″</w:t>
                  </w:r>
                </w:p>
              </w:tc>
              <w:tc>
                <w:tcPr>
                  <w:tcW w:w="632" w:type="pct"/>
                  <w:vAlign w:val="center"/>
                </w:tcPr>
                <w:p>
                  <w:pPr>
                    <w:pStyle w:val="68"/>
                    <w:rPr>
                      <w:color w:val="auto"/>
                      <w:lang w:eastAsia="zh-CN"/>
                    </w:rPr>
                  </w:pPr>
                  <w:r>
                    <w:rPr>
                      <w:color w:val="auto"/>
                    </w:rPr>
                    <w:t>1</w:t>
                  </w:r>
                  <w:r>
                    <w:rPr>
                      <w:rFonts w:hint="eastAsia"/>
                      <w:color w:val="auto"/>
                      <w:lang w:eastAsia="zh-CN"/>
                    </w:rPr>
                    <w:t>户，</w:t>
                  </w:r>
                  <w:r>
                    <w:rPr>
                      <w:color w:val="auto"/>
                    </w:rPr>
                    <w:t>4</w:t>
                  </w:r>
                  <w:r>
                    <w:rPr>
                      <w:rFonts w:hint="eastAsia"/>
                      <w:color w:val="auto"/>
                      <w:lang w:eastAsia="zh-CN"/>
                    </w:rPr>
                    <w:t>人</w:t>
                  </w:r>
                </w:p>
              </w:tc>
              <w:tc>
                <w:tcPr>
                  <w:tcW w:w="453" w:type="pct"/>
                  <w:vAlign w:val="center"/>
                </w:tcPr>
                <w:p>
                  <w:pPr>
                    <w:pStyle w:val="68"/>
                    <w:rPr>
                      <w:color w:val="auto"/>
                      <w:lang w:eastAsia="zh-CN"/>
                    </w:rPr>
                  </w:pPr>
                  <w:r>
                    <w:rPr>
                      <w:rFonts w:hint="eastAsia"/>
                      <w:color w:val="auto"/>
                      <w:lang w:eastAsia="zh-CN"/>
                    </w:rPr>
                    <w:t>2类</w:t>
                  </w:r>
                </w:p>
              </w:tc>
              <w:tc>
                <w:tcPr>
                  <w:tcW w:w="630" w:type="pct"/>
                  <w:vAlign w:val="center"/>
                </w:tcPr>
                <w:p>
                  <w:pPr>
                    <w:pStyle w:val="68"/>
                    <w:rPr>
                      <w:color w:val="auto"/>
                    </w:rPr>
                  </w:pPr>
                  <w:r>
                    <w:rPr>
                      <w:rFonts w:hint="eastAsia"/>
                      <w:color w:val="auto"/>
                      <w:lang w:eastAsia="zh-CN"/>
                    </w:rPr>
                    <w:t>东</w:t>
                  </w:r>
                  <w:r>
                    <w:rPr>
                      <w:color w:val="auto"/>
                    </w:rPr>
                    <w:t>侧</w:t>
                  </w:r>
                </w:p>
              </w:tc>
              <w:tc>
                <w:tcPr>
                  <w:tcW w:w="501" w:type="pct"/>
                  <w:vAlign w:val="center"/>
                </w:tcPr>
                <w:p>
                  <w:pPr>
                    <w:pStyle w:val="68"/>
                    <w:rPr>
                      <w:color w:val="auto"/>
                    </w:rPr>
                  </w:pPr>
                  <w:r>
                    <w:rPr>
                      <w:color w:val="auto"/>
                    </w:rPr>
                    <w:t>10</w:t>
                  </w:r>
                </w:p>
              </w:tc>
            </w:tr>
          </w:tbl>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4" w:type="pct"/>
            <w:vAlign w:val="center"/>
          </w:tcPr>
          <w:p>
            <w:pPr>
              <w:pStyle w:val="68"/>
              <w:rPr>
                <w:color w:val="auto"/>
                <w:sz w:val="24"/>
                <w:szCs w:val="24"/>
              </w:rPr>
            </w:pPr>
            <w:r>
              <w:rPr>
                <w:rFonts w:hint="eastAsia"/>
                <w:color w:val="auto"/>
                <w:sz w:val="24"/>
                <w:szCs w:val="24"/>
              </w:rPr>
              <w:t>污染物排放控制标准</w:t>
            </w:r>
          </w:p>
        </w:tc>
        <w:tc>
          <w:tcPr>
            <w:tcW w:w="4726" w:type="pct"/>
            <w:vAlign w:val="center"/>
          </w:tcPr>
          <w:p>
            <w:pPr>
              <w:pStyle w:val="56"/>
              <w:spacing w:before="120" w:after="120"/>
              <w:rPr>
                <w:color w:val="auto"/>
              </w:rPr>
            </w:pPr>
            <w:r>
              <w:rPr>
                <w:rFonts w:hint="eastAsia"/>
                <w:color w:val="auto"/>
              </w:rPr>
              <w:t>3.3污染物排放标准</w:t>
            </w:r>
          </w:p>
          <w:p>
            <w:pPr>
              <w:pStyle w:val="61"/>
              <w:spacing w:before="60" w:after="60"/>
              <w:rPr>
                <w:color w:val="auto"/>
              </w:rPr>
            </w:pPr>
            <w:r>
              <w:rPr>
                <w:rFonts w:hint="eastAsia"/>
                <w:color w:val="auto"/>
              </w:rPr>
              <w:t>3.3.1废气排放标准</w:t>
            </w:r>
          </w:p>
          <w:p>
            <w:pPr>
              <w:pStyle w:val="84"/>
              <w:ind w:firstLine="482"/>
              <w:rPr>
                <w:color w:val="auto"/>
              </w:rPr>
            </w:pPr>
            <w:r>
              <w:rPr>
                <w:rFonts w:hint="eastAsia"/>
                <w:color w:val="auto"/>
              </w:rPr>
              <w:t>1</w:t>
            </w:r>
            <w:r>
              <w:rPr>
                <w:color w:val="auto"/>
              </w:rPr>
              <w:t>.施工期</w:t>
            </w:r>
          </w:p>
          <w:p>
            <w:pPr>
              <w:pStyle w:val="108"/>
              <w:ind w:firstLine="480"/>
              <w:rPr>
                <w:rFonts w:eastAsiaTheme="minorEastAsia"/>
                <w:color w:val="auto"/>
                <w:szCs w:val="24"/>
              </w:rPr>
            </w:pPr>
            <w:r>
              <w:rPr>
                <w:rFonts w:hAnsiTheme="minorEastAsia" w:eastAsiaTheme="minorEastAsia"/>
                <w:color w:val="auto"/>
                <w:szCs w:val="24"/>
              </w:rPr>
              <w:t>施工期扬尘执行《大气污染物综合排放标准》（</w:t>
            </w:r>
            <w:r>
              <w:rPr>
                <w:rFonts w:eastAsiaTheme="minorEastAsia"/>
                <w:color w:val="auto"/>
                <w:szCs w:val="24"/>
              </w:rPr>
              <w:t>GB16297-1996</w:t>
            </w:r>
            <w:r>
              <w:rPr>
                <w:rFonts w:hAnsiTheme="minorEastAsia" w:eastAsiaTheme="minorEastAsia"/>
                <w:color w:val="auto"/>
                <w:szCs w:val="24"/>
              </w:rPr>
              <w:t>）（表</w:t>
            </w:r>
            <w:r>
              <w:rPr>
                <w:rFonts w:eastAsiaTheme="minorEastAsia"/>
                <w:color w:val="auto"/>
                <w:szCs w:val="24"/>
              </w:rPr>
              <w:t>2</w:t>
            </w:r>
            <w:r>
              <w:rPr>
                <w:rFonts w:hAnsiTheme="minorEastAsia" w:eastAsiaTheme="minorEastAsia"/>
                <w:color w:val="auto"/>
                <w:szCs w:val="24"/>
              </w:rPr>
              <w:t>）中的无组织排放监控浓度限值标准，</w:t>
            </w:r>
            <w:r>
              <w:rPr>
                <w:rFonts w:hAnsiTheme="minorEastAsia" w:eastAsiaTheme="minorEastAsia"/>
                <w:color w:val="auto"/>
                <w:szCs w:val="24"/>
                <w:shd w:val="clear" w:fill="FFFFFF"/>
              </w:rPr>
              <w:t>即颗粒物</w:t>
            </w:r>
            <w:r>
              <w:rPr>
                <w:rFonts w:hAnsiTheme="minorEastAsia" w:eastAsiaTheme="minorEastAsia"/>
                <w:color w:val="auto"/>
                <w:szCs w:val="24"/>
              </w:rPr>
              <w:t>周界外浓度最高点无组织排放浓度限值</w:t>
            </w:r>
            <w:r>
              <w:rPr>
                <w:rFonts w:eastAsiaTheme="minorEastAsia"/>
                <w:color w:val="auto"/>
                <w:szCs w:val="24"/>
              </w:rPr>
              <w:t>1.0mg/m</w:t>
            </w:r>
            <w:r>
              <w:rPr>
                <w:rFonts w:eastAsiaTheme="minorEastAsia"/>
                <w:color w:val="auto"/>
                <w:szCs w:val="24"/>
                <w:vertAlign w:val="superscript"/>
              </w:rPr>
              <w:t>3</w:t>
            </w:r>
            <w:r>
              <w:rPr>
                <w:rFonts w:hAnsiTheme="minorEastAsia" w:eastAsiaTheme="minorEastAsia"/>
                <w:color w:val="auto"/>
                <w:szCs w:val="24"/>
              </w:rPr>
              <w:t>。</w:t>
            </w:r>
          </w:p>
          <w:p>
            <w:pPr>
              <w:pStyle w:val="84"/>
              <w:ind w:firstLine="482"/>
              <w:rPr>
                <w:color w:val="auto"/>
              </w:rPr>
            </w:pPr>
            <w:r>
              <w:rPr>
                <w:rFonts w:hint="eastAsia"/>
                <w:color w:val="auto"/>
              </w:rPr>
              <w:t>2</w:t>
            </w:r>
            <w:r>
              <w:rPr>
                <w:color w:val="auto"/>
              </w:rPr>
              <w:t>.</w:t>
            </w:r>
            <w:r>
              <w:rPr>
                <w:rFonts w:hint="eastAsia"/>
                <w:color w:val="auto"/>
              </w:rPr>
              <w:t>运营期</w:t>
            </w:r>
          </w:p>
          <w:p>
            <w:pPr>
              <w:ind w:firstLine="480"/>
              <w:rPr>
                <w:color w:val="auto"/>
              </w:rPr>
            </w:pPr>
            <w:r>
              <w:rPr>
                <w:rFonts w:hint="eastAsia"/>
                <w:color w:val="auto"/>
                <w:lang w:val="en-US" w:eastAsia="zh-CN"/>
              </w:rPr>
              <w:t>项目运营期处置车间恶臭通过微负压收集后，采用生物洗涤塔处理后经15m高DA001排气筒排放，</w:t>
            </w:r>
            <w:r>
              <w:rPr>
                <w:rFonts w:hint="eastAsia"/>
                <w:color w:val="auto"/>
              </w:rPr>
              <w:t>DA00</w:t>
            </w:r>
            <w:r>
              <w:rPr>
                <w:color w:val="auto"/>
              </w:rPr>
              <w:t>1</w:t>
            </w:r>
            <w:r>
              <w:rPr>
                <w:rFonts w:hint="eastAsia"/>
                <w:color w:val="auto"/>
              </w:rPr>
              <w:t>排放污染物为氨、硫化氢、臭气浓度</w:t>
            </w:r>
            <w:r>
              <w:rPr>
                <w:rFonts w:hint="eastAsia"/>
                <w:color w:val="auto"/>
                <w:lang w:eastAsia="zh-CN"/>
              </w:rPr>
              <w:t>；</w:t>
            </w:r>
            <w:r>
              <w:rPr>
                <w:rFonts w:hint="eastAsia"/>
                <w:color w:val="auto"/>
                <w:lang w:val="en-US" w:eastAsia="zh-CN"/>
              </w:rPr>
              <w:t>生物质锅炉燃烧废气通过布袋除尘器处理后经30m高DA002排气筒排放，</w:t>
            </w:r>
            <w:r>
              <w:rPr>
                <w:rFonts w:hint="eastAsia"/>
                <w:color w:val="auto"/>
              </w:rPr>
              <w:t>DA00</w:t>
            </w:r>
            <w:r>
              <w:rPr>
                <w:color w:val="auto"/>
              </w:rPr>
              <w:t>2</w:t>
            </w:r>
            <w:r>
              <w:rPr>
                <w:rFonts w:hint="eastAsia"/>
                <w:color w:val="auto"/>
              </w:rPr>
              <w:t>排放污染物为颗粒物、氮氧化物、二氧化硫。</w:t>
            </w:r>
          </w:p>
          <w:p>
            <w:pPr>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氨、硫化氢、臭气浓度执行《恶臭污染物排放标准》（GB14554-93）中的“表2”限值。</w:t>
            </w:r>
          </w:p>
          <w:p>
            <w:pPr>
              <w:pStyle w:val="71"/>
              <w:rPr>
                <w:b/>
                <w:bCs w:val="0"/>
                <w:color w:val="auto"/>
                <w:vertAlign w:val="superscript"/>
              </w:rPr>
            </w:pPr>
            <w:r>
              <w:rPr>
                <w:rFonts w:hint="eastAsia"/>
                <w:b/>
                <w:bCs w:val="0"/>
                <w:color w:val="auto"/>
              </w:rPr>
              <w:t>表3</w:t>
            </w:r>
            <w:r>
              <w:rPr>
                <w:b/>
                <w:bCs w:val="0"/>
                <w:color w:val="auto"/>
              </w:rPr>
              <w:t xml:space="preserve">.3-1 </w:t>
            </w:r>
            <w:r>
              <w:rPr>
                <w:rFonts w:hint="eastAsia"/>
                <w:b/>
                <w:bCs w:val="0"/>
                <w:color w:val="auto"/>
                <w:lang w:val="en-US" w:eastAsia="zh-CN"/>
              </w:rPr>
              <w:t>恶臭污染物排放标准</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811"/>
              <w:gridCol w:w="1079"/>
              <w:gridCol w:w="881"/>
              <w:gridCol w:w="1021"/>
              <w:gridCol w:w="111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0" w:type="pct"/>
                  <w:gridSpan w:val="3"/>
                  <w:shd w:val="clear" w:color="auto" w:fill="auto"/>
                  <w:vAlign w:val="center"/>
                </w:tcPr>
                <w:p>
                  <w:pPr>
                    <w:pStyle w:val="68"/>
                    <w:rPr>
                      <w:b/>
                      <w:bCs w:val="0"/>
                      <w:color w:val="auto"/>
                    </w:rPr>
                  </w:pPr>
                  <w:r>
                    <w:rPr>
                      <w:rFonts w:hint="eastAsia"/>
                      <w:b/>
                      <w:bCs w:val="0"/>
                      <w:color w:val="auto"/>
                    </w:rPr>
                    <w:t>污染物</w:t>
                  </w:r>
                </w:p>
              </w:tc>
              <w:tc>
                <w:tcPr>
                  <w:tcW w:w="562" w:type="pct"/>
                  <w:shd w:val="clear" w:color="auto" w:fill="auto"/>
                  <w:vAlign w:val="center"/>
                </w:tcPr>
                <w:p>
                  <w:pPr>
                    <w:pStyle w:val="68"/>
                    <w:rPr>
                      <w:b/>
                      <w:bCs w:val="0"/>
                      <w:color w:val="auto"/>
                    </w:rPr>
                  </w:pPr>
                  <w:r>
                    <w:rPr>
                      <w:rFonts w:hint="eastAsia"/>
                      <w:b/>
                      <w:bCs w:val="0"/>
                      <w:color w:val="auto"/>
                    </w:rPr>
                    <w:t>高度（m）</w:t>
                  </w:r>
                </w:p>
              </w:tc>
              <w:tc>
                <w:tcPr>
                  <w:tcW w:w="651" w:type="pct"/>
                  <w:shd w:val="clear" w:color="auto" w:fill="auto"/>
                  <w:vAlign w:val="center"/>
                </w:tcPr>
                <w:p>
                  <w:pPr>
                    <w:pStyle w:val="68"/>
                    <w:rPr>
                      <w:b/>
                      <w:bCs w:val="0"/>
                      <w:color w:val="auto"/>
                    </w:rPr>
                  </w:pPr>
                  <w:r>
                    <w:rPr>
                      <w:rFonts w:hint="eastAsia"/>
                      <w:b/>
                      <w:bCs w:val="0"/>
                      <w:color w:val="auto"/>
                    </w:rPr>
                    <w:t>排放速率（kg/h）</w:t>
                  </w:r>
                </w:p>
              </w:tc>
              <w:tc>
                <w:tcPr>
                  <w:tcW w:w="713" w:type="pct"/>
                  <w:shd w:val="clear" w:color="auto" w:fill="auto"/>
                  <w:vAlign w:val="center"/>
                </w:tcPr>
                <w:p>
                  <w:pPr>
                    <w:pStyle w:val="68"/>
                    <w:rPr>
                      <w:b/>
                      <w:bCs w:val="0"/>
                      <w:color w:val="auto"/>
                    </w:rPr>
                  </w:pPr>
                  <w:r>
                    <w:rPr>
                      <w:rFonts w:hint="eastAsia"/>
                      <w:b/>
                      <w:bCs w:val="0"/>
                      <w:color w:val="auto"/>
                    </w:rPr>
                    <w:t>排放浓度（mg/m</w:t>
                  </w:r>
                  <w:r>
                    <w:rPr>
                      <w:rFonts w:hint="eastAsia"/>
                      <w:b/>
                      <w:bCs w:val="0"/>
                      <w:color w:val="auto"/>
                      <w:vertAlign w:val="superscript"/>
                    </w:rPr>
                    <w:t>3</w:t>
                  </w:r>
                  <w:r>
                    <w:rPr>
                      <w:rFonts w:hint="eastAsia"/>
                      <w:b/>
                      <w:bCs w:val="0"/>
                      <w:color w:val="auto"/>
                    </w:rPr>
                    <w:t>）</w:t>
                  </w:r>
                </w:p>
              </w:tc>
              <w:tc>
                <w:tcPr>
                  <w:tcW w:w="1473" w:type="pct"/>
                  <w:shd w:val="clear" w:color="auto" w:fill="auto"/>
                  <w:vAlign w:val="center"/>
                </w:tcPr>
                <w:p>
                  <w:pPr>
                    <w:pStyle w:val="68"/>
                    <w:rPr>
                      <w:b/>
                      <w:bCs w:val="0"/>
                      <w:color w:val="auto"/>
                    </w:rPr>
                  </w:pPr>
                  <w:r>
                    <w:rPr>
                      <w:rFonts w:hint="eastAsia"/>
                      <w:b/>
                      <w:bCs w:val="0"/>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5" w:type="pct"/>
                  <w:vMerge w:val="restart"/>
                  <w:shd w:val="clear" w:color="auto" w:fill="auto"/>
                  <w:vAlign w:val="center"/>
                </w:tcPr>
                <w:p>
                  <w:pPr>
                    <w:pStyle w:val="68"/>
                    <w:rPr>
                      <w:color w:val="auto"/>
                    </w:rPr>
                  </w:pPr>
                  <w:r>
                    <w:rPr>
                      <w:rFonts w:hint="eastAsia"/>
                      <w:color w:val="auto"/>
                    </w:rPr>
                    <w:t>运营期</w:t>
                  </w:r>
                </w:p>
              </w:tc>
              <w:tc>
                <w:tcPr>
                  <w:tcW w:w="517" w:type="pct"/>
                  <w:vMerge w:val="restart"/>
                  <w:shd w:val="clear" w:color="auto" w:fill="auto"/>
                  <w:vAlign w:val="center"/>
                </w:tcPr>
                <w:p>
                  <w:pPr>
                    <w:pStyle w:val="68"/>
                    <w:rPr>
                      <w:color w:val="auto"/>
                    </w:rPr>
                  </w:pPr>
                  <w:r>
                    <w:rPr>
                      <w:rFonts w:hint="eastAsia"/>
                      <w:color w:val="auto"/>
                    </w:rPr>
                    <w:t>有组织</w:t>
                  </w:r>
                </w:p>
              </w:tc>
              <w:tc>
                <w:tcPr>
                  <w:tcW w:w="688" w:type="pct"/>
                  <w:shd w:val="clear" w:color="auto" w:fill="auto"/>
                  <w:vAlign w:val="center"/>
                </w:tcPr>
                <w:p>
                  <w:pPr>
                    <w:pStyle w:val="68"/>
                    <w:rPr>
                      <w:color w:val="auto"/>
                    </w:rPr>
                  </w:pPr>
                  <w:r>
                    <w:rPr>
                      <w:rFonts w:hint="eastAsia"/>
                      <w:color w:val="auto"/>
                    </w:rPr>
                    <w:t>NH</w:t>
                  </w:r>
                  <w:r>
                    <w:rPr>
                      <w:rFonts w:hint="eastAsia"/>
                      <w:color w:val="auto"/>
                      <w:vertAlign w:val="subscript"/>
                    </w:rPr>
                    <w:t>3</w:t>
                  </w:r>
                </w:p>
              </w:tc>
              <w:tc>
                <w:tcPr>
                  <w:tcW w:w="562" w:type="pct"/>
                  <w:shd w:val="clear" w:color="auto" w:fill="auto"/>
                  <w:vAlign w:val="center"/>
                </w:tcPr>
                <w:p>
                  <w:pPr>
                    <w:pStyle w:val="68"/>
                    <w:rPr>
                      <w:color w:val="auto"/>
                    </w:rPr>
                  </w:pPr>
                  <w:r>
                    <w:rPr>
                      <w:rFonts w:hint="eastAsia"/>
                      <w:color w:val="auto"/>
                    </w:rPr>
                    <w:t>15</w:t>
                  </w:r>
                </w:p>
              </w:tc>
              <w:tc>
                <w:tcPr>
                  <w:tcW w:w="651" w:type="pct"/>
                  <w:shd w:val="clear" w:color="auto" w:fill="auto"/>
                  <w:vAlign w:val="center"/>
                </w:tcPr>
                <w:p>
                  <w:pPr>
                    <w:pStyle w:val="68"/>
                    <w:rPr>
                      <w:color w:val="auto"/>
                    </w:rPr>
                  </w:pPr>
                  <w:r>
                    <w:rPr>
                      <w:rFonts w:hint="eastAsia"/>
                      <w:color w:val="auto"/>
                    </w:rPr>
                    <w:t>4.9</w:t>
                  </w:r>
                </w:p>
              </w:tc>
              <w:tc>
                <w:tcPr>
                  <w:tcW w:w="713" w:type="pct"/>
                  <w:shd w:val="clear" w:color="auto" w:fill="auto"/>
                  <w:vAlign w:val="center"/>
                </w:tcPr>
                <w:p>
                  <w:pPr>
                    <w:pStyle w:val="68"/>
                    <w:rPr>
                      <w:color w:val="auto"/>
                    </w:rPr>
                  </w:pPr>
                  <w:r>
                    <w:rPr>
                      <w:rFonts w:hint="eastAsia"/>
                      <w:color w:val="auto"/>
                    </w:rPr>
                    <w:t>/</w:t>
                  </w:r>
                </w:p>
              </w:tc>
              <w:tc>
                <w:tcPr>
                  <w:tcW w:w="1473" w:type="pct"/>
                  <w:vMerge w:val="restart"/>
                  <w:shd w:val="clear" w:color="auto" w:fill="auto"/>
                  <w:vAlign w:val="center"/>
                </w:tcPr>
                <w:p>
                  <w:pPr>
                    <w:pStyle w:val="68"/>
                    <w:rPr>
                      <w:color w:val="auto"/>
                    </w:rPr>
                  </w:pPr>
                  <w:r>
                    <w:rPr>
                      <w:color w:val="auto"/>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68"/>
                    <w:rPr>
                      <w:color w:val="auto"/>
                    </w:rPr>
                  </w:pPr>
                </w:p>
              </w:tc>
              <w:tc>
                <w:tcPr>
                  <w:tcW w:w="517" w:type="pct"/>
                  <w:vMerge w:val="continue"/>
                  <w:shd w:val="clear" w:color="auto" w:fill="auto"/>
                  <w:vAlign w:val="center"/>
                </w:tcPr>
                <w:p>
                  <w:pPr>
                    <w:pStyle w:val="68"/>
                    <w:rPr>
                      <w:color w:val="auto"/>
                    </w:rPr>
                  </w:pPr>
                </w:p>
              </w:tc>
              <w:tc>
                <w:tcPr>
                  <w:tcW w:w="688" w:type="pct"/>
                  <w:shd w:val="clear" w:color="auto" w:fill="auto"/>
                  <w:vAlign w:val="center"/>
                </w:tcPr>
                <w:p>
                  <w:pPr>
                    <w:pStyle w:val="68"/>
                    <w:rPr>
                      <w:color w:val="auto"/>
                    </w:rPr>
                  </w:pPr>
                  <w:r>
                    <w:rPr>
                      <w:rFonts w:hint="eastAsia"/>
                      <w:color w:val="auto"/>
                    </w:rPr>
                    <w:t>H</w:t>
                  </w:r>
                  <w:r>
                    <w:rPr>
                      <w:rFonts w:hint="eastAsia"/>
                      <w:color w:val="auto"/>
                      <w:vertAlign w:val="subscript"/>
                    </w:rPr>
                    <w:t>2</w:t>
                  </w:r>
                  <w:r>
                    <w:rPr>
                      <w:rFonts w:hint="eastAsia"/>
                      <w:color w:val="auto"/>
                    </w:rPr>
                    <w:t>S</w:t>
                  </w:r>
                </w:p>
              </w:tc>
              <w:tc>
                <w:tcPr>
                  <w:tcW w:w="562" w:type="pct"/>
                  <w:shd w:val="clear" w:color="auto" w:fill="auto"/>
                  <w:vAlign w:val="center"/>
                </w:tcPr>
                <w:p>
                  <w:pPr>
                    <w:pStyle w:val="68"/>
                    <w:rPr>
                      <w:color w:val="auto"/>
                    </w:rPr>
                  </w:pPr>
                  <w:r>
                    <w:rPr>
                      <w:rFonts w:hint="eastAsia"/>
                      <w:color w:val="auto"/>
                    </w:rPr>
                    <w:t>15</w:t>
                  </w:r>
                </w:p>
              </w:tc>
              <w:tc>
                <w:tcPr>
                  <w:tcW w:w="651" w:type="pct"/>
                  <w:shd w:val="clear" w:color="auto" w:fill="auto"/>
                  <w:vAlign w:val="center"/>
                </w:tcPr>
                <w:p>
                  <w:pPr>
                    <w:pStyle w:val="68"/>
                    <w:rPr>
                      <w:color w:val="auto"/>
                    </w:rPr>
                  </w:pPr>
                  <w:r>
                    <w:rPr>
                      <w:rFonts w:hint="eastAsia"/>
                      <w:color w:val="auto"/>
                    </w:rPr>
                    <w:t>0.33</w:t>
                  </w:r>
                </w:p>
              </w:tc>
              <w:tc>
                <w:tcPr>
                  <w:tcW w:w="713" w:type="pct"/>
                  <w:shd w:val="clear" w:color="auto" w:fill="auto"/>
                  <w:vAlign w:val="center"/>
                </w:tcPr>
                <w:p>
                  <w:pPr>
                    <w:pStyle w:val="68"/>
                    <w:rPr>
                      <w:color w:val="auto"/>
                    </w:rPr>
                  </w:pPr>
                  <w:r>
                    <w:rPr>
                      <w:rFonts w:hint="eastAsia"/>
                      <w:color w:val="auto"/>
                    </w:rPr>
                    <w:t>/</w:t>
                  </w:r>
                </w:p>
              </w:tc>
              <w:tc>
                <w:tcPr>
                  <w:tcW w:w="1473"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68"/>
                    <w:rPr>
                      <w:color w:val="auto"/>
                    </w:rPr>
                  </w:pPr>
                </w:p>
              </w:tc>
              <w:tc>
                <w:tcPr>
                  <w:tcW w:w="517" w:type="pct"/>
                  <w:vMerge w:val="continue"/>
                  <w:shd w:val="clear" w:color="auto" w:fill="auto"/>
                  <w:vAlign w:val="center"/>
                </w:tcPr>
                <w:p>
                  <w:pPr>
                    <w:pStyle w:val="68"/>
                    <w:rPr>
                      <w:color w:val="auto"/>
                    </w:rPr>
                  </w:pPr>
                </w:p>
              </w:tc>
              <w:tc>
                <w:tcPr>
                  <w:tcW w:w="688" w:type="pct"/>
                  <w:shd w:val="clear" w:color="auto" w:fill="auto"/>
                  <w:vAlign w:val="center"/>
                </w:tcPr>
                <w:p>
                  <w:pPr>
                    <w:pStyle w:val="68"/>
                    <w:rPr>
                      <w:color w:val="auto"/>
                    </w:rPr>
                  </w:pPr>
                  <w:r>
                    <w:rPr>
                      <w:rFonts w:hint="eastAsia"/>
                      <w:color w:val="auto"/>
                    </w:rPr>
                    <w:t>臭气浓度</w:t>
                  </w:r>
                </w:p>
              </w:tc>
              <w:tc>
                <w:tcPr>
                  <w:tcW w:w="562" w:type="pct"/>
                  <w:shd w:val="clear" w:color="auto" w:fill="auto"/>
                  <w:vAlign w:val="center"/>
                </w:tcPr>
                <w:p>
                  <w:pPr>
                    <w:pStyle w:val="68"/>
                    <w:rPr>
                      <w:color w:val="auto"/>
                    </w:rPr>
                  </w:pPr>
                  <w:r>
                    <w:rPr>
                      <w:rFonts w:hint="eastAsia"/>
                      <w:color w:val="auto"/>
                    </w:rPr>
                    <w:t>15</w:t>
                  </w:r>
                </w:p>
              </w:tc>
              <w:tc>
                <w:tcPr>
                  <w:tcW w:w="651" w:type="pct"/>
                  <w:shd w:val="clear" w:color="auto" w:fill="auto"/>
                  <w:vAlign w:val="center"/>
                </w:tcPr>
                <w:p>
                  <w:pPr>
                    <w:pStyle w:val="68"/>
                    <w:rPr>
                      <w:color w:val="auto"/>
                    </w:rPr>
                  </w:pPr>
                  <w:r>
                    <w:rPr>
                      <w:rFonts w:hint="eastAsia"/>
                      <w:color w:val="auto"/>
                    </w:rPr>
                    <w:t>2000</w:t>
                  </w:r>
                </w:p>
              </w:tc>
              <w:tc>
                <w:tcPr>
                  <w:tcW w:w="713" w:type="pct"/>
                  <w:shd w:val="clear" w:color="auto" w:fill="auto"/>
                  <w:vAlign w:val="center"/>
                </w:tcPr>
                <w:p>
                  <w:pPr>
                    <w:pStyle w:val="68"/>
                    <w:rPr>
                      <w:color w:val="auto"/>
                    </w:rPr>
                  </w:pPr>
                  <w:r>
                    <w:rPr>
                      <w:rFonts w:hint="eastAsia"/>
                      <w:color w:val="auto"/>
                    </w:rPr>
                    <w:t>/</w:t>
                  </w:r>
                </w:p>
              </w:tc>
              <w:tc>
                <w:tcPr>
                  <w:tcW w:w="1473"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68"/>
                    <w:rPr>
                      <w:color w:val="auto"/>
                    </w:rPr>
                  </w:pPr>
                </w:p>
              </w:tc>
              <w:tc>
                <w:tcPr>
                  <w:tcW w:w="517" w:type="pct"/>
                  <w:vMerge w:val="restart"/>
                  <w:shd w:val="clear" w:color="auto" w:fill="auto"/>
                  <w:vAlign w:val="center"/>
                </w:tcPr>
                <w:p>
                  <w:pPr>
                    <w:pStyle w:val="68"/>
                    <w:rPr>
                      <w:color w:val="auto"/>
                    </w:rPr>
                  </w:pPr>
                  <w:r>
                    <w:rPr>
                      <w:rFonts w:hint="eastAsia"/>
                      <w:color w:val="auto"/>
                    </w:rPr>
                    <w:t>无组织</w:t>
                  </w:r>
                </w:p>
              </w:tc>
              <w:tc>
                <w:tcPr>
                  <w:tcW w:w="688" w:type="pct"/>
                  <w:shd w:val="clear" w:color="auto" w:fill="auto"/>
                  <w:vAlign w:val="center"/>
                </w:tcPr>
                <w:p>
                  <w:pPr>
                    <w:pStyle w:val="68"/>
                    <w:rPr>
                      <w:color w:val="auto"/>
                    </w:rPr>
                  </w:pPr>
                  <w:r>
                    <w:rPr>
                      <w:rFonts w:hint="eastAsia"/>
                      <w:color w:val="auto"/>
                    </w:rPr>
                    <w:t>NH</w:t>
                  </w:r>
                  <w:r>
                    <w:rPr>
                      <w:rFonts w:hint="eastAsia"/>
                      <w:color w:val="auto"/>
                      <w:vertAlign w:val="subscript"/>
                    </w:rPr>
                    <w:t>3</w:t>
                  </w:r>
                </w:p>
              </w:tc>
              <w:tc>
                <w:tcPr>
                  <w:tcW w:w="562" w:type="pct"/>
                  <w:shd w:val="clear" w:color="auto" w:fill="auto"/>
                  <w:vAlign w:val="center"/>
                </w:tcPr>
                <w:p>
                  <w:pPr>
                    <w:pStyle w:val="68"/>
                    <w:rPr>
                      <w:color w:val="auto"/>
                    </w:rPr>
                  </w:pPr>
                  <w:r>
                    <w:rPr>
                      <w:rFonts w:hint="eastAsia"/>
                      <w:color w:val="auto"/>
                    </w:rPr>
                    <w:t>/</w:t>
                  </w:r>
                </w:p>
              </w:tc>
              <w:tc>
                <w:tcPr>
                  <w:tcW w:w="651" w:type="pct"/>
                  <w:shd w:val="clear" w:color="auto" w:fill="auto"/>
                  <w:vAlign w:val="center"/>
                </w:tcPr>
                <w:p>
                  <w:pPr>
                    <w:pStyle w:val="68"/>
                    <w:rPr>
                      <w:color w:val="auto"/>
                    </w:rPr>
                  </w:pPr>
                  <w:r>
                    <w:rPr>
                      <w:rFonts w:hint="eastAsia"/>
                      <w:color w:val="auto"/>
                    </w:rPr>
                    <w:t>/</w:t>
                  </w:r>
                </w:p>
              </w:tc>
              <w:tc>
                <w:tcPr>
                  <w:tcW w:w="713" w:type="pct"/>
                  <w:shd w:val="clear" w:color="auto" w:fill="auto"/>
                  <w:vAlign w:val="center"/>
                </w:tcPr>
                <w:p>
                  <w:pPr>
                    <w:pStyle w:val="68"/>
                    <w:rPr>
                      <w:color w:val="auto"/>
                    </w:rPr>
                  </w:pPr>
                  <w:r>
                    <w:rPr>
                      <w:rFonts w:hint="eastAsia"/>
                      <w:color w:val="auto"/>
                    </w:rPr>
                    <w:t>1.5</w:t>
                  </w:r>
                </w:p>
              </w:tc>
              <w:tc>
                <w:tcPr>
                  <w:tcW w:w="1473"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shd w:val="clear" w:color="auto" w:fill="auto"/>
                  <w:vAlign w:val="center"/>
                </w:tcPr>
                <w:p>
                  <w:pPr>
                    <w:pStyle w:val="68"/>
                    <w:rPr>
                      <w:color w:val="auto"/>
                    </w:rPr>
                  </w:pPr>
                </w:p>
              </w:tc>
              <w:tc>
                <w:tcPr>
                  <w:tcW w:w="517" w:type="pct"/>
                  <w:vMerge w:val="continue"/>
                  <w:shd w:val="clear" w:color="auto" w:fill="auto"/>
                  <w:vAlign w:val="center"/>
                </w:tcPr>
                <w:p>
                  <w:pPr>
                    <w:pStyle w:val="68"/>
                    <w:rPr>
                      <w:color w:val="auto"/>
                    </w:rPr>
                  </w:pPr>
                </w:p>
              </w:tc>
              <w:tc>
                <w:tcPr>
                  <w:tcW w:w="688" w:type="pct"/>
                  <w:shd w:val="clear" w:color="auto" w:fill="auto"/>
                  <w:vAlign w:val="center"/>
                </w:tcPr>
                <w:p>
                  <w:pPr>
                    <w:pStyle w:val="68"/>
                    <w:rPr>
                      <w:color w:val="auto"/>
                    </w:rPr>
                  </w:pPr>
                  <w:r>
                    <w:rPr>
                      <w:rFonts w:hint="eastAsia"/>
                      <w:color w:val="auto"/>
                    </w:rPr>
                    <w:t>H</w:t>
                  </w:r>
                  <w:r>
                    <w:rPr>
                      <w:rFonts w:hint="eastAsia"/>
                      <w:color w:val="auto"/>
                      <w:vertAlign w:val="subscript"/>
                    </w:rPr>
                    <w:t>2</w:t>
                  </w:r>
                  <w:r>
                    <w:rPr>
                      <w:rFonts w:hint="eastAsia"/>
                      <w:color w:val="auto"/>
                    </w:rPr>
                    <w:t>S</w:t>
                  </w:r>
                </w:p>
              </w:tc>
              <w:tc>
                <w:tcPr>
                  <w:tcW w:w="562" w:type="pct"/>
                  <w:shd w:val="clear" w:color="auto" w:fill="auto"/>
                  <w:vAlign w:val="center"/>
                </w:tcPr>
                <w:p>
                  <w:pPr>
                    <w:pStyle w:val="68"/>
                    <w:rPr>
                      <w:color w:val="auto"/>
                    </w:rPr>
                  </w:pPr>
                  <w:r>
                    <w:rPr>
                      <w:rFonts w:hint="eastAsia"/>
                      <w:color w:val="auto"/>
                    </w:rPr>
                    <w:t>/</w:t>
                  </w:r>
                </w:p>
              </w:tc>
              <w:tc>
                <w:tcPr>
                  <w:tcW w:w="651" w:type="pct"/>
                  <w:shd w:val="clear" w:color="auto" w:fill="auto"/>
                  <w:vAlign w:val="center"/>
                </w:tcPr>
                <w:p>
                  <w:pPr>
                    <w:pStyle w:val="68"/>
                    <w:rPr>
                      <w:color w:val="auto"/>
                    </w:rPr>
                  </w:pPr>
                  <w:r>
                    <w:rPr>
                      <w:rFonts w:hint="eastAsia"/>
                      <w:color w:val="auto"/>
                    </w:rPr>
                    <w:t>/</w:t>
                  </w:r>
                </w:p>
              </w:tc>
              <w:tc>
                <w:tcPr>
                  <w:tcW w:w="713" w:type="pct"/>
                  <w:shd w:val="clear" w:color="auto" w:fill="auto"/>
                  <w:vAlign w:val="center"/>
                </w:tcPr>
                <w:p>
                  <w:pPr>
                    <w:pStyle w:val="68"/>
                    <w:rPr>
                      <w:color w:val="auto"/>
                    </w:rPr>
                  </w:pPr>
                  <w:r>
                    <w:rPr>
                      <w:rFonts w:hint="eastAsia"/>
                      <w:color w:val="auto"/>
                    </w:rPr>
                    <w:t>0.6</w:t>
                  </w:r>
                </w:p>
              </w:tc>
              <w:tc>
                <w:tcPr>
                  <w:tcW w:w="1473" w:type="pct"/>
                  <w:vMerge w:val="continue"/>
                  <w:shd w:val="clear" w:color="auto" w:fill="auto"/>
                  <w:vAlign w:val="center"/>
                </w:tcPr>
                <w:p>
                  <w:pPr>
                    <w:pStyle w:val="68"/>
                    <w:rPr>
                      <w:color w:val="auto"/>
                      <w:vertAlign w:val="superscri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68"/>
                    <w:rPr>
                      <w:color w:val="auto"/>
                    </w:rPr>
                  </w:pPr>
                </w:p>
              </w:tc>
              <w:tc>
                <w:tcPr>
                  <w:tcW w:w="517" w:type="pct"/>
                  <w:vMerge w:val="continue"/>
                  <w:shd w:val="clear" w:color="auto" w:fill="auto"/>
                  <w:vAlign w:val="center"/>
                </w:tcPr>
                <w:p>
                  <w:pPr>
                    <w:pStyle w:val="68"/>
                    <w:rPr>
                      <w:color w:val="auto"/>
                    </w:rPr>
                  </w:pPr>
                </w:p>
              </w:tc>
              <w:tc>
                <w:tcPr>
                  <w:tcW w:w="688" w:type="pct"/>
                  <w:shd w:val="clear" w:color="auto" w:fill="auto"/>
                  <w:vAlign w:val="center"/>
                </w:tcPr>
                <w:p>
                  <w:pPr>
                    <w:pStyle w:val="68"/>
                    <w:rPr>
                      <w:color w:val="auto"/>
                    </w:rPr>
                  </w:pPr>
                  <w:r>
                    <w:rPr>
                      <w:rFonts w:hint="eastAsia"/>
                      <w:color w:val="auto"/>
                    </w:rPr>
                    <w:t>臭气浓度</w:t>
                  </w:r>
                </w:p>
              </w:tc>
              <w:tc>
                <w:tcPr>
                  <w:tcW w:w="562" w:type="pct"/>
                  <w:shd w:val="clear" w:color="auto" w:fill="auto"/>
                  <w:vAlign w:val="center"/>
                </w:tcPr>
                <w:p>
                  <w:pPr>
                    <w:pStyle w:val="68"/>
                    <w:rPr>
                      <w:color w:val="auto"/>
                    </w:rPr>
                  </w:pPr>
                  <w:r>
                    <w:rPr>
                      <w:rFonts w:hint="eastAsia"/>
                      <w:color w:val="auto"/>
                    </w:rPr>
                    <w:t>/</w:t>
                  </w:r>
                </w:p>
              </w:tc>
              <w:tc>
                <w:tcPr>
                  <w:tcW w:w="651" w:type="pct"/>
                  <w:shd w:val="clear" w:color="auto" w:fill="auto"/>
                  <w:vAlign w:val="center"/>
                </w:tcPr>
                <w:p>
                  <w:pPr>
                    <w:pStyle w:val="68"/>
                    <w:rPr>
                      <w:color w:val="auto"/>
                    </w:rPr>
                  </w:pPr>
                  <w:r>
                    <w:rPr>
                      <w:rFonts w:hint="eastAsia"/>
                      <w:color w:val="auto"/>
                    </w:rPr>
                    <w:t>/</w:t>
                  </w:r>
                </w:p>
              </w:tc>
              <w:tc>
                <w:tcPr>
                  <w:tcW w:w="713" w:type="pct"/>
                  <w:shd w:val="clear" w:color="auto" w:fill="auto"/>
                  <w:vAlign w:val="center"/>
                </w:tcPr>
                <w:p>
                  <w:pPr>
                    <w:pStyle w:val="68"/>
                    <w:rPr>
                      <w:color w:val="auto"/>
                    </w:rPr>
                  </w:pPr>
                  <w:r>
                    <w:rPr>
                      <w:rFonts w:hint="eastAsia"/>
                      <w:color w:val="auto"/>
                    </w:rPr>
                    <w:t>20</w:t>
                  </w:r>
                </w:p>
              </w:tc>
              <w:tc>
                <w:tcPr>
                  <w:tcW w:w="1473" w:type="pct"/>
                  <w:vMerge w:val="continue"/>
                  <w:shd w:val="clear" w:color="auto" w:fill="auto"/>
                  <w:vAlign w:val="center"/>
                </w:tcPr>
                <w:p>
                  <w:pPr>
                    <w:pStyle w:val="68"/>
                    <w:rPr>
                      <w:color w:val="auto"/>
                      <w:vertAlign w:val="superscript"/>
                    </w:rPr>
                  </w:pPr>
                </w:p>
              </w:tc>
            </w:tr>
          </w:tbl>
          <w:p>
            <w:pPr>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排气筒（DA00</w:t>
            </w:r>
            <w:r>
              <w:rPr>
                <w:color w:val="auto"/>
              </w:rPr>
              <w:t>2</w:t>
            </w:r>
            <w:r>
              <w:rPr>
                <w:rFonts w:hint="eastAsia"/>
                <w:color w:val="auto"/>
              </w:rPr>
              <w:t>）排放污染物</w:t>
            </w:r>
            <w:r>
              <w:rPr>
                <w:color w:val="auto"/>
              </w:rPr>
              <w:t>执行《锅炉大气污染物排放标准》（GB13271-2014）中表2燃煤锅炉排放浓度限值。</w:t>
            </w:r>
          </w:p>
          <w:p>
            <w:pPr>
              <w:wordWrap/>
              <w:autoSpaceDN/>
              <w:spacing w:line="240" w:lineRule="auto"/>
              <w:ind w:firstLine="0" w:firstLineChars="0"/>
              <w:jc w:val="center"/>
              <w:rPr>
                <w:b/>
                <w:color w:val="auto"/>
                <w:sz w:val="21"/>
                <w:szCs w:val="21"/>
              </w:rPr>
            </w:pPr>
            <w:r>
              <w:rPr>
                <w:b/>
                <w:color w:val="auto"/>
                <w:sz w:val="21"/>
                <w:szCs w:val="21"/>
              </w:rPr>
              <w:t xml:space="preserve">表3.3-2 </w:t>
            </w:r>
            <w:r>
              <w:rPr>
                <w:rFonts w:hint="eastAsia"/>
                <w:b/>
                <w:color w:val="auto"/>
                <w:sz w:val="21"/>
                <w:szCs w:val="21"/>
                <w:lang w:val="en-US" w:eastAsia="zh-CN"/>
              </w:rPr>
              <w:t xml:space="preserve"> </w:t>
            </w:r>
            <w:r>
              <w:rPr>
                <w:rFonts w:hint="eastAsia"/>
                <w:b/>
                <w:color w:val="auto"/>
                <w:sz w:val="21"/>
                <w:szCs w:val="21"/>
              </w:rPr>
              <w:t>锅炉燃烧废气</w:t>
            </w:r>
            <w:r>
              <w:rPr>
                <w:b/>
                <w:color w:val="auto"/>
                <w:sz w:val="21"/>
                <w:szCs w:val="21"/>
              </w:rPr>
              <w:t>执行标准   单位：mg/m</w:t>
            </w:r>
            <w:r>
              <w:rPr>
                <w:b/>
                <w:color w:val="auto"/>
                <w:sz w:val="21"/>
                <w:szCs w:val="21"/>
                <w:vertAlign w:val="superscript"/>
              </w:rPr>
              <w:t>3</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1103"/>
              <w:gridCol w:w="963"/>
              <w:gridCol w:w="1065"/>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pct"/>
                  <w:vAlign w:val="center"/>
                </w:tcPr>
                <w:p>
                  <w:pPr>
                    <w:pStyle w:val="68"/>
                    <w:rPr>
                      <w:b/>
                      <w:bCs/>
                      <w:color w:val="auto"/>
                    </w:rPr>
                  </w:pPr>
                  <w:r>
                    <w:rPr>
                      <w:b/>
                      <w:bCs/>
                      <w:color w:val="auto"/>
                    </w:rPr>
                    <w:t>污染物项目</w:t>
                  </w:r>
                </w:p>
              </w:tc>
              <w:tc>
                <w:tcPr>
                  <w:tcW w:w="703" w:type="pct"/>
                  <w:vAlign w:val="center"/>
                </w:tcPr>
                <w:p>
                  <w:pPr>
                    <w:pStyle w:val="68"/>
                    <w:rPr>
                      <w:b/>
                      <w:bCs/>
                      <w:color w:val="auto"/>
                    </w:rPr>
                  </w:pPr>
                  <w:r>
                    <w:rPr>
                      <w:b/>
                      <w:bCs/>
                      <w:color w:val="auto"/>
                    </w:rPr>
                    <w:t>颗粒物</w:t>
                  </w:r>
                </w:p>
              </w:tc>
              <w:tc>
                <w:tcPr>
                  <w:tcW w:w="614" w:type="pct"/>
                  <w:vAlign w:val="center"/>
                </w:tcPr>
                <w:p>
                  <w:pPr>
                    <w:pStyle w:val="68"/>
                    <w:rPr>
                      <w:b/>
                      <w:bCs/>
                      <w:color w:val="auto"/>
                    </w:rPr>
                  </w:pPr>
                  <w:r>
                    <w:rPr>
                      <w:b/>
                      <w:bCs/>
                      <w:color w:val="auto"/>
                    </w:rPr>
                    <w:t>SO</w:t>
                  </w:r>
                  <w:r>
                    <w:rPr>
                      <w:b/>
                      <w:bCs/>
                      <w:color w:val="auto"/>
                      <w:vertAlign w:val="subscript"/>
                    </w:rPr>
                    <w:t>2</w:t>
                  </w:r>
                </w:p>
              </w:tc>
              <w:tc>
                <w:tcPr>
                  <w:tcW w:w="679" w:type="pct"/>
                  <w:vAlign w:val="center"/>
                </w:tcPr>
                <w:p>
                  <w:pPr>
                    <w:pStyle w:val="68"/>
                    <w:rPr>
                      <w:b/>
                      <w:bCs/>
                      <w:color w:val="auto"/>
                    </w:rPr>
                  </w:pPr>
                  <w:r>
                    <w:rPr>
                      <w:b/>
                      <w:bCs/>
                      <w:color w:val="auto"/>
                    </w:rPr>
                    <w:t>NOx</w:t>
                  </w:r>
                </w:p>
              </w:tc>
              <w:tc>
                <w:tcPr>
                  <w:tcW w:w="1608" w:type="pct"/>
                  <w:vAlign w:val="center"/>
                </w:tcPr>
                <w:p>
                  <w:pPr>
                    <w:pStyle w:val="68"/>
                    <w:rPr>
                      <w:b/>
                      <w:bCs/>
                      <w:color w:val="auto"/>
                    </w:rPr>
                  </w:pPr>
                  <w:r>
                    <w:rPr>
                      <w:b/>
                      <w:bCs/>
                      <w:color w:val="auto"/>
                    </w:rPr>
                    <w:t>烟气黑度</w:t>
                  </w:r>
                  <w:r>
                    <w:rPr>
                      <w:rFonts w:hint="eastAsia"/>
                      <w:b/>
                      <w:bCs/>
                      <w:color w:val="auto"/>
                    </w:rPr>
                    <w:t>（林格曼黑度，级）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pct"/>
                  <w:vAlign w:val="center"/>
                </w:tcPr>
                <w:p>
                  <w:pPr>
                    <w:pStyle w:val="68"/>
                    <w:rPr>
                      <w:color w:val="auto"/>
                    </w:rPr>
                  </w:pPr>
                  <w:r>
                    <w:rPr>
                      <w:color w:val="auto"/>
                    </w:rPr>
                    <w:t>标准限值</w:t>
                  </w:r>
                </w:p>
              </w:tc>
              <w:tc>
                <w:tcPr>
                  <w:tcW w:w="703" w:type="pct"/>
                  <w:vAlign w:val="center"/>
                </w:tcPr>
                <w:p>
                  <w:pPr>
                    <w:pStyle w:val="68"/>
                    <w:rPr>
                      <w:color w:val="auto"/>
                    </w:rPr>
                  </w:pPr>
                  <w:r>
                    <w:rPr>
                      <w:color w:val="auto"/>
                    </w:rPr>
                    <w:t>50</w:t>
                  </w:r>
                </w:p>
              </w:tc>
              <w:tc>
                <w:tcPr>
                  <w:tcW w:w="614" w:type="pct"/>
                  <w:vAlign w:val="center"/>
                </w:tcPr>
                <w:p>
                  <w:pPr>
                    <w:pStyle w:val="68"/>
                    <w:rPr>
                      <w:color w:val="auto"/>
                    </w:rPr>
                  </w:pPr>
                  <w:r>
                    <w:rPr>
                      <w:color w:val="auto"/>
                    </w:rPr>
                    <w:t>300</w:t>
                  </w:r>
                </w:p>
              </w:tc>
              <w:tc>
                <w:tcPr>
                  <w:tcW w:w="679" w:type="pct"/>
                  <w:vAlign w:val="center"/>
                </w:tcPr>
                <w:p>
                  <w:pPr>
                    <w:pStyle w:val="68"/>
                    <w:rPr>
                      <w:color w:val="auto"/>
                    </w:rPr>
                  </w:pPr>
                  <w:r>
                    <w:rPr>
                      <w:color w:val="auto"/>
                    </w:rPr>
                    <w:t>300</w:t>
                  </w:r>
                </w:p>
              </w:tc>
              <w:tc>
                <w:tcPr>
                  <w:tcW w:w="1608" w:type="pct"/>
                  <w:vAlign w:val="center"/>
                </w:tcPr>
                <w:p>
                  <w:pPr>
                    <w:pStyle w:val="68"/>
                    <w:rPr>
                      <w:color w:val="auto"/>
                    </w:rPr>
                  </w:pPr>
                  <w:r>
                    <w:rPr>
                      <w:rFonts w:hint="eastAsia" w:ascii="宋体" w:hAnsi="宋体" w:cs="宋体"/>
                      <w:color w:val="auto"/>
                    </w:rPr>
                    <w:t>≦</w:t>
                  </w:r>
                  <w:r>
                    <w:rPr>
                      <w:color w:val="auto"/>
                    </w:rPr>
                    <w:t>1</w:t>
                  </w:r>
                </w:p>
              </w:tc>
            </w:tr>
          </w:tbl>
          <w:p>
            <w:pPr>
              <w:ind w:firstLine="480"/>
              <w:rPr>
                <w:color w:val="auto"/>
              </w:rPr>
            </w:pPr>
            <w:r>
              <w:rPr>
                <w:rFonts w:hint="eastAsia"/>
                <w:color w:val="auto"/>
              </w:rPr>
              <w:t>根据</w:t>
            </w:r>
            <w:r>
              <w:rPr>
                <w:color w:val="auto"/>
              </w:rPr>
              <w:t>《锅炉大气污染物排放标准》（GB13271-2014）</w:t>
            </w:r>
            <w:r>
              <w:rPr>
                <w:rFonts w:hint="eastAsia"/>
                <w:color w:val="auto"/>
              </w:rPr>
              <w:t>4.5要求：每个新建燃煤锅炉房只能设一根烟囱，烟囱高度应根据锅炉房装机总容量，按表4规定执行，新建锅炉房的烟囱周围半径200m距离内有建筑物时，其烟囱应高出最高建筑物3m以上。</w:t>
            </w:r>
          </w:p>
          <w:p>
            <w:pPr>
              <w:ind w:firstLine="480"/>
              <w:rPr>
                <w:color w:val="auto"/>
              </w:rPr>
            </w:pPr>
            <w:r>
              <w:rPr>
                <w:rFonts w:hint="eastAsia"/>
                <w:color w:val="auto"/>
              </w:rPr>
              <w:t>本项目生物质锅炉排气筒高度按照燃煤锅炉要求执行，本项目</w:t>
            </w:r>
            <w:r>
              <w:rPr>
                <w:rFonts w:hint="eastAsia"/>
                <w:color w:val="auto"/>
                <w:lang w:val="en-US" w:eastAsia="zh-CN"/>
              </w:rPr>
              <w:t>新建</w:t>
            </w:r>
            <w:r>
              <w:rPr>
                <w:rFonts w:hint="eastAsia"/>
                <w:color w:val="auto"/>
              </w:rPr>
              <w:t>生物质锅炉出力</w:t>
            </w:r>
            <w:r>
              <w:rPr>
                <w:rFonts w:hint="eastAsia"/>
                <w:color w:val="auto"/>
                <w:lang w:val="en-US" w:eastAsia="zh-CN"/>
              </w:rPr>
              <w:t>2.2</w:t>
            </w:r>
            <w:r>
              <w:rPr>
                <w:rFonts w:hint="eastAsia"/>
                <w:color w:val="auto"/>
              </w:rPr>
              <w:t>t/h，排气筒高度最低高度</w:t>
            </w:r>
            <w:r>
              <w:rPr>
                <w:rFonts w:hint="eastAsia"/>
                <w:color w:val="auto"/>
                <w:lang w:val="en-US" w:eastAsia="zh-CN"/>
              </w:rPr>
              <w:t>3</w:t>
            </w:r>
            <w:r>
              <w:rPr>
                <w:color w:val="auto"/>
              </w:rPr>
              <w:t>0</w:t>
            </w:r>
            <w:r>
              <w:rPr>
                <w:rFonts w:hint="eastAsia"/>
                <w:color w:val="auto"/>
              </w:rPr>
              <w:t>m，根据现场踏勘，项目周边2</w:t>
            </w:r>
            <w:r>
              <w:rPr>
                <w:color w:val="auto"/>
              </w:rPr>
              <w:t>00</w:t>
            </w:r>
            <w:r>
              <w:rPr>
                <w:rFonts w:hint="eastAsia"/>
                <w:color w:val="auto"/>
              </w:rPr>
              <w:t>m范围内最高建筑为项目区东侧散户，约9m，综上，本项目锅炉排气筒高度设置为</w:t>
            </w:r>
            <w:r>
              <w:rPr>
                <w:rFonts w:hint="eastAsia"/>
                <w:color w:val="auto"/>
                <w:lang w:val="en-US" w:eastAsia="zh-CN"/>
              </w:rPr>
              <w:t>3</w:t>
            </w:r>
            <w:r>
              <w:rPr>
                <w:color w:val="auto"/>
              </w:rPr>
              <w:t>0</w:t>
            </w:r>
            <w:r>
              <w:rPr>
                <w:rFonts w:hint="eastAsia"/>
                <w:color w:val="auto"/>
              </w:rPr>
              <w:t>m。</w:t>
            </w:r>
          </w:p>
          <w:p>
            <w:pPr>
              <w:pStyle w:val="61"/>
              <w:spacing w:before="60" w:after="60"/>
              <w:rPr>
                <w:color w:val="auto"/>
              </w:rPr>
            </w:pPr>
            <w:r>
              <w:rPr>
                <w:rFonts w:hint="eastAsia"/>
                <w:color w:val="auto"/>
              </w:rPr>
              <w:t>3.3.2污水排放标准</w:t>
            </w:r>
          </w:p>
          <w:p>
            <w:pPr>
              <w:ind w:firstLine="480"/>
              <w:rPr>
                <w:color w:val="auto"/>
              </w:rPr>
            </w:pPr>
            <w:r>
              <w:rPr>
                <w:rFonts w:hint="eastAsia"/>
                <w:color w:val="auto"/>
              </w:rPr>
              <w:t>污水处理站处理后废水达到师宗县彩云镇生活污水站准入标准《污水排入城镇下水道水质标准》（GB/T31962-2015）B等级排放标准和《污水综合排放标准》（GB8978-1996）三级标准中最严格标准后</w:t>
            </w:r>
            <w:r>
              <w:rPr>
                <w:color w:val="auto"/>
              </w:rPr>
              <w:t>进入</w:t>
            </w:r>
            <w:r>
              <w:rPr>
                <w:rFonts w:hint="eastAsia"/>
                <w:color w:val="auto"/>
              </w:rPr>
              <w:t>师宗县彩云镇生活污水站</w:t>
            </w:r>
            <w:r>
              <w:rPr>
                <w:rFonts w:hint="eastAsia"/>
                <w:color w:val="auto"/>
                <w:lang w:val="en-US" w:eastAsia="zh-CN"/>
              </w:rPr>
              <w:t>处理</w:t>
            </w:r>
            <w:r>
              <w:rPr>
                <w:rFonts w:hint="eastAsia"/>
                <w:color w:val="auto"/>
              </w:rPr>
              <w:t>。</w:t>
            </w:r>
          </w:p>
          <w:p>
            <w:pPr>
              <w:pStyle w:val="71"/>
              <w:rPr>
                <w:color w:val="auto"/>
              </w:rPr>
            </w:pPr>
            <w:r>
              <w:rPr>
                <w:rFonts w:hint="eastAsia"/>
                <w:color w:val="auto"/>
              </w:rPr>
              <w:t>表</w:t>
            </w:r>
            <w:r>
              <w:rPr>
                <w:color w:val="auto"/>
              </w:rPr>
              <w:t xml:space="preserve">3.3-3 </w:t>
            </w:r>
            <w:r>
              <w:rPr>
                <w:rFonts w:hint="eastAsia"/>
                <w:color w:val="auto"/>
                <w:lang w:val="en-US" w:eastAsia="zh-CN"/>
              </w:rPr>
              <w:t xml:space="preserve"> </w:t>
            </w:r>
            <w:r>
              <w:rPr>
                <w:rFonts w:hint="eastAsia"/>
                <w:color w:val="auto"/>
              </w:rPr>
              <w:t>污水排放标准</w:t>
            </w:r>
            <w:r>
              <w:rPr>
                <w:color w:val="auto"/>
              </w:rPr>
              <w:t xml:space="preserve">    </w:t>
            </w:r>
            <w:r>
              <w:rPr>
                <w:rFonts w:hint="eastAsia"/>
                <w:color w:val="auto"/>
              </w:rPr>
              <w:t>单位：</w:t>
            </w:r>
            <w:r>
              <w:rPr>
                <w:color w:val="auto"/>
              </w:rPr>
              <w:t>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2195"/>
              <w:gridCol w:w="285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69" w:type="pct"/>
                  <w:tcBorders>
                    <w:tl2br w:val="nil"/>
                    <w:tr2bl w:val="nil"/>
                  </w:tcBorders>
                  <w:vAlign w:val="center"/>
                </w:tcPr>
                <w:p>
                  <w:pPr>
                    <w:pStyle w:val="68"/>
                    <w:rPr>
                      <w:b/>
                      <w:bCs/>
                      <w:color w:val="auto"/>
                    </w:rPr>
                  </w:pPr>
                  <w:r>
                    <w:rPr>
                      <w:rFonts w:hint="eastAsia"/>
                      <w:b/>
                      <w:bCs/>
                      <w:color w:val="auto"/>
                    </w:rPr>
                    <w:t>排放标准</w:t>
                  </w:r>
                </w:p>
              </w:tc>
              <w:tc>
                <w:tcPr>
                  <w:tcW w:w="1399" w:type="pct"/>
                  <w:tcBorders>
                    <w:tl2br w:val="nil"/>
                    <w:tr2bl w:val="nil"/>
                  </w:tcBorders>
                  <w:vAlign w:val="center"/>
                </w:tcPr>
                <w:p>
                  <w:pPr>
                    <w:pStyle w:val="68"/>
                    <w:rPr>
                      <w:b/>
                      <w:bCs/>
                      <w:color w:val="auto"/>
                    </w:rPr>
                  </w:pPr>
                  <w:r>
                    <w:rPr>
                      <w:b/>
                      <w:bCs/>
                      <w:color w:val="auto"/>
                    </w:rPr>
                    <w:t>《污水综合排放标准》（GB8978-1996）三级标准</w:t>
                  </w:r>
                </w:p>
              </w:tc>
              <w:tc>
                <w:tcPr>
                  <w:tcW w:w="1822" w:type="pct"/>
                  <w:tcBorders>
                    <w:tl2br w:val="nil"/>
                    <w:tr2bl w:val="nil"/>
                  </w:tcBorders>
                  <w:vAlign w:val="center"/>
                </w:tcPr>
                <w:p>
                  <w:pPr>
                    <w:pStyle w:val="68"/>
                    <w:rPr>
                      <w:b/>
                      <w:bCs/>
                      <w:color w:val="auto"/>
                    </w:rPr>
                  </w:pPr>
                  <w:r>
                    <w:rPr>
                      <w:b/>
                      <w:bCs/>
                      <w:color w:val="auto"/>
                    </w:rPr>
                    <w:t>《污水排入城镇下水道水质标准》（GB/T31962-2015）B等级排放标准</w:t>
                  </w:r>
                </w:p>
              </w:tc>
              <w:tc>
                <w:tcPr>
                  <w:tcW w:w="809" w:type="pct"/>
                  <w:tcBorders>
                    <w:tl2br w:val="nil"/>
                    <w:tr2bl w:val="nil"/>
                  </w:tcBorders>
                  <w:vAlign w:val="center"/>
                </w:tcPr>
                <w:p>
                  <w:pPr>
                    <w:pStyle w:val="68"/>
                    <w:rPr>
                      <w:b/>
                      <w:bCs/>
                      <w:color w:val="auto"/>
                    </w:rPr>
                  </w:pPr>
                  <w:r>
                    <w:rPr>
                      <w:rFonts w:hint="eastAsia"/>
                      <w:b/>
                      <w:bCs/>
                      <w:color w:val="auto"/>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pH（无量纲）</w:t>
                  </w:r>
                </w:p>
              </w:tc>
              <w:tc>
                <w:tcPr>
                  <w:tcW w:w="1399" w:type="pct"/>
                  <w:tcBorders>
                    <w:tl2br w:val="nil"/>
                    <w:tr2bl w:val="nil"/>
                  </w:tcBorders>
                  <w:vAlign w:val="center"/>
                </w:tcPr>
                <w:p>
                  <w:pPr>
                    <w:pStyle w:val="68"/>
                    <w:rPr>
                      <w:color w:val="auto"/>
                    </w:rPr>
                  </w:pPr>
                  <w:r>
                    <w:rPr>
                      <w:color w:val="auto"/>
                    </w:rPr>
                    <w:t>6</w:t>
                  </w:r>
                  <w:r>
                    <w:rPr>
                      <w:rFonts w:hint="eastAsia"/>
                      <w:color w:val="auto"/>
                      <w:lang w:eastAsia="zh-CN"/>
                    </w:rPr>
                    <w:t>~</w:t>
                  </w:r>
                  <w:r>
                    <w:rPr>
                      <w:color w:val="auto"/>
                    </w:rPr>
                    <w:t>9</w:t>
                  </w:r>
                </w:p>
              </w:tc>
              <w:tc>
                <w:tcPr>
                  <w:tcW w:w="1822" w:type="pct"/>
                  <w:tcBorders>
                    <w:tl2br w:val="nil"/>
                    <w:tr2bl w:val="nil"/>
                  </w:tcBorders>
                  <w:vAlign w:val="center"/>
                </w:tcPr>
                <w:p>
                  <w:pPr>
                    <w:pStyle w:val="68"/>
                    <w:rPr>
                      <w:color w:val="auto"/>
                    </w:rPr>
                  </w:pPr>
                  <w:r>
                    <w:rPr>
                      <w:color w:val="auto"/>
                    </w:rPr>
                    <w:t>6.5~9.5</w:t>
                  </w:r>
                </w:p>
              </w:tc>
              <w:tc>
                <w:tcPr>
                  <w:tcW w:w="809" w:type="pct"/>
                  <w:tcBorders>
                    <w:tl2br w:val="nil"/>
                    <w:tr2bl w:val="nil"/>
                  </w:tcBorders>
                  <w:vAlign w:val="center"/>
                </w:tcPr>
                <w:p>
                  <w:pPr>
                    <w:pStyle w:val="68"/>
                    <w:rPr>
                      <w:color w:val="auto"/>
                    </w:rPr>
                  </w:pPr>
                  <w:r>
                    <w:rPr>
                      <w:color w:val="auto"/>
                    </w:rPr>
                    <w:t>6</w:t>
                  </w:r>
                  <w:r>
                    <w:rPr>
                      <w:rFonts w:hint="eastAsia"/>
                      <w:color w:val="auto"/>
                      <w:lang w:eastAsia="zh-CN"/>
                    </w:rPr>
                    <w:t>~</w:t>
                  </w:r>
                  <w:r>
                    <w:rPr>
                      <w:color w:val="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SS</w:t>
                  </w:r>
                </w:p>
              </w:tc>
              <w:tc>
                <w:tcPr>
                  <w:tcW w:w="1399" w:type="pct"/>
                  <w:tcBorders>
                    <w:tl2br w:val="nil"/>
                    <w:tr2bl w:val="nil"/>
                  </w:tcBorders>
                  <w:vAlign w:val="center"/>
                </w:tcPr>
                <w:p>
                  <w:pPr>
                    <w:pStyle w:val="68"/>
                    <w:rPr>
                      <w:color w:val="auto"/>
                    </w:rPr>
                  </w:pPr>
                  <w:r>
                    <w:rPr>
                      <w:color w:val="auto"/>
                    </w:rPr>
                    <w:t>400</w:t>
                  </w:r>
                </w:p>
              </w:tc>
              <w:tc>
                <w:tcPr>
                  <w:tcW w:w="1822" w:type="pct"/>
                  <w:tcBorders>
                    <w:tl2br w:val="nil"/>
                    <w:tr2bl w:val="nil"/>
                  </w:tcBorders>
                  <w:vAlign w:val="center"/>
                </w:tcPr>
                <w:p>
                  <w:pPr>
                    <w:pStyle w:val="68"/>
                    <w:rPr>
                      <w:color w:val="auto"/>
                    </w:rPr>
                  </w:pPr>
                  <w:r>
                    <w:rPr>
                      <w:color w:val="auto"/>
                    </w:rPr>
                    <w:t>400</w:t>
                  </w:r>
                </w:p>
              </w:tc>
              <w:tc>
                <w:tcPr>
                  <w:tcW w:w="809" w:type="pct"/>
                  <w:tcBorders>
                    <w:tl2br w:val="nil"/>
                    <w:tr2bl w:val="nil"/>
                  </w:tcBorders>
                  <w:vAlign w:val="center"/>
                </w:tcPr>
                <w:p>
                  <w:pPr>
                    <w:pStyle w:val="68"/>
                    <w:rPr>
                      <w:color w:val="auto"/>
                    </w:rPr>
                  </w:pPr>
                  <w:r>
                    <w:rPr>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COD</w:t>
                  </w:r>
                </w:p>
              </w:tc>
              <w:tc>
                <w:tcPr>
                  <w:tcW w:w="1399" w:type="pct"/>
                  <w:tcBorders>
                    <w:tl2br w:val="nil"/>
                    <w:tr2bl w:val="nil"/>
                  </w:tcBorders>
                  <w:vAlign w:val="center"/>
                </w:tcPr>
                <w:p>
                  <w:pPr>
                    <w:pStyle w:val="68"/>
                    <w:rPr>
                      <w:color w:val="auto"/>
                    </w:rPr>
                  </w:pPr>
                  <w:r>
                    <w:rPr>
                      <w:color w:val="auto"/>
                    </w:rPr>
                    <w:t>500</w:t>
                  </w:r>
                </w:p>
              </w:tc>
              <w:tc>
                <w:tcPr>
                  <w:tcW w:w="1822" w:type="pct"/>
                  <w:tcBorders>
                    <w:tl2br w:val="nil"/>
                    <w:tr2bl w:val="nil"/>
                  </w:tcBorders>
                  <w:vAlign w:val="center"/>
                </w:tcPr>
                <w:p>
                  <w:pPr>
                    <w:pStyle w:val="68"/>
                    <w:rPr>
                      <w:color w:val="auto"/>
                    </w:rPr>
                  </w:pPr>
                  <w:r>
                    <w:rPr>
                      <w:color w:val="auto"/>
                    </w:rPr>
                    <w:t>500</w:t>
                  </w:r>
                </w:p>
              </w:tc>
              <w:tc>
                <w:tcPr>
                  <w:tcW w:w="809" w:type="pct"/>
                  <w:tcBorders>
                    <w:tl2br w:val="nil"/>
                    <w:tr2bl w:val="nil"/>
                  </w:tcBorders>
                  <w:vAlign w:val="center"/>
                </w:tcPr>
                <w:p>
                  <w:pPr>
                    <w:pStyle w:val="68"/>
                    <w:rPr>
                      <w:color w:val="auto"/>
                    </w:rPr>
                  </w:pPr>
                  <w:r>
                    <w:rPr>
                      <w:color w:val="auto"/>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石油类</w:t>
                  </w:r>
                </w:p>
              </w:tc>
              <w:tc>
                <w:tcPr>
                  <w:tcW w:w="1399" w:type="pct"/>
                  <w:tcBorders>
                    <w:tl2br w:val="nil"/>
                    <w:tr2bl w:val="nil"/>
                  </w:tcBorders>
                  <w:vAlign w:val="center"/>
                </w:tcPr>
                <w:p>
                  <w:pPr>
                    <w:pStyle w:val="68"/>
                    <w:rPr>
                      <w:color w:val="auto"/>
                    </w:rPr>
                  </w:pPr>
                  <w:r>
                    <w:rPr>
                      <w:color w:val="auto"/>
                    </w:rPr>
                    <w:t>20</w:t>
                  </w:r>
                </w:p>
              </w:tc>
              <w:tc>
                <w:tcPr>
                  <w:tcW w:w="1822" w:type="pct"/>
                  <w:tcBorders>
                    <w:tl2br w:val="nil"/>
                    <w:tr2bl w:val="nil"/>
                  </w:tcBorders>
                  <w:vAlign w:val="center"/>
                </w:tcPr>
                <w:p>
                  <w:pPr>
                    <w:pStyle w:val="68"/>
                    <w:rPr>
                      <w:color w:val="auto"/>
                    </w:rPr>
                  </w:pPr>
                  <w:r>
                    <w:rPr>
                      <w:color w:val="auto"/>
                    </w:rPr>
                    <w:t>15</w:t>
                  </w:r>
                </w:p>
              </w:tc>
              <w:tc>
                <w:tcPr>
                  <w:tcW w:w="809" w:type="pct"/>
                  <w:tcBorders>
                    <w:tl2br w:val="nil"/>
                    <w:tr2bl w:val="nil"/>
                  </w:tcBorders>
                  <w:vAlign w:val="center"/>
                </w:tcPr>
                <w:p>
                  <w:pPr>
                    <w:pStyle w:val="68"/>
                    <w:rPr>
                      <w:color w:val="auto"/>
                    </w:rPr>
                  </w:pPr>
                  <w:r>
                    <w:rPr>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氨氮</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45</w:t>
                  </w:r>
                </w:p>
              </w:tc>
              <w:tc>
                <w:tcPr>
                  <w:tcW w:w="809" w:type="pct"/>
                  <w:tcBorders>
                    <w:tl2br w:val="nil"/>
                    <w:tr2bl w:val="nil"/>
                  </w:tcBorders>
                  <w:vAlign w:val="center"/>
                </w:tcPr>
                <w:p>
                  <w:pPr>
                    <w:pStyle w:val="68"/>
                    <w:rPr>
                      <w:color w:val="auto"/>
                    </w:rPr>
                  </w:pPr>
                  <w:r>
                    <w:rPr>
                      <w:rFonts w:hint="eastAsia"/>
                      <w:color w:val="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总铜</w:t>
                  </w:r>
                </w:p>
              </w:tc>
              <w:tc>
                <w:tcPr>
                  <w:tcW w:w="1399" w:type="pct"/>
                  <w:tcBorders>
                    <w:tl2br w:val="nil"/>
                    <w:tr2bl w:val="nil"/>
                  </w:tcBorders>
                  <w:vAlign w:val="center"/>
                </w:tcPr>
                <w:p>
                  <w:pPr>
                    <w:pStyle w:val="68"/>
                    <w:rPr>
                      <w:color w:val="auto"/>
                    </w:rPr>
                  </w:pPr>
                  <w:r>
                    <w:rPr>
                      <w:color w:val="auto"/>
                    </w:rPr>
                    <w:t>2.0</w:t>
                  </w:r>
                </w:p>
              </w:tc>
              <w:tc>
                <w:tcPr>
                  <w:tcW w:w="1822" w:type="pct"/>
                  <w:tcBorders>
                    <w:tl2br w:val="nil"/>
                    <w:tr2bl w:val="nil"/>
                  </w:tcBorders>
                  <w:vAlign w:val="center"/>
                </w:tcPr>
                <w:p>
                  <w:pPr>
                    <w:pStyle w:val="68"/>
                    <w:rPr>
                      <w:color w:val="auto"/>
                    </w:rPr>
                  </w:pPr>
                  <w:r>
                    <w:rPr>
                      <w:rFonts w:hint="eastAsia"/>
                      <w:color w:val="auto"/>
                    </w:rPr>
                    <w:t>2.0</w:t>
                  </w:r>
                </w:p>
              </w:tc>
              <w:tc>
                <w:tcPr>
                  <w:tcW w:w="809" w:type="pct"/>
                  <w:tcBorders>
                    <w:tl2br w:val="nil"/>
                    <w:tr2bl w:val="nil"/>
                  </w:tcBorders>
                  <w:vAlign w:val="center"/>
                </w:tcPr>
                <w:p>
                  <w:pPr>
                    <w:pStyle w:val="68"/>
                    <w:rPr>
                      <w:color w:val="auto"/>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shd w:val="clear" w:fill="FFFFFF"/>
                    </w:rPr>
                    <w:t>总锌</w:t>
                  </w:r>
                </w:p>
              </w:tc>
              <w:tc>
                <w:tcPr>
                  <w:tcW w:w="1399" w:type="pct"/>
                  <w:tcBorders>
                    <w:tl2br w:val="nil"/>
                    <w:tr2bl w:val="nil"/>
                  </w:tcBorders>
                  <w:vAlign w:val="center"/>
                </w:tcPr>
                <w:p>
                  <w:pPr>
                    <w:pStyle w:val="68"/>
                    <w:rPr>
                      <w:color w:val="auto"/>
                    </w:rPr>
                  </w:pPr>
                  <w:r>
                    <w:rPr>
                      <w:color w:val="auto"/>
                    </w:rPr>
                    <w:t>5.0</w:t>
                  </w:r>
                </w:p>
              </w:tc>
              <w:tc>
                <w:tcPr>
                  <w:tcW w:w="1822" w:type="pct"/>
                  <w:tcBorders>
                    <w:tl2br w:val="nil"/>
                    <w:tr2bl w:val="nil"/>
                  </w:tcBorders>
                  <w:vAlign w:val="center"/>
                </w:tcPr>
                <w:p>
                  <w:pPr>
                    <w:pStyle w:val="68"/>
                    <w:rPr>
                      <w:color w:val="auto"/>
                    </w:rPr>
                  </w:pPr>
                  <w:r>
                    <w:rPr>
                      <w:rFonts w:hint="eastAsia"/>
                      <w:color w:val="auto"/>
                    </w:rPr>
                    <w:t>5.0</w:t>
                  </w:r>
                </w:p>
              </w:tc>
              <w:tc>
                <w:tcPr>
                  <w:tcW w:w="809" w:type="pct"/>
                  <w:tcBorders>
                    <w:tl2br w:val="nil"/>
                    <w:tr2bl w:val="nil"/>
                  </w:tcBorders>
                  <w:vAlign w:val="center"/>
                </w:tcPr>
                <w:p>
                  <w:pPr>
                    <w:pStyle w:val="68"/>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w:t>
                  </w:r>
                  <w:r>
                    <w:rPr>
                      <w:color w:val="auto"/>
                      <w:shd w:val="clear" w:fill="FFFFFF"/>
                    </w:rPr>
                    <w:t>汞</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0.005</w:t>
                  </w:r>
                </w:p>
              </w:tc>
              <w:tc>
                <w:tcPr>
                  <w:tcW w:w="809" w:type="pct"/>
                  <w:tcBorders>
                    <w:tl2br w:val="nil"/>
                    <w:tr2bl w:val="nil"/>
                  </w:tcBorders>
                  <w:vAlign w:val="center"/>
                </w:tcPr>
                <w:p>
                  <w:pPr>
                    <w:pStyle w:val="68"/>
                    <w:rPr>
                      <w:color w:val="auto"/>
                    </w:rPr>
                  </w:pPr>
                  <w:r>
                    <w:rPr>
                      <w:rFonts w:hint="eastAsia"/>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w:t>
                  </w:r>
                  <w:r>
                    <w:rPr>
                      <w:color w:val="auto"/>
                      <w:shd w:val="clear" w:fill="FFFFFF"/>
                    </w:rPr>
                    <w:t>镉</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0.05</w:t>
                  </w:r>
                </w:p>
              </w:tc>
              <w:tc>
                <w:tcPr>
                  <w:tcW w:w="809" w:type="pct"/>
                  <w:tcBorders>
                    <w:tl2br w:val="nil"/>
                    <w:tr2bl w:val="nil"/>
                  </w:tcBorders>
                  <w:vAlign w:val="center"/>
                </w:tcPr>
                <w:p>
                  <w:pPr>
                    <w:pStyle w:val="68"/>
                    <w:rPr>
                      <w:color w:val="auto"/>
                    </w:rPr>
                  </w:pPr>
                  <w:r>
                    <w:rPr>
                      <w:rFonts w:hint="eastAsia"/>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w:t>
                  </w:r>
                  <w:r>
                    <w:rPr>
                      <w:color w:val="auto"/>
                      <w:shd w:val="clear" w:fill="FFFFFF"/>
                    </w:rPr>
                    <w:t>铬</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1.5</w:t>
                  </w:r>
                </w:p>
              </w:tc>
              <w:tc>
                <w:tcPr>
                  <w:tcW w:w="809" w:type="pct"/>
                  <w:tcBorders>
                    <w:tl2br w:val="nil"/>
                    <w:tr2bl w:val="nil"/>
                  </w:tcBorders>
                  <w:vAlign w:val="center"/>
                </w:tcPr>
                <w:p>
                  <w:pPr>
                    <w:pStyle w:val="68"/>
                    <w:rPr>
                      <w:color w:val="auto"/>
                    </w:rPr>
                  </w:pPr>
                  <w:r>
                    <w:rPr>
                      <w:rFonts w:hint="eastAsia"/>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六价铬</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0.5</w:t>
                  </w:r>
                </w:p>
              </w:tc>
              <w:tc>
                <w:tcPr>
                  <w:tcW w:w="809" w:type="pct"/>
                  <w:tcBorders>
                    <w:tl2br w:val="nil"/>
                    <w:tr2bl w:val="nil"/>
                  </w:tcBorders>
                  <w:vAlign w:val="center"/>
                </w:tcPr>
                <w:p>
                  <w:pPr>
                    <w:pStyle w:val="68"/>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w:t>
                  </w:r>
                  <w:r>
                    <w:rPr>
                      <w:color w:val="auto"/>
                      <w:shd w:val="clear" w:fill="FFFFFF"/>
                    </w:rPr>
                    <w:t>砷</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0.3</w:t>
                  </w:r>
                </w:p>
              </w:tc>
              <w:tc>
                <w:tcPr>
                  <w:tcW w:w="809" w:type="pct"/>
                  <w:tcBorders>
                    <w:tl2br w:val="nil"/>
                    <w:tr2bl w:val="nil"/>
                  </w:tcBorders>
                  <w:vAlign w:val="center"/>
                </w:tcPr>
                <w:p>
                  <w:pPr>
                    <w:pStyle w:val="68"/>
                    <w:rPr>
                      <w:color w:val="auto"/>
                    </w:rPr>
                  </w:pPr>
                  <w:r>
                    <w:rPr>
                      <w:rFonts w:hint="eastAsia"/>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shd w:val="clear" w:fill="FFFFFF"/>
                    </w:rPr>
                    <w:t>总铅</w:t>
                  </w:r>
                </w:p>
              </w:tc>
              <w:tc>
                <w:tcPr>
                  <w:tcW w:w="1399" w:type="pct"/>
                  <w:tcBorders>
                    <w:tl2br w:val="nil"/>
                    <w:tr2bl w:val="nil"/>
                  </w:tcBorders>
                  <w:vAlign w:val="center"/>
                </w:tcPr>
                <w:p>
                  <w:pPr>
                    <w:pStyle w:val="68"/>
                    <w:rPr>
                      <w:color w:val="auto"/>
                    </w:rPr>
                  </w:pPr>
                  <w:r>
                    <w:rPr>
                      <w:color w:val="auto"/>
                    </w:rPr>
                    <w:t>/</w:t>
                  </w:r>
                </w:p>
              </w:tc>
              <w:tc>
                <w:tcPr>
                  <w:tcW w:w="1822" w:type="pct"/>
                  <w:tcBorders>
                    <w:tl2br w:val="nil"/>
                    <w:tr2bl w:val="nil"/>
                  </w:tcBorders>
                  <w:vAlign w:val="center"/>
                </w:tcPr>
                <w:p>
                  <w:pPr>
                    <w:pStyle w:val="68"/>
                    <w:rPr>
                      <w:color w:val="auto"/>
                    </w:rPr>
                  </w:pPr>
                  <w:r>
                    <w:rPr>
                      <w:rFonts w:hint="eastAsia"/>
                      <w:color w:val="auto"/>
                    </w:rPr>
                    <w:t>0.5</w:t>
                  </w:r>
                </w:p>
              </w:tc>
              <w:tc>
                <w:tcPr>
                  <w:tcW w:w="809" w:type="pct"/>
                  <w:tcBorders>
                    <w:tl2br w:val="nil"/>
                    <w:tr2bl w:val="nil"/>
                  </w:tcBorders>
                  <w:vAlign w:val="center"/>
                </w:tcPr>
                <w:p>
                  <w:pPr>
                    <w:pStyle w:val="68"/>
                    <w:rPr>
                      <w:color w:val="auto"/>
                    </w:rPr>
                  </w:pPr>
                  <w:r>
                    <w:rPr>
                      <w:rFonts w:hint="eastAsia"/>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硫化物</w:t>
                  </w:r>
                </w:p>
              </w:tc>
              <w:tc>
                <w:tcPr>
                  <w:tcW w:w="1399" w:type="pct"/>
                  <w:tcBorders>
                    <w:tl2br w:val="nil"/>
                    <w:tr2bl w:val="nil"/>
                  </w:tcBorders>
                  <w:vAlign w:val="center"/>
                </w:tcPr>
                <w:p>
                  <w:pPr>
                    <w:pStyle w:val="68"/>
                    <w:rPr>
                      <w:color w:val="auto"/>
                    </w:rPr>
                  </w:pPr>
                  <w:r>
                    <w:rPr>
                      <w:rFonts w:hint="eastAsia"/>
                      <w:color w:val="auto"/>
                    </w:rPr>
                    <w:t>/</w:t>
                  </w:r>
                </w:p>
              </w:tc>
              <w:tc>
                <w:tcPr>
                  <w:tcW w:w="1822" w:type="pct"/>
                  <w:tcBorders>
                    <w:tl2br w:val="nil"/>
                    <w:tr2bl w:val="nil"/>
                  </w:tcBorders>
                  <w:vAlign w:val="center"/>
                </w:tcPr>
                <w:p>
                  <w:pPr>
                    <w:pStyle w:val="68"/>
                    <w:rPr>
                      <w:color w:val="auto"/>
                    </w:rPr>
                  </w:pPr>
                  <w:r>
                    <w:rPr>
                      <w:rFonts w:hint="eastAsia"/>
                      <w:color w:val="auto"/>
                    </w:rPr>
                    <w:t>1</w:t>
                  </w:r>
                </w:p>
              </w:tc>
              <w:tc>
                <w:tcPr>
                  <w:tcW w:w="809" w:type="pct"/>
                  <w:tcBorders>
                    <w:tl2br w:val="nil"/>
                    <w:tr2bl w:val="nil"/>
                  </w:tcBorders>
                  <w:vAlign w:val="center"/>
                </w:tcPr>
                <w:p>
                  <w:pPr>
                    <w:pStyle w:val="68"/>
                    <w:rPr>
                      <w:color w:val="auto"/>
                    </w:rPr>
                  </w:pPr>
                  <w:r>
                    <w:rPr>
                      <w:rFonts w:hint="eastAsia"/>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总磷（以P计）</w:t>
                  </w:r>
                </w:p>
              </w:tc>
              <w:tc>
                <w:tcPr>
                  <w:tcW w:w="1399" w:type="pct"/>
                  <w:tcBorders>
                    <w:tl2br w:val="nil"/>
                    <w:tr2bl w:val="nil"/>
                  </w:tcBorders>
                  <w:vAlign w:val="center"/>
                </w:tcPr>
                <w:p>
                  <w:pPr>
                    <w:pStyle w:val="68"/>
                    <w:rPr>
                      <w:color w:val="auto"/>
                    </w:rPr>
                  </w:pPr>
                  <w:r>
                    <w:rPr>
                      <w:rFonts w:hint="eastAsia"/>
                      <w:color w:val="auto"/>
                    </w:rPr>
                    <w:t>/</w:t>
                  </w:r>
                </w:p>
              </w:tc>
              <w:tc>
                <w:tcPr>
                  <w:tcW w:w="1822" w:type="pct"/>
                  <w:tcBorders>
                    <w:tl2br w:val="nil"/>
                    <w:tr2bl w:val="nil"/>
                  </w:tcBorders>
                  <w:vAlign w:val="center"/>
                </w:tcPr>
                <w:p>
                  <w:pPr>
                    <w:pStyle w:val="68"/>
                    <w:rPr>
                      <w:color w:val="auto"/>
                    </w:rPr>
                  </w:pPr>
                  <w:r>
                    <w:rPr>
                      <w:rFonts w:hint="eastAsia"/>
                      <w:color w:val="auto"/>
                    </w:rPr>
                    <w:t>8</w:t>
                  </w:r>
                </w:p>
              </w:tc>
              <w:tc>
                <w:tcPr>
                  <w:tcW w:w="809" w:type="pct"/>
                  <w:tcBorders>
                    <w:tl2br w:val="nil"/>
                    <w:tr2bl w:val="nil"/>
                  </w:tcBorders>
                  <w:vAlign w:val="center"/>
                </w:tcPr>
                <w:p>
                  <w:pPr>
                    <w:pStyle w:val="68"/>
                    <w:rPr>
                      <w:color w:val="auto"/>
                    </w:rPr>
                  </w:pPr>
                  <w:r>
                    <w:rPr>
                      <w:rFonts w:hint="eastAsia"/>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color w:val="auto"/>
                    </w:rPr>
                    <w:t>总氮（以N计）</w:t>
                  </w:r>
                </w:p>
              </w:tc>
              <w:tc>
                <w:tcPr>
                  <w:tcW w:w="1399" w:type="pct"/>
                  <w:tcBorders>
                    <w:tl2br w:val="nil"/>
                    <w:tr2bl w:val="nil"/>
                  </w:tcBorders>
                  <w:vAlign w:val="center"/>
                </w:tcPr>
                <w:p>
                  <w:pPr>
                    <w:pStyle w:val="68"/>
                    <w:rPr>
                      <w:color w:val="auto"/>
                    </w:rPr>
                  </w:pPr>
                  <w:r>
                    <w:rPr>
                      <w:rFonts w:hint="eastAsia"/>
                      <w:color w:val="auto"/>
                    </w:rPr>
                    <w:t>/</w:t>
                  </w:r>
                </w:p>
              </w:tc>
              <w:tc>
                <w:tcPr>
                  <w:tcW w:w="1822" w:type="pct"/>
                  <w:tcBorders>
                    <w:tl2br w:val="nil"/>
                    <w:tr2bl w:val="nil"/>
                  </w:tcBorders>
                  <w:vAlign w:val="center"/>
                </w:tcPr>
                <w:p>
                  <w:pPr>
                    <w:pStyle w:val="68"/>
                    <w:rPr>
                      <w:color w:val="auto"/>
                    </w:rPr>
                  </w:pPr>
                  <w:r>
                    <w:rPr>
                      <w:rFonts w:hint="eastAsia"/>
                      <w:color w:val="auto"/>
                    </w:rPr>
                    <w:t>70</w:t>
                  </w:r>
                </w:p>
              </w:tc>
              <w:tc>
                <w:tcPr>
                  <w:tcW w:w="809" w:type="pct"/>
                  <w:tcBorders>
                    <w:tl2br w:val="nil"/>
                    <w:tr2bl w:val="nil"/>
                  </w:tcBorders>
                  <w:vAlign w:val="center"/>
                </w:tcPr>
                <w:p>
                  <w:pPr>
                    <w:pStyle w:val="68"/>
                    <w:rPr>
                      <w:color w:val="auto"/>
                    </w:rPr>
                  </w:pPr>
                  <w:r>
                    <w:rPr>
                      <w:rFonts w:hint="eastAsia"/>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 w:type="pct"/>
                  <w:tcBorders>
                    <w:tl2br w:val="nil"/>
                    <w:tr2bl w:val="nil"/>
                  </w:tcBorders>
                  <w:vAlign w:val="center"/>
                </w:tcPr>
                <w:p>
                  <w:pPr>
                    <w:pStyle w:val="68"/>
                    <w:rPr>
                      <w:color w:val="auto"/>
                    </w:rPr>
                  </w:pPr>
                  <w:r>
                    <w:rPr>
                      <w:rFonts w:hint="eastAsia"/>
                      <w:color w:val="auto"/>
                    </w:rPr>
                    <w:t>动植物油</w:t>
                  </w:r>
                </w:p>
              </w:tc>
              <w:tc>
                <w:tcPr>
                  <w:tcW w:w="1399" w:type="pct"/>
                  <w:tcBorders>
                    <w:tl2br w:val="nil"/>
                    <w:tr2bl w:val="nil"/>
                  </w:tcBorders>
                  <w:vAlign w:val="center"/>
                </w:tcPr>
                <w:p>
                  <w:pPr>
                    <w:pStyle w:val="68"/>
                    <w:rPr>
                      <w:color w:val="auto"/>
                    </w:rPr>
                  </w:pPr>
                  <w:r>
                    <w:rPr>
                      <w:rFonts w:hint="eastAsia"/>
                      <w:color w:val="auto"/>
                    </w:rPr>
                    <w:t>/</w:t>
                  </w:r>
                </w:p>
              </w:tc>
              <w:tc>
                <w:tcPr>
                  <w:tcW w:w="1822" w:type="pct"/>
                  <w:tcBorders>
                    <w:tl2br w:val="nil"/>
                    <w:tr2bl w:val="nil"/>
                  </w:tcBorders>
                  <w:vAlign w:val="center"/>
                </w:tcPr>
                <w:p>
                  <w:pPr>
                    <w:pStyle w:val="68"/>
                    <w:rPr>
                      <w:color w:val="auto"/>
                    </w:rPr>
                  </w:pPr>
                  <w:r>
                    <w:rPr>
                      <w:rFonts w:hint="eastAsia"/>
                      <w:color w:val="auto"/>
                    </w:rPr>
                    <w:t>100</w:t>
                  </w:r>
                </w:p>
              </w:tc>
              <w:tc>
                <w:tcPr>
                  <w:tcW w:w="809" w:type="pct"/>
                  <w:tcBorders>
                    <w:tl2br w:val="nil"/>
                    <w:tr2bl w:val="nil"/>
                  </w:tcBorders>
                  <w:vAlign w:val="center"/>
                </w:tcPr>
                <w:p>
                  <w:pPr>
                    <w:pStyle w:val="68"/>
                    <w:rPr>
                      <w:color w:val="auto"/>
                    </w:rPr>
                  </w:pPr>
                  <w:r>
                    <w:rPr>
                      <w:rFonts w:hint="eastAsia"/>
                      <w:color w:val="auto"/>
                    </w:rPr>
                    <w:t>100</w:t>
                  </w:r>
                </w:p>
              </w:tc>
            </w:tr>
          </w:tbl>
          <w:p>
            <w:pPr>
              <w:pStyle w:val="61"/>
              <w:spacing w:before="60" w:after="60"/>
              <w:rPr>
                <w:color w:val="auto"/>
              </w:rPr>
            </w:pPr>
            <w:r>
              <w:rPr>
                <w:rFonts w:hint="eastAsia"/>
                <w:color w:val="auto"/>
              </w:rPr>
              <w:t>3.3.3噪声排放标准</w:t>
            </w:r>
          </w:p>
          <w:p>
            <w:pPr>
              <w:pStyle w:val="84"/>
              <w:ind w:firstLine="482"/>
              <w:rPr>
                <w:color w:val="auto"/>
              </w:rPr>
            </w:pPr>
            <w:r>
              <w:rPr>
                <w:rFonts w:hint="eastAsia"/>
                <w:color w:val="auto"/>
              </w:rPr>
              <w:t>1</w:t>
            </w:r>
            <w:r>
              <w:rPr>
                <w:color w:val="auto"/>
              </w:rPr>
              <w:t>.</w:t>
            </w:r>
            <w:r>
              <w:rPr>
                <w:rFonts w:hint="eastAsia"/>
                <w:color w:val="auto"/>
              </w:rPr>
              <w:t>施工期</w:t>
            </w:r>
          </w:p>
          <w:p>
            <w:pPr>
              <w:pStyle w:val="114"/>
              <w:spacing w:line="360" w:lineRule="auto"/>
              <w:ind w:firstLine="482"/>
              <w:rPr>
                <w:bCs/>
                <w:color w:val="auto"/>
              </w:rPr>
            </w:pPr>
            <w:r>
              <w:rPr>
                <w:rFonts w:hAnsiTheme="minorEastAsia" w:eastAsiaTheme="minorEastAsia"/>
                <w:b w:val="0"/>
                <w:bCs/>
                <w:color w:val="auto"/>
                <w:sz w:val="24"/>
                <w:szCs w:val="24"/>
                <w:lang w:val="zh-CN"/>
              </w:rPr>
              <w:t>执行《建筑施工场界环境噪声排放标准》（</w:t>
            </w:r>
            <w:r>
              <w:rPr>
                <w:rFonts w:eastAsiaTheme="minorEastAsia"/>
                <w:b w:val="0"/>
                <w:bCs/>
                <w:color w:val="auto"/>
                <w:sz w:val="24"/>
                <w:szCs w:val="24"/>
                <w:lang w:val="zh-CN"/>
              </w:rPr>
              <w:t>GB12523-2011</w:t>
            </w:r>
            <w:r>
              <w:rPr>
                <w:rFonts w:hAnsiTheme="minorEastAsia" w:eastAsiaTheme="minorEastAsia"/>
                <w:b w:val="0"/>
                <w:bCs/>
                <w:color w:val="auto"/>
                <w:sz w:val="24"/>
                <w:szCs w:val="24"/>
                <w:lang w:val="zh-CN"/>
              </w:rPr>
              <w:t>），标准值见表</w:t>
            </w:r>
            <w:r>
              <w:rPr>
                <w:rFonts w:eastAsiaTheme="minorEastAsia"/>
                <w:b w:val="0"/>
                <w:bCs/>
                <w:color w:val="auto"/>
                <w:sz w:val="24"/>
                <w:szCs w:val="24"/>
                <w:lang w:val="zh-CN"/>
              </w:rPr>
              <w:t>3.3-4</w:t>
            </w:r>
            <w:r>
              <w:rPr>
                <w:rFonts w:hint="eastAsia" w:eastAsiaTheme="minorEastAsia"/>
                <w:b w:val="0"/>
                <w:bCs/>
                <w:color w:val="auto"/>
                <w:sz w:val="24"/>
                <w:szCs w:val="24"/>
              </w:rPr>
              <w:t>所示。</w:t>
            </w:r>
          </w:p>
          <w:p>
            <w:pPr>
              <w:pStyle w:val="71"/>
              <w:rPr>
                <w:color w:val="auto"/>
              </w:rPr>
            </w:pPr>
            <w:r>
              <w:rPr>
                <w:color w:val="auto"/>
              </w:rPr>
              <w:t xml:space="preserve">表3.3-4 </w:t>
            </w:r>
            <w:r>
              <w:rPr>
                <w:rFonts w:hint="eastAsia"/>
                <w:color w:val="auto"/>
                <w:lang w:val="en-US" w:eastAsia="zh-CN"/>
              </w:rPr>
              <w:t xml:space="preserve"> </w:t>
            </w:r>
            <w:r>
              <w:rPr>
                <w:rFonts w:hint="eastAsia"/>
                <w:color w:val="auto"/>
              </w:rPr>
              <w:t>建</w:t>
            </w:r>
            <w:r>
              <w:rPr>
                <w:color w:val="auto"/>
              </w:rPr>
              <w:t>筑施工噪声排放标准</w:t>
            </w:r>
            <w:r>
              <w:rPr>
                <w:rFonts w:hint="eastAsia"/>
                <w:color w:val="auto"/>
                <w:lang w:val="en-US" w:eastAsia="zh-CN"/>
              </w:rPr>
              <w:t xml:space="preserve">  </w:t>
            </w:r>
            <w:r>
              <w:rPr>
                <w:color w:val="auto"/>
              </w:rPr>
              <w:t>单位：dB(A)</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9" w:type="pct"/>
                  <w:vAlign w:val="center"/>
                </w:tcPr>
                <w:p>
                  <w:pPr>
                    <w:pStyle w:val="68"/>
                    <w:rPr>
                      <w:b/>
                      <w:bCs/>
                      <w:color w:val="auto"/>
                    </w:rPr>
                  </w:pPr>
                  <w:r>
                    <w:rPr>
                      <w:b/>
                      <w:bCs/>
                      <w:color w:val="auto"/>
                    </w:rPr>
                    <w:t>昼间</w:t>
                  </w:r>
                </w:p>
              </w:tc>
              <w:tc>
                <w:tcPr>
                  <w:tcW w:w="2500" w:type="pct"/>
                  <w:vAlign w:val="center"/>
                </w:tcPr>
                <w:p>
                  <w:pPr>
                    <w:pStyle w:val="68"/>
                    <w:rPr>
                      <w:b/>
                      <w:bCs/>
                      <w:color w:val="auto"/>
                    </w:rPr>
                  </w:pPr>
                  <w:r>
                    <w:rPr>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9" w:type="pct"/>
                  <w:vAlign w:val="center"/>
                </w:tcPr>
                <w:p>
                  <w:pPr>
                    <w:pStyle w:val="68"/>
                    <w:rPr>
                      <w:color w:val="auto"/>
                    </w:rPr>
                  </w:pPr>
                  <w:r>
                    <w:rPr>
                      <w:color w:val="auto"/>
                    </w:rPr>
                    <w:t>70</w:t>
                  </w:r>
                </w:p>
              </w:tc>
              <w:tc>
                <w:tcPr>
                  <w:tcW w:w="2500" w:type="pct"/>
                  <w:vAlign w:val="center"/>
                </w:tcPr>
                <w:p>
                  <w:pPr>
                    <w:pStyle w:val="68"/>
                    <w:rPr>
                      <w:color w:val="auto"/>
                    </w:rPr>
                  </w:pPr>
                  <w:r>
                    <w:rPr>
                      <w:color w:val="auto"/>
                    </w:rPr>
                    <w:t>55</w:t>
                  </w:r>
                </w:p>
              </w:tc>
            </w:tr>
          </w:tbl>
          <w:p>
            <w:pPr>
              <w:pStyle w:val="84"/>
              <w:ind w:firstLine="482"/>
              <w:rPr>
                <w:color w:val="auto"/>
              </w:rPr>
            </w:pPr>
            <w:r>
              <w:rPr>
                <w:rFonts w:hint="eastAsia"/>
                <w:color w:val="auto"/>
              </w:rPr>
              <w:t xml:space="preserve"> 2</w:t>
            </w:r>
            <w:r>
              <w:rPr>
                <w:color w:val="auto"/>
              </w:rPr>
              <w:t>.</w:t>
            </w:r>
            <w:r>
              <w:rPr>
                <w:rFonts w:hint="eastAsia"/>
                <w:color w:val="auto"/>
              </w:rPr>
              <w:t>运营期</w:t>
            </w:r>
          </w:p>
          <w:p>
            <w:pPr>
              <w:pStyle w:val="96"/>
              <w:ind w:firstLine="480"/>
              <w:rPr>
                <w:color w:val="auto"/>
              </w:rPr>
            </w:pPr>
            <w:r>
              <w:rPr>
                <w:rFonts w:hint="eastAsia"/>
                <w:color w:val="auto"/>
              </w:rPr>
              <w:t>运营期项目区东、南、西、北</w:t>
            </w:r>
            <w:r>
              <w:rPr>
                <w:rFonts w:hint="eastAsia"/>
                <w:color w:val="auto"/>
                <w:shd w:val="clear" w:fill="FFFFFF"/>
              </w:rPr>
              <w:t>四侧厂</w:t>
            </w:r>
            <w:r>
              <w:rPr>
                <w:rFonts w:hint="eastAsia"/>
                <w:color w:val="auto"/>
              </w:rPr>
              <w:t>界噪声执行《工业企业厂界环境噪声排放标准》（</w:t>
            </w:r>
            <w:r>
              <w:rPr>
                <w:color w:val="auto"/>
              </w:rPr>
              <w:t>GB-12348-2008</w:t>
            </w:r>
            <w:r>
              <w:rPr>
                <w:rFonts w:hint="eastAsia"/>
                <w:color w:val="auto"/>
              </w:rPr>
              <w:t>）中</w:t>
            </w:r>
            <w:r>
              <w:rPr>
                <w:color w:val="auto"/>
              </w:rPr>
              <w:t>2</w:t>
            </w:r>
            <w:r>
              <w:rPr>
                <w:rFonts w:hint="eastAsia"/>
                <w:color w:val="auto"/>
              </w:rPr>
              <w:t>类标准</w:t>
            </w:r>
            <w:r>
              <w:rPr>
                <w:rFonts w:hint="eastAsia"/>
                <w:color w:val="auto"/>
                <w:kern w:val="0"/>
              </w:rPr>
              <w:t>，</w:t>
            </w:r>
            <w:r>
              <w:rPr>
                <w:rFonts w:hint="eastAsia"/>
                <w:color w:val="auto"/>
              </w:rPr>
              <w:t>标准值如下：</w:t>
            </w:r>
          </w:p>
          <w:p>
            <w:pPr>
              <w:pStyle w:val="71"/>
              <w:ind w:firstLine="480"/>
              <w:rPr>
                <w:color w:val="auto"/>
              </w:rPr>
            </w:pPr>
            <w:r>
              <w:rPr>
                <w:rFonts w:hint="eastAsia"/>
                <w:color w:val="auto"/>
              </w:rPr>
              <w:t>表3.3-</w:t>
            </w:r>
            <w:r>
              <w:rPr>
                <w:color w:val="auto"/>
              </w:rPr>
              <w:t>5</w:t>
            </w:r>
            <w:r>
              <w:rPr>
                <w:rFonts w:hint="eastAsia"/>
                <w:color w:val="auto"/>
                <w:lang w:val="en-US" w:eastAsia="zh-CN"/>
              </w:rPr>
              <w:t xml:space="preserve"> </w:t>
            </w:r>
            <w:r>
              <w:rPr>
                <w:rFonts w:hint="eastAsia"/>
                <w:color w:val="auto"/>
              </w:rPr>
              <w:t xml:space="preserve"> 运营期厂界噪声标准限值（单位：dB(A)）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370"/>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95" w:type="pct"/>
                  <w:vAlign w:val="center"/>
                </w:tcPr>
                <w:p>
                  <w:pPr>
                    <w:pStyle w:val="68"/>
                    <w:ind w:firstLine="480"/>
                    <w:rPr>
                      <w:b/>
                      <w:bCs/>
                      <w:color w:val="auto"/>
                    </w:rPr>
                  </w:pPr>
                  <w:r>
                    <w:rPr>
                      <w:rFonts w:hint="eastAsia"/>
                      <w:b/>
                      <w:bCs/>
                      <w:color w:val="auto"/>
                    </w:rPr>
                    <w:t>功能区</w:t>
                  </w:r>
                </w:p>
              </w:tc>
              <w:tc>
                <w:tcPr>
                  <w:tcW w:w="1511" w:type="pct"/>
                  <w:vAlign w:val="center"/>
                </w:tcPr>
                <w:p>
                  <w:pPr>
                    <w:pStyle w:val="68"/>
                    <w:ind w:firstLine="480"/>
                    <w:rPr>
                      <w:b/>
                      <w:bCs/>
                      <w:color w:val="auto"/>
                    </w:rPr>
                  </w:pPr>
                  <w:r>
                    <w:rPr>
                      <w:rFonts w:hint="eastAsia"/>
                      <w:b/>
                      <w:bCs/>
                      <w:color w:val="auto"/>
                    </w:rPr>
                    <w:t>昼间</w:t>
                  </w:r>
                </w:p>
              </w:tc>
              <w:tc>
                <w:tcPr>
                  <w:tcW w:w="1694" w:type="pct"/>
                  <w:vAlign w:val="center"/>
                </w:tcPr>
                <w:p>
                  <w:pPr>
                    <w:pStyle w:val="68"/>
                    <w:ind w:firstLine="480"/>
                    <w:rPr>
                      <w:b/>
                      <w:bCs/>
                      <w:color w:val="auto"/>
                    </w:rPr>
                  </w:pPr>
                  <w:r>
                    <w:rPr>
                      <w:rFonts w:hint="eastAsia"/>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95" w:type="pct"/>
                  <w:vAlign w:val="center"/>
                </w:tcPr>
                <w:p>
                  <w:pPr>
                    <w:pStyle w:val="68"/>
                    <w:ind w:firstLine="480"/>
                    <w:rPr>
                      <w:color w:val="auto"/>
                    </w:rPr>
                  </w:pPr>
                  <w:r>
                    <w:rPr>
                      <w:color w:val="auto"/>
                    </w:rPr>
                    <w:t>2</w:t>
                  </w:r>
                  <w:r>
                    <w:rPr>
                      <w:rFonts w:hint="eastAsia"/>
                      <w:color w:val="auto"/>
                    </w:rPr>
                    <w:t>类</w:t>
                  </w:r>
                </w:p>
              </w:tc>
              <w:tc>
                <w:tcPr>
                  <w:tcW w:w="1511" w:type="pct"/>
                  <w:vAlign w:val="center"/>
                </w:tcPr>
                <w:p>
                  <w:pPr>
                    <w:pStyle w:val="68"/>
                    <w:ind w:firstLine="480"/>
                    <w:rPr>
                      <w:color w:val="auto"/>
                    </w:rPr>
                  </w:pPr>
                  <w:r>
                    <w:rPr>
                      <w:rFonts w:hint="eastAsia"/>
                      <w:color w:val="auto"/>
                    </w:rPr>
                    <w:t>6</w:t>
                  </w:r>
                  <w:r>
                    <w:rPr>
                      <w:color w:val="auto"/>
                    </w:rPr>
                    <w:t>0</w:t>
                  </w:r>
                </w:p>
              </w:tc>
              <w:tc>
                <w:tcPr>
                  <w:tcW w:w="1694" w:type="pct"/>
                  <w:vAlign w:val="center"/>
                </w:tcPr>
                <w:p>
                  <w:pPr>
                    <w:pStyle w:val="68"/>
                    <w:ind w:firstLine="480"/>
                    <w:rPr>
                      <w:color w:val="auto"/>
                    </w:rPr>
                  </w:pPr>
                  <w:r>
                    <w:rPr>
                      <w:color w:val="auto"/>
                    </w:rPr>
                    <w:t>50</w:t>
                  </w:r>
                </w:p>
              </w:tc>
            </w:tr>
          </w:tbl>
          <w:p>
            <w:pPr>
              <w:pStyle w:val="61"/>
              <w:spacing w:before="60" w:after="60"/>
              <w:rPr>
                <w:color w:val="auto"/>
              </w:rPr>
            </w:pPr>
            <w:r>
              <w:rPr>
                <w:rFonts w:hint="eastAsia"/>
                <w:color w:val="auto"/>
              </w:rPr>
              <w:t>3.3.4固体废物</w:t>
            </w:r>
          </w:p>
          <w:p>
            <w:pPr>
              <w:ind w:firstLine="480"/>
              <w:rPr>
                <w:color w:val="auto"/>
              </w:rPr>
            </w:pPr>
            <w:r>
              <w:rPr>
                <w:color w:val="auto"/>
              </w:rPr>
              <w:t>一般工业固体废物贮存执行《一般工业固体废物贮存</w:t>
            </w:r>
            <w:r>
              <w:rPr>
                <w:rFonts w:hint="eastAsia"/>
                <w:color w:val="auto"/>
              </w:rPr>
              <w:t>和填埋</w:t>
            </w:r>
            <w:r>
              <w:rPr>
                <w:color w:val="auto"/>
              </w:rPr>
              <w:t>污染控制标准》（GB18599-2</w:t>
            </w:r>
            <w:r>
              <w:rPr>
                <w:rFonts w:hint="eastAsia"/>
                <w:color w:val="auto"/>
              </w:rPr>
              <w:t>020</w:t>
            </w:r>
            <w:r>
              <w:rPr>
                <w:color w:val="auto"/>
              </w:rPr>
              <w:t>）</w:t>
            </w:r>
            <w:r>
              <w:rPr>
                <w:rFonts w:hint="eastAsia"/>
                <w:color w:val="auto"/>
              </w:rPr>
              <w:t>有关要求</w:t>
            </w:r>
            <w:r>
              <w:rPr>
                <w:color w:val="auto"/>
              </w:rPr>
              <w:t>；</w:t>
            </w:r>
          </w:p>
          <w:p>
            <w:pPr>
              <w:ind w:firstLine="480"/>
              <w:rPr>
                <w:color w:val="auto"/>
              </w:rPr>
            </w:pPr>
            <w:r>
              <w:rPr>
                <w:color w:val="auto"/>
              </w:rPr>
              <w:t>危险废物执行《危险废物贮存污染控制标准》（GB18597-2023）</w:t>
            </w:r>
            <w:r>
              <w:rPr>
                <w:rFonts w:hint="eastAsia"/>
                <w:color w:val="auto"/>
              </w:rPr>
              <w:t>有关要求</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74" w:type="pct"/>
            <w:vAlign w:val="center"/>
          </w:tcPr>
          <w:p>
            <w:pPr>
              <w:pStyle w:val="68"/>
              <w:rPr>
                <w:color w:val="auto"/>
                <w:sz w:val="24"/>
                <w:szCs w:val="24"/>
              </w:rPr>
            </w:pPr>
            <w:r>
              <w:rPr>
                <w:rFonts w:hint="eastAsia"/>
                <w:color w:val="auto"/>
                <w:sz w:val="24"/>
                <w:szCs w:val="24"/>
                <w:lang w:eastAsia="zh-CN"/>
              </w:rPr>
              <w:t>总量控制指标</w:t>
            </w:r>
          </w:p>
        </w:tc>
        <w:tc>
          <w:tcPr>
            <w:tcW w:w="4726" w:type="pct"/>
            <w:vAlign w:val="center"/>
          </w:tcPr>
          <w:p>
            <w:pPr>
              <w:pStyle w:val="56"/>
              <w:spacing w:before="120" w:after="120"/>
              <w:rPr>
                <w:color w:val="auto"/>
              </w:rPr>
            </w:pPr>
            <w:r>
              <w:rPr>
                <w:rFonts w:hint="eastAsia"/>
                <w:color w:val="auto"/>
              </w:rPr>
              <w:t>3.4总量控制指标</w:t>
            </w:r>
          </w:p>
          <w:p>
            <w:pPr>
              <w:pStyle w:val="96"/>
              <w:keepNext w:val="0"/>
              <w:keepLines w:val="0"/>
              <w:pageBreakBefore w:val="0"/>
              <w:widowControl w:val="0"/>
              <w:kinsoku/>
              <w:wordWrap w:val="0"/>
              <w:overflowPunct/>
              <w:topLinePunct w:val="0"/>
              <w:autoSpaceDE/>
              <w:autoSpaceDN/>
              <w:bidi w:val="0"/>
              <w:adjustRightInd/>
              <w:snapToGrid/>
              <w:ind w:firstLine="482"/>
              <w:textAlignment w:val="auto"/>
              <w:rPr>
                <w:color w:val="auto"/>
              </w:rPr>
            </w:pPr>
            <w:r>
              <w:rPr>
                <w:rFonts w:hint="eastAsia"/>
                <w:b/>
                <w:color w:val="auto"/>
                <w:lang w:eastAsia="zh-CN"/>
              </w:rPr>
              <w:t>（</w:t>
            </w:r>
            <w:r>
              <w:rPr>
                <w:rFonts w:hint="eastAsia"/>
                <w:b/>
                <w:color w:val="auto"/>
                <w:lang w:val="en-US" w:eastAsia="zh-CN"/>
              </w:rPr>
              <w:t>1</w:t>
            </w:r>
            <w:r>
              <w:rPr>
                <w:rFonts w:hint="eastAsia"/>
                <w:b/>
                <w:color w:val="auto"/>
                <w:lang w:eastAsia="zh-CN"/>
              </w:rPr>
              <w:t>）</w:t>
            </w:r>
            <w:r>
              <w:rPr>
                <w:rFonts w:hint="eastAsia"/>
                <w:b/>
                <w:color w:val="auto"/>
              </w:rPr>
              <w:t>废水：</w:t>
            </w:r>
            <w:r>
              <w:rPr>
                <w:rFonts w:hint="eastAsia"/>
                <w:color w:val="auto"/>
              </w:rPr>
              <w:t>本项目办公生活废水经化粪池处理委托周边农户清</w:t>
            </w:r>
            <w:r>
              <w:rPr>
                <w:rFonts w:hint="eastAsia"/>
                <w:color w:val="auto"/>
                <w:shd w:val="clear" w:fill="FFFFFF"/>
              </w:rPr>
              <w:t>掏</w:t>
            </w:r>
            <w:r>
              <w:rPr>
                <w:rFonts w:hint="eastAsia"/>
                <w:color w:val="auto"/>
              </w:rPr>
              <w:t>施肥，生产废水经一体化污水处理站处理达标后罐车运至彩云镇生活污水处理站处置，本项目生产废水总量已纳入彩云镇生活污水处理站总量，本环评不</w:t>
            </w:r>
            <w:r>
              <w:rPr>
                <w:rFonts w:hint="eastAsia"/>
                <w:color w:val="auto"/>
                <w:lang w:eastAsia="zh-CN"/>
              </w:rPr>
              <w:t>再</w:t>
            </w:r>
            <w:r>
              <w:rPr>
                <w:rFonts w:hint="eastAsia"/>
                <w:color w:val="auto"/>
              </w:rPr>
              <w:t>单独设置总量指标。</w:t>
            </w:r>
          </w:p>
          <w:p>
            <w:pPr>
              <w:pStyle w:val="96"/>
              <w:ind w:firstLine="482"/>
              <w:rPr>
                <w:rFonts w:hint="eastAsia"/>
                <w:color w:val="auto"/>
                <w:highlight w:val="none"/>
              </w:rPr>
            </w:pPr>
            <w:r>
              <w:rPr>
                <w:rFonts w:hint="eastAsia"/>
                <w:b/>
                <w:color w:val="auto"/>
                <w:highlight w:val="none"/>
                <w:lang w:eastAsia="zh-CN"/>
              </w:rPr>
              <w:t>（</w:t>
            </w:r>
            <w:r>
              <w:rPr>
                <w:rFonts w:hint="eastAsia"/>
                <w:b/>
                <w:color w:val="auto"/>
                <w:highlight w:val="none"/>
                <w:lang w:val="en-US" w:eastAsia="zh-CN"/>
              </w:rPr>
              <w:t>2</w:t>
            </w:r>
            <w:r>
              <w:rPr>
                <w:rFonts w:hint="eastAsia"/>
                <w:b/>
                <w:color w:val="auto"/>
                <w:highlight w:val="none"/>
                <w:lang w:eastAsia="zh-CN"/>
              </w:rPr>
              <w:t>）</w:t>
            </w:r>
            <w:r>
              <w:rPr>
                <w:rFonts w:hint="eastAsia"/>
                <w:b/>
                <w:color w:val="auto"/>
                <w:highlight w:val="none"/>
              </w:rPr>
              <w:t>废气：</w:t>
            </w:r>
            <w:r>
              <w:rPr>
                <w:color w:val="auto"/>
                <w:highlight w:val="none"/>
              </w:rPr>
              <w:t>根据《曲靖市生态环境局关于进一步加强建设项目主要污染物排放总量指标管理的通知》（</w:t>
            </w:r>
            <w:r>
              <w:rPr>
                <w:color w:val="auto"/>
                <w:highlight w:val="none"/>
                <w:shd w:val="clear" w:fill="FFFFFF"/>
              </w:rPr>
              <w:t>曲环通</w:t>
            </w:r>
            <w:r>
              <w:rPr>
                <w:color w:val="auto"/>
                <w:highlight w:val="none"/>
              </w:rPr>
              <w:t>〔2022〕65号），项目废气排放涉及二氧化硫、氮氧化物</w:t>
            </w:r>
            <w:r>
              <w:rPr>
                <w:rFonts w:hint="eastAsia"/>
                <w:color w:val="auto"/>
                <w:highlight w:val="none"/>
              </w:rPr>
              <w:t>；本项目</w:t>
            </w:r>
            <w:r>
              <w:rPr>
                <w:rFonts w:hint="eastAsia"/>
                <w:color w:val="auto"/>
                <w:highlight w:val="none"/>
                <w:lang w:val="en-US" w:eastAsia="zh-CN"/>
              </w:rPr>
              <w:t>变更前后</w:t>
            </w:r>
            <w:r>
              <w:rPr>
                <w:rFonts w:hint="eastAsia"/>
                <w:color w:val="auto"/>
                <w:highlight w:val="none"/>
              </w:rPr>
              <w:t>废气设置总量控制指标</w:t>
            </w:r>
            <w:r>
              <w:rPr>
                <w:rFonts w:hint="eastAsia"/>
                <w:color w:val="auto"/>
                <w:highlight w:val="none"/>
                <w:lang w:val="en-US" w:eastAsia="zh-CN"/>
              </w:rPr>
              <w:t>变动情况如下表3.4-1所示</w:t>
            </w:r>
            <w:r>
              <w:rPr>
                <w:rFonts w:hint="eastAsia"/>
                <w:color w:val="auto"/>
                <w:highlight w:val="none"/>
              </w:rPr>
              <w:t>：</w:t>
            </w:r>
          </w:p>
          <w:p>
            <w:pPr>
              <w:pStyle w:val="71"/>
              <w:ind w:firstLine="480"/>
              <w:rPr>
                <w:rFonts w:hint="default"/>
                <w:color w:val="auto"/>
                <w:lang w:val="en-US" w:eastAsia="zh-CN"/>
              </w:rPr>
            </w:pPr>
            <w:r>
              <w:rPr>
                <w:rFonts w:hint="eastAsia"/>
                <w:color w:val="auto"/>
                <w:lang w:val="en-US" w:eastAsia="zh-CN"/>
              </w:rPr>
              <w:t xml:space="preserve">表3.4-1  </w:t>
            </w:r>
            <w:r>
              <w:rPr>
                <w:rFonts w:hint="eastAsia"/>
                <w:color w:val="auto"/>
              </w:rPr>
              <w:t>项目</w:t>
            </w:r>
            <w:r>
              <w:rPr>
                <w:rFonts w:hint="eastAsia"/>
                <w:color w:val="auto"/>
                <w:lang w:val="en-US" w:eastAsia="zh-CN"/>
              </w:rPr>
              <w:t>变更前后</w:t>
            </w:r>
            <w:r>
              <w:rPr>
                <w:rFonts w:hint="eastAsia"/>
                <w:color w:val="auto"/>
              </w:rPr>
              <w:t>废气设置总量控制指标</w:t>
            </w:r>
            <w:r>
              <w:rPr>
                <w:rFonts w:hint="eastAsia"/>
                <w:color w:val="auto"/>
                <w:lang w:val="en-US" w:eastAsia="zh-CN"/>
              </w:rPr>
              <w:t>变动情况一览表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011"/>
              <w:gridCol w:w="2067"/>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污染物名称</w:t>
                  </w:r>
                </w:p>
              </w:tc>
              <w:tc>
                <w:tcPr>
                  <w:tcW w:w="1282"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shd w:val="clear" w:fill="FFFFFF"/>
                      <w:vertAlign w:val="baseline"/>
                      <w:lang w:val="en-US" w:eastAsia="zh-CN"/>
                    </w:rPr>
                    <w:t>原</w:t>
                  </w:r>
                  <w:r>
                    <w:rPr>
                      <w:rFonts w:hint="eastAsia"/>
                      <w:b/>
                      <w:bCs/>
                      <w:color w:val="auto"/>
                      <w:sz w:val="21"/>
                      <w:szCs w:val="21"/>
                      <w:highlight w:val="none"/>
                      <w:vertAlign w:val="baseline"/>
                      <w:lang w:val="en-US" w:eastAsia="zh-CN"/>
                    </w:rPr>
                    <w:t>环评总量控制指标</w:t>
                  </w:r>
                </w:p>
              </w:tc>
              <w:tc>
                <w:tcPr>
                  <w:tcW w:w="1318"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变更后总量控制指标</w:t>
                  </w:r>
                </w:p>
              </w:tc>
              <w:tc>
                <w:tcPr>
                  <w:tcW w:w="1385"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新增量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废气量</w:t>
                  </w:r>
                </w:p>
              </w:tc>
              <w:tc>
                <w:tcPr>
                  <w:tcW w:w="1282"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vertAlign w:val="baseline"/>
                    </w:rPr>
                  </w:pPr>
                  <w:r>
                    <w:rPr>
                      <w:rFonts w:hint="eastAsia"/>
                      <w:color w:val="auto"/>
                      <w:highlight w:val="none"/>
                      <w:vertAlign w:val="baseline"/>
                    </w:rPr>
                    <w:t>193.45万Nm³/a</w:t>
                  </w:r>
                </w:p>
              </w:tc>
              <w:tc>
                <w:tcPr>
                  <w:tcW w:w="1318"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vertAlign w:val="baseline"/>
                    </w:rPr>
                  </w:pPr>
                  <w:r>
                    <w:rPr>
                      <w:rFonts w:hint="eastAsia"/>
                      <w:color w:val="auto"/>
                      <w:highlight w:val="none"/>
                      <w:lang w:val="en-US" w:eastAsia="zh-CN"/>
                    </w:rPr>
                    <w:t>611.52</w:t>
                  </w:r>
                  <w:r>
                    <w:rPr>
                      <w:rFonts w:hint="eastAsia"/>
                      <w:color w:val="auto"/>
                      <w:highlight w:val="none"/>
                      <w:lang w:val="zh-CN"/>
                    </w:rPr>
                    <w:t>万Nm³</w:t>
                  </w:r>
                  <w:r>
                    <w:rPr>
                      <w:color w:val="auto"/>
                      <w:highlight w:val="none"/>
                      <w:lang w:val="zh-CN"/>
                    </w:rPr>
                    <w:t>/</w:t>
                  </w:r>
                  <w:r>
                    <w:rPr>
                      <w:rFonts w:hint="eastAsia"/>
                      <w:color w:val="auto"/>
                      <w:highlight w:val="none"/>
                      <w:lang w:val="zh-CN"/>
                    </w:rPr>
                    <w:t>a</w:t>
                  </w:r>
                </w:p>
              </w:tc>
              <w:tc>
                <w:tcPr>
                  <w:tcW w:w="2173" w:type="dxa"/>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t>418.07</w:t>
                  </w:r>
                  <w:r>
                    <w:rPr>
                      <w:rFonts w:hint="eastAsia"/>
                      <w:color w:val="auto"/>
                      <w:highlight w:val="none"/>
                      <w:lang w:val="zh-CN"/>
                    </w:rPr>
                    <w:t>万Nm³</w:t>
                  </w:r>
                  <w:r>
                    <w:rPr>
                      <w:color w:val="auto"/>
                      <w:highlight w:val="none"/>
                      <w:lang w:val="zh-CN"/>
                    </w:rPr>
                    <w:t>/</w:t>
                  </w:r>
                  <w:r>
                    <w:rPr>
                      <w:rFonts w:hint="eastAsia"/>
                      <w:color w:val="auto"/>
                      <w:highlight w:val="none"/>
                      <w:lang w:val="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SO</w:t>
                  </w:r>
                  <w:r>
                    <w:rPr>
                      <w:rFonts w:hint="eastAsia"/>
                      <w:color w:val="auto"/>
                      <w:highlight w:val="none"/>
                      <w:vertAlign w:val="subscript"/>
                      <w:lang w:val="en-US" w:eastAsia="zh-CN"/>
                    </w:rPr>
                    <w:t>2</w:t>
                  </w:r>
                </w:p>
              </w:tc>
              <w:tc>
                <w:tcPr>
                  <w:tcW w:w="1282"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0.17t/a</w:t>
                  </w:r>
                </w:p>
              </w:tc>
              <w:tc>
                <w:tcPr>
                  <w:tcW w:w="1318"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0.55t/a</w:t>
                  </w:r>
                </w:p>
              </w:tc>
              <w:tc>
                <w:tcPr>
                  <w:tcW w:w="2173" w:type="dxa"/>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t>0.38</w:t>
                  </w:r>
                  <w:r>
                    <w:rPr>
                      <w:rFonts w:hint="eastAsia"/>
                      <w:color w:val="auto"/>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vertAlign w:val="baseline"/>
                    </w:rPr>
                  </w:pPr>
                  <w:r>
                    <w:rPr>
                      <w:color w:val="auto"/>
                      <w:highlight w:val="none"/>
                      <w:lang w:val="zh-CN"/>
                    </w:rPr>
                    <w:t>NOx</w:t>
                  </w:r>
                </w:p>
              </w:tc>
              <w:tc>
                <w:tcPr>
                  <w:tcW w:w="1282"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0.224t/a</w:t>
                  </w:r>
                </w:p>
              </w:tc>
              <w:tc>
                <w:tcPr>
                  <w:tcW w:w="1318" w:type="pct"/>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0.70t/a</w:t>
                  </w:r>
                </w:p>
              </w:tc>
              <w:tc>
                <w:tcPr>
                  <w:tcW w:w="2173" w:type="dxa"/>
                  <w:vAlign w:val="center"/>
                </w:tcPr>
                <w:p>
                  <w:pPr>
                    <w:pStyle w:val="96"/>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t>0.476</w:t>
                  </w:r>
                  <w:r>
                    <w:rPr>
                      <w:rFonts w:hint="eastAsia"/>
                      <w:color w:val="auto"/>
                      <w:highlight w:val="none"/>
                      <w:vertAlign w:val="baseline"/>
                      <w:lang w:val="en-US" w:eastAsia="zh-CN"/>
                    </w:rPr>
                    <w:t>t/a</w:t>
                  </w:r>
                </w:p>
              </w:tc>
            </w:tr>
          </w:tbl>
          <w:p>
            <w:pPr>
              <w:pStyle w:val="96"/>
              <w:ind w:left="0" w:leftChars="0" w:firstLine="482" w:firstLineChars="200"/>
              <w:rPr>
                <w:color w:val="auto"/>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rPr>
              <w:t>固体废物：</w:t>
            </w:r>
            <w:r>
              <w:rPr>
                <w:rFonts w:hint="eastAsia"/>
                <w:color w:val="auto"/>
              </w:rPr>
              <w:t>本项目固废</w:t>
            </w:r>
            <w:r>
              <w:rPr>
                <w:color w:val="auto"/>
              </w:rPr>
              <w:t>处置率</w:t>
            </w:r>
            <w:r>
              <w:rPr>
                <w:rFonts w:hint="eastAsia"/>
                <w:color w:val="auto"/>
              </w:rPr>
              <w:t>为</w:t>
            </w:r>
            <w:r>
              <w:rPr>
                <w:color w:val="auto"/>
              </w:rPr>
              <w:t xml:space="preserve">100%。 </w:t>
            </w:r>
          </w:p>
        </w:tc>
      </w:tr>
    </w:tbl>
    <w:p>
      <w:pPr>
        <w:pStyle w:val="57"/>
        <w:rPr>
          <w:color w:val="auto"/>
          <w:sz w:val="36"/>
          <w:szCs w:val="36"/>
        </w:rPr>
        <w:sectPr>
          <w:pgSz w:w="11907" w:h="16840"/>
          <w:pgMar w:top="1440" w:right="1800" w:bottom="1440" w:left="1800" w:header="397" w:footer="850" w:gutter="0"/>
          <w:cols w:space="720" w:num="1"/>
          <w:docGrid w:linePitch="326"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color w:val="auto"/>
        </w:rPr>
      </w:pPr>
      <w:bookmarkStart w:id="4" w:name="_Toc103860796"/>
      <w:r>
        <w:rPr>
          <w:rFonts w:hint="eastAsia"/>
          <w:color w:val="auto"/>
        </w:rPr>
        <w:t>四、主要环境影响和保护措施</w:t>
      </w:r>
      <w:bookmarkEnd w:id="4"/>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79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67" w:type="pct"/>
            <w:tcBorders>
              <w:bottom w:val="single" w:color="auto" w:sz="4" w:space="0"/>
            </w:tcBorders>
            <w:tcMar>
              <w:left w:w="28" w:type="dxa"/>
              <w:right w:w="28" w:type="dxa"/>
            </w:tcMar>
            <w:vAlign w:val="center"/>
          </w:tcPr>
          <w:p>
            <w:pPr>
              <w:pStyle w:val="59"/>
              <w:rPr>
                <w:bCs/>
                <w:color w:val="auto"/>
              </w:rPr>
            </w:pPr>
            <w:r>
              <w:rPr>
                <w:rFonts w:hint="eastAsia"/>
                <w:color w:val="auto"/>
              </w:rPr>
              <w:t>施工期环境保护措施</w:t>
            </w:r>
          </w:p>
        </w:tc>
        <w:tc>
          <w:tcPr>
            <w:tcW w:w="4733" w:type="pct"/>
            <w:tcBorders>
              <w:bottom w:val="single" w:color="auto" w:sz="4" w:space="0"/>
            </w:tcBorders>
            <w:vAlign w:val="center"/>
          </w:tcPr>
          <w:p>
            <w:pPr>
              <w:pStyle w:val="56"/>
              <w:spacing w:before="120" w:after="120"/>
              <w:rPr>
                <w:color w:val="auto"/>
              </w:rPr>
            </w:pPr>
            <w:r>
              <w:rPr>
                <w:rFonts w:hint="eastAsia"/>
                <w:color w:val="auto"/>
              </w:rPr>
              <w:t>4.1施工期污染防治措施</w:t>
            </w:r>
          </w:p>
          <w:p>
            <w:pPr>
              <w:ind w:firstLine="480"/>
              <w:rPr>
                <w:color w:val="auto"/>
              </w:rPr>
            </w:pPr>
            <w:r>
              <w:rPr>
                <w:rFonts w:hint="eastAsia"/>
                <w:color w:val="auto"/>
                <w:lang w:val="en-US" w:eastAsia="zh-CN"/>
              </w:rPr>
              <w:t>根据现场踏勘和资料收集，2024年6月建设单位动工建设</w:t>
            </w:r>
            <w:r>
              <w:rPr>
                <w:rFonts w:hint="eastAsia"/>
                <w:color w:val="auto"/>
                <w:lang w:eastAsia="zh-CN"/>
              </w:rPr>
              <w:t>，</w:t>
            </w:r>
            <w:r>
              <w:rPr>
                <w:rFonts w:hint="eastAsia"/>
                <w:color w:val="auto"/>
                <w:lang w:val="en-US" w:eastAsia="zh-CN"/>
              </w:rPr>
              <w:t>现阶段已建设餐厨垃圾处置车间、</w:t>
            </w:r>
            <w:r>
              <w:rPr>
                <w:rFonts w:hint="eastAsia"/>
                <w:color w:val="auto"/>
                <w:lang w:eastAsia="zh-CN"/>
              </w:rPr>
              <w:t>办公休息区、门卫室、成品油罐、</w:t>
            </w:r>
            <w:r>
              <w:rPr>
                <w:rFonts w:hint="eastAsia"/>
                <w:color w:val="auto"/>
                <w:lang w:val="en-US" w:eastAsia="zh-CN"/>
              </w:rPr>
              <w:t>初期雨水池、化粪池等建设，</w:t>
            </w:r>
            <w:r>
              <w:rPr>
                <w:rFonts w:hint="eastAsia"/>
                <w:color w:val="auto"/>
              </w:rPr>
              <w:t>其余工程均未建设，项目至今未投入生产</w:t>
            </w:r>
            <w:r>
              <w:rPr>
                <w:rFonts w:hint="eastAsia"/>
                <w:color w:val="auto"/>
                <w:lang w:eastAsia="zh-CN"/>
              </w:rPr>
              <w:t>。</w:t>
            </w:r>
            <w:r>
              <w:rPr>
                <w:rFonts w:hint="eastAsia"/>
                <w:color w:val="auto"/>
              </w:rPr>
              <w:t>项目施工期对环境产生的影响主要有废气、废水、噪声、固体废物。</w:t>
            </w:r>
          </w:p>
          <w:p>
            <w:pPr>
              <w:pStyle w:val="61"/>
              <w:spacing w:before="60" w:after="60"/>
              <w:rPr>
                <w:color w:val="auto"/>
              </w:rPr>
            </w:pPr>
            <w:r>
              <w:rPr>
                <w:rFonts w:hint="eastAsia"/>
                <w:color w:val="auto"/>
              </w:rPr>
              <w:t>4.1.1废气防治措施</w:t>
            </w:r>
          </w:p>
          <w:p>
            <w:pPr>
              <w:ind w:firstLine="480"/>
              <w:rPr>
                <w:color w:val="auto"/>
              </w:rPr>
            </w:pPr>
            <w:r>
              <w:rPr>
                <w:rFonts w:hint="eastAsia"/>
                <w:color w:val="auto"/>
              </w:rPr>
              <w:t>施工期大气污染源主要有：施工扬尘、施工机械燃油尾气及装修废气。</w:t>
            </w:r>
          </w:p>
          <w:p>
            <w:pPr>
              <w:pStyle w:val="84"/>
              <w:ind w:firstLine="482"/>
              <w:rPr>
                <w:color w:val="auto"/>
              </w:rPr>
            </w:pPr>
            <w:r>
              <w:rPr>
                <w:rFonts w:hint="eastAsia"/>
                <w:color w:val="auto"/>
              </w:rPr>
              <w:t>1</w:t>
            </w:r>
            <w:r>
              <w:rPr>
                <w:color w:val="auto"/>
              </w:rPr>
              <w:t>.</w:t>
            </w:r>
            <w:r>
              <w:rPr>
                <w:rFonts w:hint="eastAsia"/>
                <w:color w:val="auto"/>
              </w:rPr>
              <w:t>施工</w:t>
            </w:r>
            <w:r>
              <w:rPr>
                <w:color w:val="auto"/>
              </w:rPr>
              <w:t>扬尘污染防治措施</w:t>
            </w:r>
          </w:p>
          <w:p>
            <w:pPr>
              <w:ind w:firstLine="480"/>
              <w:rPr>
                <w:color w:val="auto"/>
              </w:rPr>
            </w:pP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施工场地每天适时洒水，以有效防止扬尘产生</w:t>
            </w:r>
            <w:r>
              <w:rPr>
                <w:rFonts w:hint="eastAsia"/>
                <w:color w:val="auto"/>
              </w:rPr>
              <w:t>。</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hint="eastAsia" w:ascii="宋体" w:hAnsi="宋体" w:cs="宋体"/>
                <w:color w:val="auto"/>
              </w:rPr>
              <w:t>②</w:t>
            </w:r>
            <w:r>
              <w:rPr>
                <w:color w:val="auto"/>
              </w:rPr>
              <w:fldChar w:fldCharType="end"/>
            </w:r>
            <w:r>
              <w:rPr>
                <w:color w:val="auto"/>
              </w:rPr>
              <w:t>砂石</w:t>
            </w:r>
            <w:r>
              <w:rPr>
                <w:rFonts w:hint="eastAsia"/>
                <w:color w:val="auto"/>
              </w:rPr>
              <w:t>料</w:t>
            </w:r>
            <w:r>
              <w:rPr>
                <w:color w:val="auto"/>
              </w:rPr>
              <w:t>尽量放于棚内，在迎风面用苫布或</w:t>
            </w:r>
            <w:r>
              <w:rPr>
                <w:rFonts w:hint="eastAsia"/>
                <w:color w:val="auto"/>
                <w:lang w:eastAsia="zh-CN"/>
              </w:rPr>
              <w:t>其他</w:t>
            </w:r>
            <w:r>
              <w:rPr>
                <w:color w:val="auto"/>
              </w:rPr>
              <w:t>材料遮挡，减少扬尘污染。</w:t>
            </w:r>
          </w:p>
          <w:p>
            <w:pPr>
              <w:ind w:firstLine="48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color w:val="auto"/>
              </w:rPr>
              <w:t>加强施工管理，贯彻边施工、边防护的原则。</w:t>
            </w:r>
          </w:p>
          <w:p>
            <w:pPr>
              <w:pStyle w:val="84"/>
              <w:ind w:firstLine="482"/>
              <w:rPr>
                <w:color w:val="auto"/>
              </w:rPr>
            </w:pPr>
            <w:r>
              <w:rPr>
                <w:rFonts w:hint="eastAsia"/>
                <w:color w:val="auto"/>
              </w:rPr>
              <w:t>2</w:t>
            </w:r>
            <w:r>
              <w:rPr>
                <w:color w:val="auto"/>
              </w:rPr>
              <w:t>.</w:t>
            </w:r>
            <w:r>
              <w:rPr>
                <w:rFonts w:hint="eastAsia"/>
                <w:color w:val="auto"/>
              </w:rPr>
              <w:t>施工机械燃油尾气</w:t>
            </w:r>
            <w:r>
              <w:rPr>
                <w:color w:val="auto"/>
              </w:rPr>
              <w:t>污染防治措施</w:t>
            </w:r>
          </w:p>
          <w:p>
            <w:pPr>
              <w:ind w:firstLine="480"/>
              <w:rPr>
                <w:color w:val="auto"/>
              </w:rPr>
            </w:pPr>
            <w:r>
              <w:rPr>
                <w:color w:val="auto"/>
              </w:rPr>
              <w:t>施工现场应合理布置运输车辆行驶路线，配合有关部门搞好施工期间周围道路的交通组织，保证行驶速度，减少怠速时间，以减少机动车尾气的排放；对车辆的尾气排放进行监督管理，严格执行有关汽车排污监管办法、尾气排放监测制度；加强对施工机械，运输车辆的维修保养，禁止施工机械超负荷工作和运输车辆超载；不得使用劣质燃料。</w:t>
            </w:r>
          </w:p>
          <w:p>
            <w:pPr>
              <w:pStyle w:val="61"/>
              <w:spacing w:before="60" w:after="60"/>
              <w:rPr>
                <w:color w:val="auto"/>
              </w:rPr>
            </w:pPr>
            <w:r>
              <w:rPr>
                <w:rFonts w:hint="eastAsia"/>
                <w:color w:val="auto"/>
              </w:rPr>
              <w:t>4.1.2废水防治措施</w:t>
            </w:r>
          </w:p>
          <w:p>
            <w:pPr>
              <w:pStyle w:val="84"/>
              <w:ind w:firstLine="482"/>
              <w:rPr>
                <w:color w:val="auto"/>
              </w:rPr>
            </w:pPr>
            <w:r>
              <w:rPr>
                <w:color w:val="auto"/>
              </w:rPr>
              <w:t>1.施工废水处理措施</w:t>
            </w:r>
          </w:p>
          <w:p>
            <w:pPr>
              <w:ind w:firstLine="480"/>
              <w:rPr>
                <w:color w:val="auto"/>
              </w:rPr>
            </w:pPr>
            <w:r>
              <w:rPr>
                <w:color w:val="auto"/>
              </w:rPr>
              <w:t>施工废水采用</w:t>
            </w:r>
            <w:r>
              <w:rPr>
                <w:rFonts w:hint="eastAsia"/>
                <w:color w:val="auto"/>
                <w:lang w:val="en-US" w:eastAsia="zh-CN"/>
              </w:rPr>
              <w:t>已建初期雨水</w:t>
            </w:r>
            <w:r>
              <w:rPr>
                <w:color w:val="auto"/>
              </w:rPr>
              <w:t>沉淀池</w:t>
            </w:r>
            <w:r>
              <w:rPr>
                <w:rFonts w:hint="eastAsia"/>
                <w:color w:val="auto"/>
                <w:lang w:eastAsia="zh-CN"/>
              </w:rPr>
              <w:t>（</w:t>
            </w:r>
            <w:r>
              <w:rPr>
                <w:rFonts w:hint="eastAsia"/>
                <w:color w:val="auto"/>
                <w:lang w:val="en-US" w:eastAsia="zh-CN"/>
              </w:rPr>
              <w:t>容积2m</w:t>
            </w:r>
            <w:r>
              <w:rPr>
                <w:rFonts w:hint="eastAsia"/>
                <w:color w:val="auto"/>
                <w:vertAlign w:val="superscript"/>
                <w:lang w:val="en-US" w:eastAsia="zh-CN"/>
              </w:rPr>
              <w:t>3</w:t>
            </w:r>
            <w:r>
              <w:rPr>
                <w:rFonts w:hint="eastAsia"/>
                <w:color w:val="auto"/>
                <w:lang w:eastAsia="zh-CN"/>
              </w:rPr>
              <w:t>）</w:t>
            </w:r>
            <w:r>
              <w:rPr>
                <w:color w:val="auto"/>
              </w:rPr>
              <w:t>收集处理</w:t>
            </w:r>
            <w:r>
              <w:rPr>
                <w:rFonts w:hint="eastAsia"/>
                <w:color w:val="auto"/>
              </w:rPr>
              <w:t>，施工废水</w:t>
            </w:r>
            <w:r>
              <w:rPr>
                <w:color w:val="auto"/>
              </w:rPr>
              <w:t>回用于</w:t>
            </w:r>
            <w:r>
              <w:rPr>
                <w:rFonts w:hint="eastAsia"/>
                <w:color w:val="auto"/>
              </w:rPr>
              <w:t>本项目</w:t>
            </w:r>
            <w:r>
              <w:rPr>
                <w:color w:val="auto"/>
              </w:rPr>
              <w:t>场内施工过程、场地洒水降尘、建筑材料冲洗等施工环节。</w:t>
            </w:r>
          </w:p>
          <w:p>
            <w:pPr>
              <w:pStyle w:val="84"/>
              <w:ind w:firstLine="482"/>
              <w:rPr>
                <w:color w:val="auto"/>
              </w:rPr>
            </w:pPr>
            <w:r>
              <w:rPr>
                <w:color w:val="auto"/>
              </w:rPr>
              <w:t>2.场地雨季冲刷水处理措施</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shd w:val="clear" w:fill="FFFFFF"/>
              </w:rPr>
              <w:t>沿</w:t>
            </w:r>
            <w:r>
              <w:rPr>
                <w:rFonts w:hint="eastAsia"/>
                <w:color w:val="auto"/>
              </w:rPr>
              <w:t>厂区四周修建雨水沟，完善雨污分流措施和收集管网，尽可能减少场地内雨水冲刷至外环境；</w:t>
            </w:r>
          </w:p>
          <w:p>
            <w:pPr>
              <w:ind w:firstLine="480"/>
              <w:rPr>
                <w:color w:val="auto"/>
              </w:rPr>
            </w:pPr>
            <w:r>
              <w:rPr>
                <w:rFonts w:hint="eastAsia"/>
                <w:color w:val="auto"/>
              </w:rPr>
              <w:t>②厂区雨水</w:t>
            </w:r>
            <w:r>
              <w:rPr>
                <w:color w:val="auto"/>
              </w:rPr>
              <w:t>通过</w:t>
            </w:r>
            <w:r>
              <w:rPr>
                <w:rFonts w:hint="eastAsia"/>
                <w:color w:val="auto"/>
                <w:lang w:val="en-US" w:eastAsia="zh-CN"/>
              </w:rPr>
              <w:t>初期雨水</w:t>
            </w:r>
            <w:r>
              <w:rPr>
                <w:color w:val="auto"/>
              </w:rPr>
              <w:t>沉淀池</w:t>
            </w:r>
            <w:r>
              <w:rPr>
                <w:rFonts w:hint="eastAsia"/>
                <w:color w:val="auto"/>
                <w:lang w:eastAsia="zh-CN"/>
              </w:rPr>
              <w:t>（</w:t>
            </w:r>
            <w:r>
              <w:rPr>
                <w:rFonts w:hint="eastAsia"/>
                <w:color w:val="auto"/>
                <w:lang w:val="en-US" w:eastAsia="zh-CN"/>
              </w:rPr>
              <w:t>容积2m</w:t>
            </w:r>
            <w:r>
              <w:rPr>
                <w:rFonts w:hint="eastAsia"/>
                <w:color w:val="auto"/>
                <w:vertAlign w:val="superscript"/>
                <w:lang w:val="en-US" w:eastAsia="zh-CN"/>
              </w:rPr>
              <w:t>3</w:t>
            </w:r>
            <w:r>
              <w:rPr>
                <w:rFonts w:hint="eastAsia"/>
                <w:color w:val="auto"/>
                <w:lang w:eastAsia="zh-CN"/>
              </w:rPr>
              <w:t>）</w:t>
            </w:r>
            <w:r>
              <w:rPr>
                <w:color w:val="auto"/>
              </w:rPr>
              <w:t>收集处理后回用于施工，剩余部分用于场地洒水降尘使用。</w:t>
            </w:r>
          </w:p>
          <w:p>
            <w:pPr>
              <w:pStyle w:val="84"/>
              <w:ind w:firstLine="482"/>
              <w:rPr>
                <w:color w:val="auto"/>
              </w:rPr>
            </w:pPr>
            <w:r>
              <w:rPr>
                <w:color w:val="auto"/>
              </w:rPr>
              <w:t>3.</w:t>
            </w:r>
            <w:r>
              <w:rPr>
                <w:rFonts w:hint="eastAsia"/>
                <w:color w:val="auto"/>
                <w:lang w:eastAsia="zh-CN"/>
              </w:rPr>
              <w:t>生活污水处理</w:t>
            </w:r>
            <w:r>
              <w:rPr>
                <w:color w:val="auto"/>
              </w:rPr>
              <w:t>措施</w:t>
            </w:r>
          </w:p>
          <w:p>
            <w:pPr>
              <w:ind w:firstLine="480"/>
              <w:rPr>
                <w:color w:val="auto"/>
              </w:rPr>
            </w:pPr>
            <w:r>
              <w:rPr>
                <w:rFonts w:hint="eastAsia"/>
                <w:color w:val="auto"/>
              </w:rPr>
              <w:t>项目施工期较短，施工现场如厕洗手等依托厂内新建卫生间</w:t>
            </w:r>
            <w:r>
              <w:rPr>
                <w:color w:val="auto"/>
              </w:rPr>
              <w:t>。</w:t>
            </w:r>
          </w:p>
          <w:p>
            <w:pPr>
              <w:pStyle w:val="84"/>
              <w:ind w:firstLine="482"/>
              <w:rPr>
                <w:color w:val="auto"/>
              </w:rPr>
            </w:pPr>
            <w:r>
              <w:rPr>
                <w:color w:val="auto"/>
              </w:rPr>
              <w:t>4.</w:t>
            </w:r>
            <w:r>
              <w:rPr>
                <w:rFonts w:hint="eastAsia"/>
                <w:color w:val="auto"/>
              </w:rPr>
              <w:t>其他措施</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施工过程中废水不得违反</w:t>
            </w:r>
            <w:r>
              <w:rPr>
                <w:rFonts w:hint="eastAsia"/>
                <w:color w:val="auto"/>
                <w:lang w:eastAsia="zh-CN"/>
              </w:rPr>
              <w:t>法律法规</w:t>
            </w:r>
            <w:r>
              <w:rPr>
                <w:rFonts w:hint="eastAsia"/>
                <w:color w:val="auto"/>
              </w:rPr>
              <w:t>对水污染防治的其他规定；</w:t>
            </w:r>
          </w:p>
          <w:p>
            <w:pPr>
              <w:ind w:firstLine="480"/>
              <w:rPr>
                <w:color w:val="auto"/>
              </w:rPr>
            </w:pPr>
            <w:r>
              <w:rPr>
                <w:rFonts w:hint="eastAsia"/>
                <w:color w:val="auto"/>
              </w:rPr>
              <w:t>②施工单位应根据师宗县的降雨特征，制定雨季、特别是暴雨期的排水应急响应工作方案，以便在需要时实施，避免雨季排水不畅对周围环境敏感点的影响。</w:t>
            </w:r>
          </w:p>
          <w:p>
            <w:pPr>
              <w:ind w:firstLine="480"/>
              <w:rPr>
                <w:color w:val="auto"/>
              </w:rPr>
            </w:pPr>
            <w:r>
              <w:rPr>
                <w:rFonts w:hint="eastAsia"/>
                <w:color w:val="auto"/>
              </w:rPr>
              <w:t>③</w:t>
            </w:r>
            <w:r>
              <w:rPr>
                <w:rFonts w:hint="eastAsia"/>
                <w:color w:val="auto"/>
                <w:lang w:eastAsia="zh-CN"/>
              </w:rPr>
              <w:t>尽量减少</w:t>
            </w:r>
            <w:r>
              <w:rPr>
                <w:rFonts w:hint="eastAsia"/>
                <w:color w:val="auto"/>
              </w:rPr>
              <w:t>建筑施工机械设备与水体的直接接触；加强施工机械设备的维修保养，避免施工机械在施工过程中燃料用油</w:t>
            </w:r>
            <w:r>
              <w:rPr>
                <w:rFonts w:hint="eastAsia"/>
                <w:color w:val="auto"/>
                <w:shd w:val="clear" w:fill="FFFFFF"/>
              </w:rPr>
              <w:t>跑</w:t>
            </w:r>
            <w:r>
              <w:rPr>
                <w:rFonts w:hint="eastAsia"/>
                <w:color w:val="auto"/>
              </w:rPr>
              <w:t>、冒、滴、漏现象的发生。</w:t>
            </w:r>
          </w:p>
          <w:p>
            <w:pPr>
              <w:ind w:firstLine="480"/>
              <w:rPr>
                <w:color w:val="auto"/>
              </w:rPr>
            </w:pPr>
            <w:r>
              <w:rPr>
                <w:rFonts w:hint="eastAsia"/>
                <w:color w:val="auto"/>
              </w:rPr>
              <w:t>④在工程施工期间，考虑到施工区域的场地现状，应对施工期间地面水的排放方式结合建成以后项目区内的雨水、污水的排放方式一起进行组织设计，防止乱排、乱流。</w:t>
            </w:r>
          </w:p>
          <w:p>
            <w:pPr>
              <w:ind w:firstLine="480"/>
              <w:rPr>
                <w:color w:val="auto"/>
              </w:rPr>
            </w:pPr>
            <w:r>
              <w:rPr>
                <w:rFonts w:hint="eastAsia"/>
                <w:color w:val="auto"/>
              </w:rPr>
              <w:t>⑤暴雨情况下禁止施工。</w:t>
            </w:r>
          </w:p>
          <w:p>
            <w:pPr>
              <w:pStyle w:val="61"/>
              <w:spacing w:before="60" w:after="60"/>
              <w:rPr>
                <w:color w:val="auto"/>
              </w:rPr>
            </w:pPr>
            <w:r>
              <w:rPr>
                <w:rFonts w:hint="eastAsia"/>
                <w:color w:val="auto"/>
              </w:rPr>
              <w:t>4.1.3噪声防治措施</w:t>
            </w:r>
          </w:p>
          <w:p>
            <w:pPr>
              <w:pStyle w:val="84"/>
              <w:ind w:firstLine="482"/>
              <w:rPr>
                <w:color w:val="auto"/>
              </w:rPr>
            </w:pPr>
            <w:r>
              <w:rPr>
                <w:rFonts w:hint="eastAsia"/>
                <w:color w:val="auto"/>
              </w:rPr>
              <w:t>1</w:t>
            </w:r>
            <w:r>
              <w:rPr>
                <w:color w:val="auto"/>
              </w:rPr>
              <w:t>.降低噪声设备声级</w:t>
            </w:r>
          </w:p>
          <w:p>
            <w:pPr>
              <w:ind w:firstLine="480"/>
              <w:rPr>
                <w:color w:val="auto"/>
              </w:rPr>
            </w:pP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选用低噪声设备和施工工艺，以液压机械代替燃油机械，有效降低噪声影响。</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hint="eastAsia" w:ascii="宋体" w:hAnsi="宋体" w:cs="宋体"/>
                <w:color w:val="auto"/>
              </w:rPr>
              <w:t>②</w:t>
            </w:r>
            <w:r>
              <w:rPr>
                <w:color w:val="auto"/>
              </w:rPr>
              <w:fldChar w:fldCharType="end"/>
            </w:r>
            <w:r>
              <w:rPr>
                <w:color w:val="auto"/>
              </w:rPr>
              <w:t>要加强设备安装过程中的</w:t>
            </w:r>
            <w:r>
              <w:rPr>
                <w:rFonts w:hint="eastAsia"/>
                <w:color w:val="auto"/>
                <w:lang w:eastAsia="zh-CN"/>
              </w:rPr>
              <w:t>减振</w:t>
            </w:r>
            <w:r>
              <w:rPr>
                <w:color w:val="auto"/>
              </w:rPr>
              <w:t>措施，整体设备应安放稳固，并与地面保持良好接触，有条件的应使用减振机座，降低噪声。施工过程中加强检查、维护和保养机械设备，保持润滑，紧固各部件，减少运行</w:t>
            </w:r>
            <w:r>
              <w:rPr>
                <w:rFonts w:hint="eastAsia"/>
                <w:color w:val="auto"/>
                <w:lang w:eastAsia="zh-CN"/>
              </w:rPr>
              <w:t>振动</w:t>
            </w:r>
            <w:r>
              <w:rPr>
                <w:color w:val="auto"/>
              </w:rPr>
              <w:t>噪声。</w:t>
            </w:r>
          </w:p>
          <w:p>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hint="eastAsia" w:ascii="宋体" w:hAnsi="宋体" w:cs="宋体"/>
                <w:color w:val="auto"/>
              </w:rPr>
              <w:t>③</w:t>
            </w:r>
            <w:r>
              <w:rPr>
                <w:color w:val="auto"/>
              </w:rPr>
              <w:fldChar w:fldCharType="end"/>
            </w:r>
            <w:r>
              <w:rPr>
                <w:color w:val="auto"/>
              </w:rPr>
              <w:t>及时修理和改进施工机械，加强文明施工，杜绝施工机械在运行过程中因维护不当而产生的</w:t>
            </w:r>
            <w:r>
              <w:rPr>
                <w:rFonts w:hint="eastAsia"/>
                <w:color w:val="auto"/>
                <w:lang w:eastAsia="zh-CN"/>
              </w:rPr>
              <w:t>其他</w:t>
            </w:r>
            <w:r>
              <w:rPr>
                <w:color w:val="auto"/>
              </w:rPr>
              <w:t>噪声。</w:t>
            </w:r>
          </w:p>
          <w:p>
            <w:pPr>
              <w:ind w:firstLine="480"/>
              <w:rPr>
                <w:color w:val="auto"/>
              </w:rPr>
            </w:pPr>
            <w:r>
              <w:rPr>
                <w:color w:val="auto"/>
              </w:rPr>
              <w:fldChar w:fldCharType="begin"/>
            </w:r>
            <w:r>
              <w:rPr>
                <w:color w:val="auto"/>
              </w:rPr>
              <w:instrText xml:space="preserve"> = 4 \* GB3 \* MERGEFORMAT </w:instrText>
            </w:r>
            <w:r>
              <w:rPr>
                <w:color w:val="auto"/>
              </w:rPr>
              <w:fldChar w:fldCharType="separate"/>
            </w:r>
            <w:r>
              <w:rPr>
                <w:rFonts w:hint="eastAsia" w:ascii="宋体" w:hAnsi="宋体" w:cs="宋体"/>
                <w:color w:val="auto"/>
              </w:rPr>
              <w:t>④</w:t>
            </w:r>
            <w:r>
              <w:rPr>
                <w:color w:val="auto"/>
              </w:rPr>
              <w:fldChar w:fldCharType="end"/>
            </w:r>
            <w:r>
              <w:rPr>
                <w:color w:val="auto"/>
              </w:rPr>
              <w:t>施工期间必须严格</w:t>
            </w:r>
            <w:r>
              <w:rPr>
                <w:rFonts w:hint="eastAsia"/>
                <w:color w:val="auto"/>
                <w:lang w:eastAsia="zh-CN"/>
              </w:rPr>
              <w:t>按照</w:t>
            </w:r>
            <w:r>
              <w:rPr>
                <w:color w:val="auto"/>
              </w:rPr>
              <w:t>《建筑施工场界环境噪声排放标准》（GB12523-2011）要求进行施工时间、施工噪声的控制，以减少工程建设施工对周边造成的声环境影响。</w:t>
            </w:r>
          </w:p>
          <w:p>
            <w:pPr>
              <w:pStyle w:val="84"/>
              <w:ind w:firstLine="482"/>
              <w:rPr>
                <w:color w:val="auto"/>
              </w:rPr>
            </w:pPr>
            <w:r>
              <w:rPr>
                <w:rFonts w:hint="eastAsia"/>
                <w:color w:val="auto"/>
              </w:rPr>
              <w:t>2</w:t>
            </w:r>
            <w:r>
              <w:rPr>
                <w:color w:val="auto"/>
              </w:rPr>
              <w:t>.合理安排施工时间和布局施工现场</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合理安排施工时间，严禁</w:t>
            </w:r>
            <w:r>
              <w:rPr>
                <w:rFonts w:hint="default" w:ascii="Times New Roman" w:hAnsi="Times New Roman" w:cs="Times New Roman"/>
                <w:color w:val="auto"/>
                <w:shd w:val="clear" w:fill="FFFFFF"/>
              </w:rPr>
              <w:t>22</w:t>
            </w:r>
            <w:r>
              <w:rPr>
                <w:rFonts w:hint="eastAsia" w:cs="Times New Roman"/>
                <w:color w:val="auto"/>
                <w:shd w:val="clear" w:fill="FFFFFF"/>
                <w:lang w:eastAsia="zh-CN"/>
              </w:rPr>
              <w:t>:</w:t>
            </w:r>
            <w:r>
              <w:rPr>
                <w:rFonts w:hint="default" w:ascii="Times New Roman" w:hAnsi="Times New Roman" w:cs="Times New Roman"/>
                <w:color w:val="auto"/>
              </w:rPr>
              <w:t>00～凌晨6</w:t>
            </w:r>
            <w:r>
              <w:rPr>
                <w:rFonts w:hint="eastAsia" w:cs="Times New Roman"/>
                <w:color w:val="auto"/>
                <w:lang w:eastAsia="zh-CN"/>
              </w:rPr>
              <w:t>:</w:t>
            </w:r>
            <w:r>
              <w:rPr>
                <w:rFonts w:hint="default" w:ascii="Times New Roman" w:hAnsi="Times New Roman" w:cs="Times New Roman"/>
                <w:color w:val="auto"/>
              </w:rPr>
              <w:t>00以及中午12</w:t>
            </w:r>
            <w:r>
              <w:rPr>
                <w:rFonts w:hint="eastAsia" w:cs="Times New Roman"/>
                <w:color w:val="auto"/>
                <w:lang w:eastAsia="zh-CN"/>
              </w:rPr>
              <w:t>:</w:t>
            </w:r>
            <w:r>
              <w:rPr>
                <w:rFonts w:hint="default" w:ascii="Times New Roman" w:hAnsi="Times New Roman" w:cs="Times New Roman"/>
                <w:color w:val="auto"/>
              </w:rPr>
              <w:t>00～14</w:t>
            </w:r>
            <w:r>
              <w:rPr>
                <w:rFonts w:hint="eastAsia" w:cs="Times New Roman"/>
                <w:color w:val="auto"/>
                <w:lang w:eastAsia="zh-CN"/>
              </w:rPr>
              <w:t>:</w:t>
            </w:r>
            <w:r>
              <w:rPr>
                <w:rFonts w:hint="default" w:ascii="Times New Roman" w:hAnsi="Times New Roman" w:cs="Times New Roman"/>
                <w:color w:val="auto"/>
              </w:rPr>
              <w:t>30进行可能产生噪声扰民的施工活动，尽可能避免大量高噪声设备同时施工造成局部声级过高；</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hint="eastAsia" w:ascii="宋体" w:hAnsi="宋体" w:cs="宋体"/>
                <w:color w:val="auto"/>
              </w:rPr>
              <w:t>②</w:t>
            </w:r>
            <w:r>
              <w:rPr>
                <w:color w:val="auto"/>
              </w:rPr>
              <w:fldChar w:fldCharType="end"/>
            </w:r>
            <w:r>
              <w:rPr>
                <w:color w:val="auto"/>
              </w:rPr>
              <w:t>同时应尽量缩短敏感点附近的高强度噪声设备的施工时间，减少对居民的影响。针对施工过程中具有噪声突发、不规则、不连续、高强度等特点的施工活动，应合理安排施工，加以减缓。施工场地布置设备应尽量远离声环境敏感点，以减缓噪声影响。</w:t>
            </w:r>
          </w:p>
          <w:p>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hint="eastAsia" w:ascii="宋体" w:hAnsi="宋体" w:cs="宋体"/>
                <w:color w:val="auto"/>
              </w:rPr>
              <w:t>③</w:t>
            </w:r>
            <w:r>
              <w:rPr>
                <w:color w:val="auto"/>
              </w:rPr>
              <w:fldChar w:fldCharType="end"/>
            </w:r>
            <w:r>
              <w:rPr>
                <w:color w:val="auto"/>
              </w:rPr>
              <w:t>施工</w:t>
            </w:r>
            <w:r>
              <w:rPr>
                <w:rFonts w:hint="eastAsia"/>
                <w:color w:val="auto"/>
              </w:rPr>
              <w:t>利用场地现有的围墙作为</w:t>
            </w:r>
            <w:r>
              <w:rPr>
                <w:color w:val="auto"/>
              </w:rPr>
              <w:t>围挡，</w:t>
            </w:r>
            <w:r>
              <w:rPr>
                <w:rFonts w:hint="eastAsia"/>
                <w:color w:val="auto"/>
              </w:rPr>
              <w:t>可有效</w:t>
            </w:r>
            <w:r>
              <w:rPr>
                <w:color w:val="auto"/>
              </w:rPr>
              <w:t>减轻噪声对周围环境的影响。</w:t>
            </w:r>
          </w:p>
          <w:p>
            <w:pPr>
              <w:pStyle w:val="84"/>
              <w:ind w:firstLine="482"/>
              <w:rPr>
                <w:color w:val="auto"/>
              </w:rPr>
            </w:pPr>
            <w:r>
              <w:rPr>
                <w:rFonts w:hint="eastAsia"/>
                <w:color w:val="auto"/>
              </w:rPr>
              <w:t>3</w:t>
            </w:r>
            <w:r>
              <w:rPr>
                <w:color w:val="auto"/>
              </w:rPr>
              <w:t>.减少运输过程的交通噪声</w:t>
            </w:r>
          </w:p>
          <w:p>
            <w:pPr>
              <w:ind w:firstLine="480"/>
              <w:rPr>
                <w:color w:val="auto"/>
              </w:rPr>
            </w:pPr>
            <w:r>
              <w:rPr>
                <w:color w:val="auto"/>
              </w:rPr>
              <w:t>选用符合《机动车辆允许噪声》（GB1495-79）标准的施工车辆，禁止不符合国家噪声排放标准的运输车辆进入工区，尽量减少夜间运输量，车辆进入居民区时应限速。对运输、施工车辆定期维修、养护，减少或杜绝鸣笛。加强施工期间道路交通的管理，保持道路畅通。</w:t>
            </w:r>
          </w:p>
          <w:p>
            <w:pPr>
              <w:pStyle w:val="84"/>
              <w:ind w:firstLine="482"/>
              <w:rPr>
                <w:color w:val="auto"/>
              </w:rPr>
            </w:pPr>
            <w:r>
              <w:rPr>
                <w:rFonts w:hint="eastAsia"/>
                <w:color w:val="auto"/>
              </w:rPr>
              <w:t>4</w:t>
            </w:r>
            <w:r>
              <w:rPr>
                <w:color w:val="auto"/>
              </w:rPr>
              <w:t>.合理安排施工步骤、优化施工方式</w:t>
            </w:r>
          </w:p>
          <w:p>
            <w:pPr>
              <w:ind w:firstLine="480"/>
              <w:rPr>
                <w:color w:val="auto"/>
              </w:rPr>
            </w:pPr>
            <w:r>
              <w:rPr>
                <w:color w:val="auto"/>
              </w:rPr>
              <w:t>科学合理地安排施工步骤，优化施工方式，尽量减短噪声持续排放的时间；项目在进行物料运输时，应合理安排运输时间，选择最佳的进厂道路，避免在夜间及交通拥挤时段进行，减缓交通噪声对居民的影响。</w:t>
            </w:r>
          </w:p>
          <w:p>
            <w:pPr>
              <w:pStyle w:val="75"/>
              <w:rPr>
                <w:color w:val="auto"/>
              </w:rPr>
            </w:pPr>
            <w:r>
              <w:rPr>
                <w:rFonts w:hint="eastAsia"/>
                <w:color w:val="auto"/>
              </w:rPr>
              <w:t>4.1.4固体废物防治措施</w:t>
            </w:r>
          </w:p>
          <w:p>
            <w:pPr>
              <w:ind w:firstLine="480"/>
              <w:rPr>
                <w:color w:val="auto"/>
              </w:rPr>
            </w:pPr>
            <w:r>
              <w:rPr>
                <w:rFonts w:hint="eastAsia"/>
                <w:color w:val="auto"/>
                <w:lang w:val="en-US" w:eastAsia="zh-CN"/>
              </w:rPr>
              <w:t>根据现场踏勘和资料收集，2024年6月建设单位动工建设</w:t>
            </w:r>
            <w:r>
              <w:rPr>
                <w:rFonts w:hint="eastAsia"/>
                <w:color w:val="auto"/>
                <w:lang w:eastAsia="zh-CN"/>
              </w:rPr>
              <w:t>，</w:t>
            </w:r>
            <w:r>
              <w:rPr>
                <w:rFonts w:hint="eastAsia"/>
                <w:color w:val="auto"/>
                <w:lang w:val="en-US" w:eastAsia="zh-CN"/>
              </w:rPr>
              <w:t>现阶段已建设餐厨垃圾处置车间、</w:t>
            </w:r>
            <w:r>
              <w:rPr>
                <w:rFonts w:hint="eastAsia"/>
                <w:color w:val="auto"/>
                <w:lang w:eastAsia="zh-CN"/>
              </w:rPr>
              <w:t>办公休息区、门卫室、成品油罐、</w:t>
            </w:r>
            <w:r>
              <w:rPr>
                <w:rFonts w:hint="eastAsia"/>
                <w:color w:val="auto"/>
                <w:lang w:val="en-US" w:eastAsia="zh-CN"/>
              </w:rPr>
              <w:t>初期雨水池、化粪池等建设，</w:t>
            </w:r>
            <w:r>
              <w:rPr>
                <w:rFonts w:hint="eastAsia"/>
                <w:color w:val="auto"/>
              </w:rPr>
              <w:t>其余工程均未建设，因此施工期无土石方产生。</w:t>
            </w:r>
          </w:p>
          <w:p>
            <w:pPr>
              <w:ind w:firstLine="480"/>
              <w:rPr>
                <w:color w:val="auto"/>
              </w:rPr>
            </w:pP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对于建筑垃圾应分类收集，将可以回收的部分（如废旧钢筋、铁丝等）集中收集后外售给废品收购站。可以再利用的部分分类堆放，进行再利用或外</w:t>
            </w:r>
            <w:r>
              <w:rPr>
                <w:color w:val="auto"/>
                <w:shd w:val="clear" w:fill="FFFFFF"/>
              </w:rPr>
              <w:t>售</w:t>
            </w:r>
            <w:r>
              <w:rPr>
                <w:color w:val="auto"/>
              </w:rPr>
              <w:t>。对于建筑垃圾中较为稳定的成分（如碎砖瓦砾等）就近作为填方回填场地，不能够回填部分，按照当地有关部门的要求及时清运处理。</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hint="eastAsia"/>
                <w:color w:val="auto"/>
              </w:rPr>
              <w:t>②</w:t>
            </w:r>
            <w:r>
              <w:rPr>
                <w:color w:val="auto"/>
              </w:rPr>
              <w:fldChar w:fldCharType="end"/>
            </w:r>
            <w:r>
              <w:rPr>
                <w:color w:val="auto"/>
              </w:rPr>
              <w:t>对于施工人员产生的分散垃圾，除对施工人员加强环境保护教育和有关宣传外，还应加强施工场内卫生保洁工作。对于施工期施工人员产生的比较集中的生活垃圾，由于其中含有较多的易腐烂成分，必须</w:t>
            </w:r>
            <w:r>
              <w:rPr>
                <w:rFonts w:hint="eastAsia"/>
                <w:color w:val="auto"/>
              </w:rPr>
              <w:t>统一收集至现有综合楼生活垃圾桶存放</w:t>
            </w:r>
            <w:r>
              <w:rPr>
                <w:color w:val="auto"/>
              </w:rPr>
              <w:t>，并防止在雨天被雨水浸泡而产生对环境危害严重的渗滤液。施工人员生活垃圾集中收集后委托环卫部门定期清运。</w:t>
            </w:r>
          </w:p>
          <w:p>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hint="eastAsia"/>
                <w:color w:val="auto"/>
              </w:rPr>
              <w:t>③</w:t>
            </w:r>
            <w:r>
              <w:rPr>
                <w:color w:val="auto"/>
              </w:rPr>
              <w:fldChar w:fldCharType="end"/>
            </w:r>
            <w:r>
              <w:rPr>
                <w:color w:val="auto"/>
              </w:rPr>
              <w:t>通过合理规划，减少不必要的土地占用。</w:t>
            </w:r>
          </w:p>
          <w:p>
            <w:pPr>
              <w:pStyle w:val="61"/>
              <w:spacing w:before="60" w:after="60"/>
              <w:rPr>
                <w:color w:val="auto"/>
              </w:rPr>
            </w:pPr>
            <w:r>
              <w:rPr>
                <w:color w:val="auto"/>
              </w:rPr>
              <w:t>4.1.5生态影响减缓措施</w:t>
            </w:r>
          </w:p>
          <w:p>
            <w:pPr>
              <w:ind w:firstLine="480"/>
              <w:rPr>
                <w:color w:val="auto"/>
              </w:rPr>
            </w:pPr>
            <w:r>
              <w:rPr>
                <w:rFonts w:hint="eastAsia"/>
                <w:color w:val="auto"/>
              </w:rPr>
              <w:t>本项目在施工过程中</w:t>
            </w:r>
            <w:r>
              <w:rPr>
                <w:color w:val="auto"/>
              </w:rPr>
              <w:t>加强对施工人员和管理人员的教育，</w:t>
            </w:r>
            <w:r>
              <w:rPr>
                <w:rFonts w:hint="eastAsia"/>
                <w:color w:val="auto"/>
                <w:lang w:eastAsia="zh-CN"/>
              </w:rPr>
              <w:t>增强</w:t>
            </w:r>
            <w:r>
              <w:rPr>
                <w:color w:val="auto"/>
              </w:rPr>
              <w:t>其环境保护意识，防止因人为活动造成的区域植被破坏、生活垃圾乱堆以及污水肆意排放等问题所引起的景观污染。</w:t>
            </w:r>
          </w:p>
          <w:p>
            <w:pPr>
              <w:pStyle w:val="61"/>
              <w:spacing w:before="60" w:after="60"/>
              <w:rPr>
                <w:color w:val="auto"/>
              </w:rPr>
            </w:pPr>
            <w:r>
              <w:rPr>
                <w:color w:val="auto"/>
              </w:rPr>
              <w:t>4.1.6环境保护的组织管理措施</w:t>
            </w:r>
          </w:p>
          <w:p>
            <w:pPr>
              <w:ind w:firstLine="480"/>
              <w:rPr>
                <w:color w:val="auto"/>
              </w:rPr>
            </w:pP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建设单位应将本项目的环境保护作为工程的一个组成部分，纳入工程的管理与监督中</w:t>
            </w:r>
            <w:r>
              <w:rPr>
                <w:rFonts w:hint="eastAsia"/>
                <w:color w:val="auto"/>
              </w:rPr>
              <w:t>。</w:t>
            </w:r>
          </w:p>
          <w:p>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hint="eastAsia" w:ascii="宋体" w:hAnsi="宋体" w:cs="宋体"/>
                <w:color w:val="auto"/>
              </w:rPr>
              <w:t>②</w:t>
            </w:r>
            <w:r>
              <w:rPr>
                <w:color w:val="auto"/>
              </w:rPr>
              <w:fldChar w:fldCharType="end"/>
            </w:r>
            <w:r>
              <w:rPr>
                <w:color w:val="auto"/>
              </w:rPr>
              <w:t>对环评报告提出的环境保护措施，以及各级环保部门提出的其他环保要求，在施工中应坚决实施</w:t>
            </w:r>
            <w:r>
              <w:rPr>
                <w:rFonts w:hint="eastAsia"/>
                <w:color w:val="auto"/>
              </w:rPr>
              <w:t>。</w:t>
            </w:r>
          </w:p>
          <w:p>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hint="eastAsia" w:ascii="宋体" w:hAnsi="宋体" w:cs="宋体"/>
                <w:color w:val="auto"/>
              </w:rPr>
              <w:t>③</w:t>
            </w:r>
            <w:r>
              <w:rPr>
                <w:color w:val="auto"/>
              </w:rPr>
              <w:fldChar w:fldCharType="end"/>
            </w:r>
            <w:r>
              <w:rPr>
                <w:color w:val="auto"/>
              </w:rPr>
              <w:t>建设领导组的环保人员应经常进行现场监督，发现不符合环保要求的施工行为立即制止、纠正</w:t>
            </w:r>
            <w:r>
              <w:rPr>
                <w:rFonts w:hint="eastAsia"/>
                <w:color w:val="auto"/>
              </w:rPr>
              <w:t>。</w:t>
            </w:r>
          </w:p>
          <w:p>
            <w:pPr>
              <w:ind w:firstLine="480"/>
              <w:rPr>
                <w:color w:val="auto"/>
              </w:rPr>
            </w:pPr>
            <w:r>
              <w:rPr>
                <w:color w:val="auto"/>
              </w:rPr>
              <w:fldChar w:fldCharType="begin"/>
            </w:r>
            <w:r>
              <w:rPr>
                <w:color w:val="auto"/>
              </w:rPr>
              <w:instrText xml:space="preserve"> = 4 \* GB3 \* MERGEFORMAT </w:instrText>
            </w:r>
            <w:r>
              <w:rPr>
                <w:color w:val="auto"/>
              </w:rPr>
              <w:fldChar w:fldCharType="separate"/>
            </w:r>
            <w:r>
              <w:rPr>
                <w:rFonts w:hint="eastAsia" w:ascii="宋体" w:hAnsi="宋体" w:cs="宋体"/>
                <w:color w:val="auto"/>
              </w:rPr>
              <w:t>④</w:t>
            </w:r>
            <w:r>
              <w:rPr>
                <w:color w:val="auto"/>
              </w:rPr>
              <w:fldChar w:fldCharType="end"/>
            </w:r>
            <w:r>
              <w:rPr>
                <w:color w:val="auto"/>
              </w:rPr>
              <w:t>合理计划安排，缩短施工工期，施工废水经沉淀后尽量回收利用。</w:t>
            </w:r>
            <w:r>
              <w:rPr>
                <w:rFonts w:hint="eastAsia"/>
                <w:color w:val="auto"/>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59"/>
              <w:rPr>
                <w:color w:val="auto"/>
              </w:rPr>
            </w:pPr>
            <w:r>
              <w:rPr>
                <w:rFonts w:hint="eastAsia"/>
                <w:bCs/>
                <w:color w:val="auto"/>
              </w:rPr>
              <w:t>运营期环境影响和保护措施</w:t>
            </w:r>
          </w:p>
        </w:tc>
        <w:tc>
          <w:tcPr>
            <w:tcW w:w="4733" w:type="pct"/>
            <w:tcBorders>
              <w:top w:val="single" w:color="auto" w:sz="4" w:space="0"/>
              <w:left w:val="single" w:color="auto" w:sz="4" w:space="0"/>
              <w:bottom w:val="single" w:color="auto" w:sz="4" w:space="0"/>
              <w:right w:val="single" w:color="auto" w:sz="4" w:space="0"/>
            </w:tcBorders>
            <w:vAlign w:val="center"/>
          </w:tcPr>
          <w:p>
            <w:pPr>
              <w:pStyle w:val="56"/>
              <w:spacing w:before="120" w:after="120"/>
              <w:rPr>
                <w:color w:val="auto"/>
              </w:rPr>
            </w:pPr>
            <w:r>
              <w:rPr>
                <w:rFonts w:hint="eastAsia"/>
                <w:color w:val="auto"/>
              </w:rPr>
              <w:t>4.2运营期环境影响和保护措施</w:t>
            </w:r>
          </w:p>
          <w:p>
            <w:pPr>
              <w:pStyle w:val="61"/>
              <w:spacing w:before="60" w:after="60"/>
              <w:rPr>
                <w:color w:val="auto"/>
              </w:rPr>
            </w:pPr>
            <w:r>
              <w:rPr>
                <w:rFonts w:hint="eastAsia"/>
                <w:color w:val="auto"/>
              </w:rPr>
              <w:t>4.2.1</w:t>
            </w:r>
            <w:r>
              <w:rPr>
                <w:rFonts w:hint="eastAsia"/>
                <w:bCs/>
                <w:color w:val="auto"/>
              </w:rPr>
              <w:t>大气</w:t>
            </w:r>
            <w:r>
              <w:rPr>
                <w:rFonts w:hint="eastAsia"/>
                <w:color w:val="auto"/>
              </w:rPr>
              <w:t>环境影响和保护措施</w:t>
            </w:r>
          </w:p>
          <w:p>
            <w:pPr>
              <w:ind w:firstLine="480"/>
              <w:rPr>
                <w:color w:val="auto"/>
              </w:rPr>
            </w:pPr>
            <w:r>
              <w:rPr>
                <w:rFonts w:hint="eastAsia"/>
                <w:color w:val="auto"/>
              </w:rPr>
              <w:t>根据《建设项目环境影响报告表编制技术指南（污染影响类）（试行）</w:t>
            </w:r>
            <w:r>
              <w:rPr>
                <w:rFonts w:hint="eastAsia"/>
                <w:color w:val="auto"/>
                <w:lang w:eastAsia="zh-CN"/>
              </w:rPr>
              <w:t>》《</w:t>
            </w:r>
            <w:r>
              <w:rPr>
                <w:rFonts w:hint="eastAsia"/>
                <w:color w:val="auto"/>
              </w:rPr>
              <w:t>排污许可证申请与核发技术规范-环境卫生管理业》（H</w:t>
            </w:r>
            <w:r>
              <w:rPr>
                <w:color w:val="auto"/>
              </w:rPr>
              <w:t>J</w:t>
            </w:r>
            <w:r>
              <w:rPr>
                <w:rFonts w:hint="eastAsia"/>
                <w:color w:val="auto"/>
              </w:rPr>
              <w:t>11</w:t>
            </w:r>
            <w:r>
              <w:rPr>
                <w:color w:val="auto"/>
              </w:rPr>
              <w:t>06</w:t>
            </w:r>
            <w:r>
              <w:rPr>
                <w:rFonts w:hint="eastAsia"/>
                <w:color w:val="auto"/>
              </w:rPr>
              <w:t>-</w:t>
            </w:r>
            <w:r>
              <w:rPr>
                <w:color w:val="auto"/>
              </w:rPr>
              <w:t>2</w:t>
            </w:r>
            <w:r>
              <w:rPr>
                <w:rFonts w:hint="eastAsia"/>
                <w:color w:val="auto"/>
              </w:rPr>
              <w:t>020）、《排污许可证申请与核发技术规范</w:t>
            </w:r>
            <w:r>
              <w:rPr>
                <w:rFonts w:hint="eastAsia"/>
                <w:color w:val="auto"/>
                <w:lang w:eastAsia="zh-CN"/>
              </w:rPr>
              <w:t>－</w:t>
            </w:r>
            <w:r>
              <w:rPr>
                <w:rFonts w:hint="eastAsia"/>
                <w:color w:val="auto"/>
              </w:rPr>
              <w:t>锅炉》（H</w:t>
            </w:r>
            <w:r>
              <w:rPr>
                <w:color w:val="auto"/>
              </w:rPr>
              <w:t>J953</w:t>
            </w:r>
            <w:r>
              <w:rPr>
                <w:rFonts w:hint="eastAsia"/>
                <w:color w:val="auto"/>
              </w:rPr>
              <w:t>-</w:t>
            </w:r>
            <w:r>
              <w:rPr>
                <w:color w:val="auto"/>
              </w:rPr>
              <w:t>2</w:t>
            </w:r>
            <w:r>
              <w:rPr>
                <w:rFonts w:hint="eastAsia"/>
                <w:color w:val="auto"/>
              </w:rPr>
              <w:t>0</w:t>
            </w:r>
            <w:r>
              <w:rPr>
                <w:color w:val="auto"/>
              </w:rPr>
              <w:t>18</w:t>
            </w:r>
            <w:r>
              <w:rPr>
                <w:rFonts w:hint="eastAsia"/>
                <w:color w:val="auto"/>
              </w:rPr>
              <w:t>），本项目生产过程中排放的主要的污染物</w:t>
            </w:r>
            <w:r>
              <w:rPr>
                <w:rFonts w:hint="eastAsia"/>
                <w:color w:val="auto"/>
                <w:lang w:eastAsia="zh-CN"/>
              </w:rPr>
              <w:t>：</w:t>
            </w:r>
            <w:r>
              <w:rPr>
                <w:rFonts w:hint="eastAsia"/>
                <w:color w:val="auto"/>
              </w:rPr>
              <w:t>颗粒物、二氧化硫、氮氧化物、臭气浓度、氨、硫化氢。项目固液分离采用中温加热，加热温度6</w:t>
            </w:r>
            <w:r>
              <w:rPr>
                <w:color w:val="auto"/>
              </w:rPr>
              <w:t>0-70</w:t>
            </w:r>
            <w:r>
              <w:rPr>
                <w:rFonts w:hint="eastAsia"/>
                <w:color w:val="auto"/>
              </w:rPr>
              <w:t>℃，该温度下油脂基本不会挥发，无非甲烷总烃产生。</w:t>
            </w:r>
          </w:p>
          <w:p>
            <w:pPr>
              <w:pStyle w:val="75"/>
              <w:rPr>
                <w:color w:val="auto"/>
              </w:rPr>
            </w:pPr>
            <w:r>
              <w:rPr>
                <w:color w:val="auto"/>
              </w:rPr>
              <w:t>4.2.1.</w:t>
            </w:r>
            <w:r>
              <w:rPr>
                <w:rFonts w:hint="eastAsia"/>
                <w:color w:val="auto"/>
              </w:rPr>
              <w:t>1</w:t>
            </w:r>
            <w:r>
              <w:rPr>
                <w:color w:val="auto"/>
                <w:shd w:val="clear" w:fill="FFFFFF"/>
              </w:rPr>
              <w:t>产</w:t>
            </w:r>
            <w:r>
              <w:rPr>
                <w:color w:val="auto"/>
              </w:rPr>
              <w:t>排污环节、污染物及污染治理设施</w:t>
            </w:r>
          </w:p>
          <w:p>
            <w:pPr>
              <w:ind w:firstLine="480"/>
              <w:rPr>
                <w:color w:val="auto"/>
              </w:rPr>
            </w:pPr>
            <w:r>
              <w:rPr>
                <w:rFonts w:hint="eastAsia"/>
                <w:color w:val="auto"/>
              </w:rPr>
              <w:t>根据《排污许可证申请与核发技术规范-环境卫生管理业》（H</w:t>
            </w:r>
            <w:r>
              <w:rPr>
                <w:color w:val="auto"/>
              </w:rPr>
              <w:t>J</w:t>
            </w:r>
            <w:r>
              <w:rPr>
                <w:rFonts w:hint="eastAsia"/>
                <w:color w:val="auto"/>
              </w:rPr>
              <w:t>11</w:t>
            </w:r>
            <w:r>
              <w:rPr>
                <w:color w:val="auto"/>
              </w:rPr>
              <w:t>06</w:t>
            </w:r>
            <w:r>
              <w:rPr>
                <w:rFonts w:hint="eastAsia"/>
                <w:color w:val="auto"/>
              </w:rPr>
              <w:t>-</w:t>
            </w:r>
            <w:r>
              <w:rPr>
                <w:color w:val="auto"/>
              </w:rPr>
              <w:t>2</w:t>
            </w:r>
            <w:r>
              <w:rPr>
                <w:rFonts w:hint="eastAsia"/>
                <w:color w:val="auto"/>
              </w:rPr>
              <w:t>020）、《排污许可证申请与核发技术规范</w:t>
            </w:r>
            <w:r>
              <w:rPr>
                <w:rFonts w:hint="eastAsia"/>
                <w:color w:val="auto"/>
                <w:lang w:eastAsia="zh-CN"/>
              </w:rPr>
              <w:t>－</w:t>
            </w:r>
            <w:r>
              <w:rPr>
                <w:rFonts w:hint="eastAsia"/>
                <w:color w:val="auto"/>
              </w:rPr>
              <w:t>锅炉》（H</w:t>
            </w:r>
            <w:r>
              <w:rPr>
                <w:color w:val="auto"/>
              </w:rPr>
              <w:t>J953</w:t>
            </w:r>
            <w:r>
              <w:rPr>
                <w:rFonts w:hint="eastAsia"/>
                <w:color w:val="auto"/>
              </w:rPr>
              <w:t>-</w:t>
            </w:r>
            <w:r>
              <w:rPr>
                <w:color w:val="auto"/>
              </w:rPr>
              <w:t>2</w:t>
            </w:r>
            <w:r>
              <w:rPr>
                <w:rFonts w:hint="eastAsia"/>
                <w:color w:val="auto"/>
              </w:rPr>
              <w:t>0</w:t>
            </w:r>
            <w:r>
              <w:rPr>
                <w:color w:val="auto"/>
              </w:rPr>
              <w:t>18</w:t>
            </w:r>
            <w:r>
              <w:rPr>
                <w:rFonts w:hint="eastAsia"/>
                <w:color w:val="auto"/>
              </w:rPr>
              <w:t>），本项目生产单元、生产设施、产污环节、主要污染物项目、排放形式、污染治理设施名称及工艺、排放口类型见表4</w:t>
            </w:r>
            <w:r>
              <w:rPr>
                <w:color w:val="auto"/>
              </w:rPr>
              <w:t>.2</w:t>
            </w:r>
            <w:r>
              <w:rPr>
                <w:rFonts w:hint="eastAsia"/>
                <w:color w:val="auto"/>
              </w:rPr>
              <w:t>-1所示。</w:t>
            </w:r>
          </w:p>
          <w:p>
            <w:pPr>
              <w:pStyle w:val="71"/>
              <w:keepNext w:val="0"/>
              <w:keepLines w:val="0"/>
              <w:pageBreakBefore w:val="0"/>
              <w:widowControl w:val="0"/>
              <w:kinsoku/>
              <w:wordWrap w:val="0"/>
              <w:overflowPunct/>
              <w:topLinePunct w:val="0"/>
              <w:autoSpaceDE/>
              <w:autoSpaceDN w:val="0"/>
              <w:bidi w:val="0"/>
              <w:adjustRightInd/>
              <w:snapToGrid/>
              <w:textAlignment w:val="auto"/>
              <w:rPr>
                <w:color w:val="auto"/>
              </w:rPr>
            </w:pPr>
            <w:r>
              <w:rPr>
                <w:rFonts w:hint="eastAsia"/>
                <w:color w:val="auto"/>
              </w:rPr>
              <w:t>表4</w:t>
            </w:r>
            <w:r>
              <w:rPr>
                <w:color w:val="auto"/>
              </w:rPr>
              <w:t>.2</w:t>
            </w:r>
            <w:r>
              <w:rPr>
                <w:rFonts w:hint="eastAsia"/>
                <w:color w:val="auto"/>
              </w:rPr>
              <w:t xml:space="preserve">-1 </w:t>
            </w:r>
            <w:r>
              <w:rPr>
                <w:rFonts w:hint="eastAsia"/>
                <w:color w:val="auto"/>
                <w:lang w:val="en-US" w:eastAsia="zh-CN"/>
              </w:rPr>
              <w:t xml:space="preserve"> </w:t>
            </w:r>
            <w:r>
              <w:rPr>
                <w:rFonts w:hint="eastAsia"/>
                <w:color w:val="auto"/>
              </w:rPr>
              <w:t>废气产污环节名称、污染物项目、排放形式及污染治理设施一览表</w:t>
            </w:r>
          </w:p>
          <w:tbl>
            <w:tblPr>
              <w:tblStyle w:val="30"/>
              <w:tblpPr w:leftFromText="180" w:rightFromText="180" w:vertAnchor="text" w:horzAnchor="page" w:tblpXSpec="center" w:tblpY="17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786"/>
              <w:gridCol w:w="786"/>
              <w:gridCol w:w="1280"/>
              <w:gridCol w:w="817"/>
              <w:gridCol w:w="1524"/>
              <w:gridCol w:w="95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pct"/>
                  <w:vMerge w:val="restart"/>
                  <w:tcBorders>
                    <w:tl2br w:val="nil"/>
                    <w:tr2bl w:val="nil"/>
                  </w:tcBorders>
                  <w:vAlign w:val="center"/>
                </w:tcPr>
                <w:p>
                  <w:pPr>
                    <w:pStyle w:val="68"/>
                    <w:rPr>
                      <w:b/>
                      <w:bCs/>
                      <w:color w:val="auto"/>
                    </w:rPr>
                  </w:pPr>
                  <w:r>
                    <w:rPr>
                      <w:b/>
                      <w:bCs/>
                      <w:color w:val="auto"/>
                    </w:rPr>
                    <w:t>生产单元</w:t>
                  </w:r>
                </w:p>
              </w:tc>
              <w:tc>
                <w:tcPr>
                  <w:tcW w:w="506" w:type="pct"/>
                  <w:vMerge w:val="restart"/>
                  <w:tcBorders>
                    <w:tl2br w:val="nil"/>
                    <w:tr2bl w:val="nil"/>
                  </w:tcBorders>
                  <w:tcMar>
                    <w:left w:w="0" w:type="dxa"/>
                    <w:right w:w="0" w:type="dxa"/>
                  </w:tcMar>
                  <w:vAlign w:val="center"/>
                </w:tcPr>
                <w:p>
                  <w:pPr>
                    <w:pStyle w:val="68"/>
                    <w:rPr>
                      <w:b/>
                      <w:bCs/>
                      <w:color w:val="auto"/>
                    </w:rPr>
                  </w:pPr>
                  <w:r>
                    <w:rPr>
                      <w:b/>
                      <w:bCs/>
                      <w:color w:val="auto"/>
                    </w:rPr>
                    <w:t>生产设施</w:t>
                  </w:r>
                </w:p>
              </w:tc>
              <w:tc>
                <w:tcPr>
                  <w:tcW w:w="506" w:type="pct"/>
                  <w:vMerge w:val="restart"/>
                  <w:tcBorders>
                    <w:tl2br w:val="nil"/>
                    <w:tr2bl w:val="nil"/>
                  </w:tcBorders>
                  <w:tcMar>
                    <w:left w:w="0" w:type="dxa"/>
                    <w:right w:w="0" w:type="dxa"/>
                  </w:tcMar>
                  <w:vAlign w:val="center"/>
                </w:tcPr>
                <w:p>
                  <w:pPr>
                    <w:pStyle w:val="68"/>
                    <w:rPr>
                      <w:b/>
                      <w:bCs/>
                      <w:color w:val="auto"/>
                    </w:rPr>
                  </w:pPr>
                  <w:r>
                    <w:rPr>
                      <w:b/>
                      <w:bCs/>
                      <w:color w:val="auto"/>
                    </w:rPr>
                    <w:t>产污环节</w:t>
                  </w:r>
                  <w:r>
                    <w:rPr>
                      <w:rFonts w:hint="eastAsia"/>
                      <w:b/>
                      <w:bCs/>
                      <w:color w:val="auto"/>
                      <w:lang w:eastAsia="zh-CN"/>
                    </w:rPr>
                    <w:t>名称</w:t>
                  </w:r>
                </w:p>
              </w:tc>
              <w:tc>
                <w:tcPr>
                  <w:tcW w:w="824" w:type="pct"/>
                  <w:vMerge w:val="restart"/>
                  <w:tcBorders>
                    <w:tl2br w:val="nil"/>
                    <w:tr2bl w:val="nil"/>
                  </w:tcBorders>
                  <w:tcMar>
                    <w:left w:w="0" w:type="dxa"/>
                    <w:right w:w="0" w:type="dxa"/>
                  </w:tcMar>
                  <w:vAlign w:val="center"/>
                </w:tcPr>
                <w:p>
                  <w:pPr>
                    <w:pStyle w:val="68"/>
                    <w:rPr>
                      <w:b/>
                      <w:bCs/>
                      <w:color w:val="auto"/>
                    </w:rPr>
                  </w:pPr>
                  <w:r>
                    <w:rPr>
                      <w:b/>
                      <w:bCs/>
                      <w:color w:val="auto"/>
                    </w:rPr>
                    <w:t>主要污染物</w:t>
                  </w:r>
                </w:p>
                <w:p>
                  <w:pPr>
                    <w:pStyle w:val="68"/>
                    <w:rPr>
                      <w:b/>
                      <w:bCs/>
                      <w:color w:val="auto"/>
                    </w:rPr>
                  </w:pPr>
                  <w:r>
                    <w:rPr>
                      <w:b/>
                      <w:bCs/>
                      <w:color w:val="auto"/>
                    </w:rPr>
                    <w:t>项目</w:t>
                  </w:r>
                </w:p>
              </w:tc>
              <w:tc>
                <w:tcPr>
                  <w:tcW w:w="526" w:type="pct"/>
                  <w:vMerge w:val="restart"/>
                  <w:tcBorders>
                    <w:tl2br w:val="nil"/>
                    <w:tr2bl w:val="nil"/>
                  </w:tcBorders>
                  <w:tcMar>
                    <w:left w:w="0" w:type="dxa"/>
                    <w:right w:w="0" w:type="dxa"/>
                  </w:tcMar>
                  <w:vAlign w:val="center"/>
                </w:tcPr>
                <w:p>
                  <w:pPr>
                    <w:pStyle w:val="68"/>
                    <w:rPr>
                      <w:b/>
                      <w:bCs/>
                      <w:color w:val="auto"/>
                    </w:rPr>
                  </w:pPr>
                  <w:r>
                    <w:rPr>
                      <w:b/>
                      <w:bCs/>
                      <w:color w:val="auto"/>
                    </w:rPr>
                    <w:t>排放形式</w:t>
                  </w:r>
                </w:p>
              </w:tc>
              <w:tc>
                <w:tcPr>
                  <w:tcW w:w="1592" w:type="pct"/>
                  <w:gridSpan w:val="2"/>
                  <w:tcBorders>
                    <w:tl2br w:val="nil"/>
                    <w:tr2bl w:val="nil"/>
                  </w:tcBorders>
                  <w:tcMar>
                    <w:left w:w="0" w:type="dxa"/>
                    <w:right w:w="0" w:type="dxa"/>
                  </w:tcMar>
                  <w:vAlign w:val="center"/>
                </w:tcPr>
                <w:p>
                  <w:pPr>
                    <w:pStyle w:val="68"/>
                    <w:rPr>
                      <w:b/>
                      <w:bCs/>
                      <w:color w:val="auto"/>
                    </w:rPr>
                  </w:pPr>
                  <w:r>
                    <w:rPr>
                      <w:b/>
                      <w:bCs/>
                      <w:color w:val="auto"/>
                    </w:rPr>
                    <w:t>主要污染治理设施</w:t>
                  </w:r>
                </w:p>
              </w:tc>
              <w:tc>
                <w:tcPr>
                  <w:tcW w:w="486" w:type="pct"/>
                  <w:vMerge w:val="restart"/>
                  <w:tcBorders>
                    <w:tl2br w:val="nil"/>
                    <w:tr2bl w:val="nil"/>
                  </w:tcBorders>
                  <w:tcMar>
                    <w:left w:w="0" w:type="dxa"/>
                    <w:right w:w="0" w:type="dxa"/>
                  </w:tcMar>
                  <w:vAlign w:val="center"/>
                </w:tcPr>
                <w:p>
                  <w:pPr>
                    <w:pStyle w:val="68"/>
                    <w:rPr>
                      <w:b/>
                      <w:bCs/>
                      <w:color w:val="auto"/>
                    </w:rPr>
                  </w:pPr>
                  <w:r>
                    <w:rPr>
                      <w:b/>
                      <w:bCs/>
                      <w:color w:val="auto"/>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58" w:type="pct"/>
                  <w:vMerge w:val="continue"/>
                  <w:tcBorders>
                    <w:tl2br w:val="nil"/>
                    <w:tr2bl w:val="nil"/>
                  </w:tcBorders>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824" w:type="pct"/>
                  <w:vMerge w:val="continue"/>
                  <w:tcBorders>
                    <w:tl2br w:val="nil"/>
                    <w:tr2bl w:val="nil"/>
                  </w:tcBorders>
                  <w:tcMar>
                    <w:left w:w="0" w:type="dxa"/>
                    <w:right w:w="0" w:type="dxa"/>
                  </w:tcMar>
                  <w:vAlign w:val="center"/>
                </w:tcPr>
                <w:p>
                  <w:pPr>
                    <w:pStyle w:val="68"/>
                    <w:rPr>
                      <w:color w:val="auto"/>
                    </w:rPr>
                  </w:pPr>
                </w:p>
              </w:tc>
              <w:tc>
                <w:tcPr>
                  <w:tcW w:w="526" w:type="pct"/>
                  <w:vMerge w:val="continue"/>
                  <w:tcBorders>
                    <w:tl2br w:val="nil"/>
                    <w:tr2bl w:val="nil"/>
                  </w:tcBorders>
                  <w:tcMar>
                    <w:left w:w="0" w:type="dxa"/>
                    <w:right w:w="0" w:type="dxa"/>
                  </w:tcMar>
                  <w:vAlign w:val="center"/>
                </w:tcPr>
                <w:p>
                  <w:pPr>
                    <w:pStyle w:val="68"/>
                    <w:rPr>
                      <w:color w:val="auto"/>
                    </w:rPr>
                  </w:pPr>
                </w:p>
              </w:tc>
              <w:tc>
                <w:tcPr>
                  <w:tcW w:w="981" w:type="pct"/>
                  <w:tcBorders>
                    <w:tl2br w:val="nil"/>
                    <w:tr2bl w:val="nil"/>
                  </w:tcBorders>
                  <w:tcMar>
                    <w:left w:w="0" w:type="dxa"/>
                    <w:right w:w="0" w:type="dxa"/>
                  </w:tcMar>
                  <w:vAlign w:val="center"/>
                </w:tcPr>
                <w:p>
                  <w:pPr>
                    <w:pStyle w:val="68"/>
                    <w:rPr>
                      <w:b/>
                      <w:bCs/>
                      <w:color w:val="auto"/>
                    </w:rPr>
                  </w:pPr>
                  <w:r>
                    <w:rPr>
                      <w:b/>
                      <w:bCs/>
                      <w:color w:val="auto"/>
                    </w:rPr>
                    <w:t>污染治理设施名称及工艺</w:t>
                  </w:r>
                </w:p>
              </w:tc>
              <w:tc>
                <w:tcPr>
                  <w:tcW w:w="610" w:type="pct"/>
                  <w:tcBorders>
                    <w:tl2br w:val="nil"/>
                    <w:tr2bl w:val="nil"/>
                  </w:tcBorders>
                  <w:tcMar>
                    <w:left w:w="0" w:type="dxa"/>
                    <w:right w:w="0" w:type="dxa"/>
                  </w:tcMar>
                  <w:vAlign w:val="center"/>
                </w:tcPr>
                <w:p>
                  <w:pPr>
                    <w:pStyle w:val="68"/>
                    <w:rPr>
                      <w:b/>
                      <w:bCs/>
                      <w:color w:val="auto"/>
                    </w:rPr>
                  </w:pPr>
                  <w:r>
                    <w:rPr>
                      <w:b/>
                      <w:bCs/>
                      <w:color w:val="auto"/>
                    </w:rPr>
                    <w:t>是否为可行技术</w:t>
                  </w:r>
                </w:p>
              </w:tc>
              <w:tc>
                <w:tcPr>
                  <w:tcW w:w="486" w:type="pct"/>
                  <w:vMerge w:val="continue"/>
                  <w:tcBorders>
                    <w:tl2br w:val="nil"/>
                    <w:tr2bl w:val="nil"/>
                  </w:tcBorders>
                  <w:tcMar>
                    <w:left w:w="0" w:type="dxa"/>
                    <w:right w:w="0" w:type="dxa"/>
                  </w:tcMar>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vMerge w:val="restart"/>
                  <w:tcBorders>
                    <w:tl2br w:val="nil"/>
                    <w:tr2bl w:val="nil"/>
                  </w:tcBorders>
                  <w:vAlign w:val="center"/>
                </w:tcPr>
                <w:p>
                  <w:pPr>
                    <w:pStyle w:val="68"/>
                    <w:rPr>
                      <w:color w:val="auto"/>
                    </w:rPr>
                  </w:pPr>
                  <w:r>
                    <w:rPr>
                      <w:rFonts w:hint="eastAsia"/>
                      <w:color w:val="auto"/>
                      <w:lang w:eastAsia="zh-CN"/>
                    </w:rPr>
                    <w:t>预处理单元</w:t>
                  </w:r>
                </w:p>
              </w:tc>
              <w:tc>
                <w:tcPr>
                  <w:tcW w:w="506" w:type="pct"/>
                  <w:vMerge w:val="restart"/>
                  <w:tcBorders>
                    <w:tl2br w:val="nil"/>
                    <w:tr2bl w:val="nil"/>
                  </w:tcBorders>
                  <w:tcMar>
                    <w:left w:w="0" w:type="dxa"/>
                    <w:right w:w="0" w:type="dxa"/>
                  </w:tcMar>
                  <w:vAlign w:val="center"/>
                </w:tcPr>
                <w:p>
                  <w:pPr>
                    <w:pStyle w:val="68"/>
                    <w:rPr>
                      <w:color w:val="auto"/>
                      <w:lang w:eastAsia="zh-CN"/>
                    </w:rPr>
                  </w:pPr>
                  <w:r>
                    <w:rPr>
                      <w:rFonts w:hint="eastAsia"/>
                      <w:color w:val="auto"/>
                      <w:lang w:eastAsia="zh-CN"/>
                    </w:rPr>
                    <w:t>压榨机</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固液分离</w:t>
                  </w:r>
                </w:p>
              </w:tc>
              <w:tc>
                <w:tcPr>
                  <w:tcW w:w="824"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硫化氢、氨等恶臭气体</w:t>
                  </w:r>
                </w:p>
              </w:tc>
              <w:tc>
                <w:tcPr>
                  <w:tcW w:w="526" w:type="pct"/>
                  <w:tcBorders>
                    <w:tl2br w:val="nil"/>
                    <w:tr2bl w:val="nil"/>
                  </w:tcBorders>
                  <w:tcMar>
                    <w:left w:w="0" w:type="dxa"/>
                    <w:right w:w="0" w:type="dxa"/>
                  </w:tcMar>
                  <w:vAlign w:val="center"/>
                </w:tcPr>
                <w:p>
                  <w:pPr>
                    <w:pStyle w:val="68"/>
                    <w:rPr>
                      <w:color w:val="auto"/>
                    </w:rPr>
                  </w:pPr>
                  <w:r>
                    <w:rPr>
                      <w:rFonts w:hint="eastAsia"/>
                      <w:color w:val="auto"/>
                      <w:lang w:eastAsia="zh-CN"/>
                    </w:rPr>
                    <w:t>有</w:t>
                  </w:r>
                  <w:r>
                    <w:rPr>
                      <w:rFonts w:hint="eastAsia"/>
                      <w:color w:val="auto"/>
                    </w:rPr>
                    <w:t>组织</w:t>
                  </w:r>
                </w:p>
              </w:tc>
              <w:tc>
                <w:tcPr>
                  <w:tcW w:w="981" w:type="pct"/>
                  <w:tcBorders>
                    <w:tl2br w:val="nil"/>
                    <w:tr2bl w:val="nil"/>
                  </w:tcBorders>
                  <w:tcMar>
                    <w:left w:w="0" w:type="dxa"/>
                    <w:right w:w="0" w:type="dxa"/>
                  </w:tcMar>
                  <w:vAlign w:val="center"/>
                </w:tcPr>
                <w:p>
                  <w:pPr>
                    <w:pStyle w:val="68"/>
                    <w:rPr>
                      <w:color w:val="auto"/>
                    </w:rPr>
                  </w:pPr>
                  <w:r>
                    <w:rPr>
                      <w:rFonts w:hint="eastAsia"/>
                      <w:color w:val="auto"/>
                      <w:lang w:eastAsia="zh-CN"/>
                    </w:rPr>
                    <w:t>生物洗涤</w:t>
                  </w:r>
                </w:p>
              </w:tc>
              <w:tc>
                <w:tcPr>
                  <w:tcW w:w="610" w:type="pct"/>
                  <w:tcBorders>
                    <w:tl2br w:val="nil"/>
                    <w:tr2bl w:val="nil"/>
                  </w:tcBorders>
                  <w:tcMar>
                    <w:left w:w="0" w:type="dxa"/>
                    <w:right w:w="0" w:type="dxa"/>
                  </w:tcMar>
                  <w:vAlign w:val="center"/>
                </w:tcPr>
                <w:p>
                  <w:pPr>
                    <w:pStyle w:val="68"/>
                    <w:rPr>
                      <w:color w:val="auto"/>
                    </w:rPr>
                  </w:pPr>
                  <w:r>
                    <w:rPr>
                      <w:rFonts w:hint="eastAsia"/>
                      <w:color w:val="auto"/>
                      <w:lang w:eastAsia="zh-CN"/>
                    </w:rPr>
                    <w:t>是</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vMerge w:val="continue"/>
                  <w:tcBorders>
                    <w:tl2br w:val="nil"/>
                    <w:tr2bl w:val="nil"/>
                  </w:tcBorders>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824" w:type="pct"/>
                  <w:vMerge w:val="continue"/>
                  <w:tcBorders>
                    <w:tl2br w:val="nil"/>
                    <w:tr2bl w:val="nil"/>
                  </w:tcBorders>
                  <w:tcMar>
                    <w:left w:w="0" w:type="dxa"/>
                    <w:right w:w="0" w:type="dxa"/>
                  </w:tcMar>
                  <w:vAlign w:val="center"/>
                </w:tcPr>
                <w:p>
                  <w:pPr>
                    <w:pStyle w:val="68"/>
                    <w:rPr>
                      <w:color w:val="auto"/>
                      <w:lang w:eastAsia="zh-CN"/>
                    </w:rPr>
                  </w:pPr>
                </w:p>
              </w:tc>
              <w:tc>
                <w:tcPr>
                  <w:tcW w:w="526"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无组织</w:t>
                  </w: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pct"/>
                  <w:vMerge w:val="restart"/>
                  <w:tcBorders>
                    <w:tl2br w:val="nil"/>
                    <w:tr2bl w:val="nil"/>
                  </w:tcBorders>
                  <w:vAlign w:val="center"/>
                </w:tcPr>
                <w:p>
                  <w:pPr>
                    <w:pStyle w:val="68"/>
                    <w:rPr>
                      <w:color w:val="auto"/>
                    </w:rPr>
                  </w:pPr>
                  <w:r>
                    <w:rPr>
                      <w:rFonts w:hint="eastAsia"/>
                      <w:color w:val="auto"/>
                      <w:lang w:eastAsia="zh-CN"/>
                    </w:rPr>
                    <w:t>餐厨废弃物油脂处理单元</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油水分离器、蒸馏塔</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油水分离、蒸馏</w:t>
                  </w:r>
                </w:p>
              </w:tc>
              <w:tc>
                <w:tcPr>
                  <w:tcW w:w="824"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硫化氢、氨等恶臭气体</w:t>
                  </w:r>
                </w:p>
              </w:tc>
              <w:tc>
                <w:tcPr>
                  <w:tcW w:w="526" w:type="pct"/>
                  <w:tcBorders>
                    <w:tl2br w:val="nil"/>
                    <w:tr2bl w:val="nil"/>
                  </w:tcBorders>
                  <w:tcMar>
                    <w:left w:w="0" w:type="dxa"/>
                    <w:right w:w="0" w:type="dxa"/>
                  </w:tcMar>
                  <w:vAlign w:val="center"/>
                </w:tcPr>
                <w:p>
                  <w:pPr>
                    <w:pStyle w:val="68"/>
                    <w:rPr>
                      <w:color w:val="auto"/>
                    </w:rPr>
                  </w:pPr>
                  <w:r>
                    <w:rPr>
                      <w:rFonts w:hint="eastAsia"/>
                      <w:color w:val="auto"/>
                    </w:rPr>
                    <w:t>有组织</w:t>
                  </w: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生物洗涤</w:t>
                  </w:r>
                </w:p>
              </w:tc>
              <w:tc>
                <w:tcPr>
                  <w:tcW w:w="610" w:type="pct"/>
                  <w:tcBorders>
                    <w:tl2br w:val="nil"/>
                    <w:tr2bl w:val="nil"/>
                  </w:tcBorders>
                  <w:tcMar>
                    <w:left w:w="0" w:type="dxa"/>
                    <w:right w:w="0" w:type="dxa"/>
                  </w:tcMar>
                  <w:vAlign w:val="center"/>
                </w:tcPr>
                <w:p>
                  <w:pPr>
                    <w:pStyle w:val="68"/>
                    <w:rPr>
                      <w:color w:val="auto"/>
                    </w:rPr>
                  </w:pPr>
                  <w:r>
                    <w:rPr>
                      <w:rFonts w:hint="eastAsia"/>
                      <w:color w:val="auto"/>
                    </w:rPr>
                    <w:t>是</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pct"/>
                  <w:vMerge w:val="continue"/>
                  <w:tcBorders>
                    <w:tl2br w:val="nil"/>
                    <w:tr2bl w:val="nil"/>
                  </w:tcBorders>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824" w:type="pct"/>
                  <w:vMerge w:val="continue"/>
                  <w:tcBorders>
                    <w:tl2br w:val="nil"/>
                    <w:tr2bl w:val="nil"/>
                  </w:tcBorders>
                  <w:tcMar>
                    <w:left w:w="0" w:type="dxa"/>
                    <w:right w:w="0" w:type="dxa"/>
                  </w:tcMar>
                  <w:vAlign w:val="center"/>
                </w:tcPr>
                <w:p>
                  <w:pPr>
                    <w:pStyle w:val="68"/>
                    <w:rPr>
                      <w:color w:val="auto"/>
                    </w:rPr>
                  </w:pPr>
                </w:p>
              </w:tc>
              <w:tc>
                <w:tcPr>
                  <w:tcW w:w="526" w:type="pct"/>
                  <w:tcBorders>
                    <w:tl2br w:val="nil"/>
                    <w:tr2bl w:val="nil"/>
                  </w:tcBorders>
                  <w:tcMar>
                    <w:left w:w="0" w:type="dxa"/>
                    <w:right w:w="0" w:type="dxa"/>
                  </w:tcMar>
                  <w:vAlign w:val="center"/>
                </w:tcPr>
                <w:p>
                  <w:pPr>
                    <w:pStyle w:val="68"/>
                    <w:rPr>
                      <w:color w:val="auto"/>
                    </w:rPr>
                  </w:pPr>
                  <w:r>
                    <w:rPr>
                      <w:rFonts w:hint="eastAsia"/>
                      <w:color w:val="auto"/>
                      <w:lang w:eastAsia="zh-CN"/>
                    </w:rPr>
                    <w:t>无组织</w:t>
                  </w:r>
                </w:p>
              </w:tc>
              <w:tc>
                <w:tcPr>
                  <w:tcW w:w="981" w:type="pct"/>
                  <w:tcBorders>
                    <w:tl2br w:val="nil"/>
                    <w:tr2bl w:val="nil"/>
                  </w:tcBorders>
                  <w:tcMar>
                    <w:left w:w="0" w:type="dxa"/>
                    <w:right w:w="0" w:type="dxa"/>
                  </w:tcMar>
                  <w:vAlign w:val="center"/>
                </w:tcPr>
                <w:p>
                  <w:pPr>
                    <w:pStyle w:val="68"/>
                    <w:rPr>
                      <w:color w:val="auto"/>
                    </w:rPr>
                  </w:pPr>
                  <w:r>
                    <w:rPr>
                      <w:rFonts w:hint="eastAsia"/>
                      <w:color w:val="auto"/>
                      <w:lang w:eastAsia="zh-CN"/>
                    </w:rPr>
                    <w:t>/</w:t>
                  </w:r>
                </w:p>
              </w:tc>
              <w:tc>
                <w:tcPr>
                  <w:tcW w:w="610" w:type="pct"/>
                  <w:tcBorders>
                    <w:tl2br w:val="nil"/>
                    <w:tr2bl w:val="nil"/>
                  </w:tcBorders>
                  <w:tcMar>
                    <w:left w:w="0" w:type="dxa"/>
                    <w:right w:w="0" w:type="dxa"/>
                  </w:tcMar>
                  <w:vAlign w:val="center"/>
                </w:tcPr>
                <w:p>
                  <w:pPr>
                    <w:pStyle w:val="68"/>
                    <w:rPr>
                      <w:color w:val="auto"/>
                    </w:rPr>
                  </w:pPr>
                  <w:r>
                    <w:rPr>
                      <w:rFonts w:hint="eastAsia"/>
                      <w:color w:val="auto"/>
                      <w:lang w:eastAsia="zh-CN"/>
                    </w:rPr>
                    <w:t>/</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pct"/>
                  <w:vMerge w:val="restart"/>
                  <w:tcBorders>
                    <w:tl2br w:val="nil"/>
                    <w:tr2bl w:val="nil"/>
                  </w:tcBorders>
                  <w:vAlign w:val="center"/>
                </w:tcPr>
                <w:p>
                  <w:pPr>
                    <w:pStyle w:val="68"/>
                    <w:rPr>
                      <w:color w:val="auto"/>
                    </w:rPr>
                  </w:pPr>
                  <w:r>
                    <w:rPr>
                      <w:rFonts w:hint="eastAsia"/>
                      <w:color w:val="auto"/>
                      <w:lang w:eastAsia="zh-CN"/>
                    </w:rPr>
                    <w:t>好氧发酵单位</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好氧发酵设备</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好氧发酵</w:t>
                  </w:r>
                </w:p>
              </w:tc>
              <w:tc>
                <w:tcPr>
                  <w:tcW w:w="824"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硫化氢、氨等恶臭气体</w:t>
                  </w:r>
                </w:p>
              </w:tc>
              <w:tc>
                <w:tcPr>
                  <w:tcW w:w="526" w:type="pct"/>
                  <w:tcBorders>
                    <w:tl2br w:val="nil"/>
                    <w:tr2bl w:val="nil"/>
                  </w:tcBorders>
                  <w:tcMar>
                    <w:left w:w="0" w:type="dxa"/>
                    <w:right w:w="0" w:type="dxa"/>
                  </w:tcMar>
                  <w:vAlign w:val="center"/>
                </w:tcPr>
                <w:p>
                  <w:pPr>
                    <w:pStyle w:val="68"/>
                    <w:rPr>
                      <w:color w:val="auto"/>
                      <w:lang w:eastAsia="zh-CN"/>
                    </w:rPr>
                  </w:pPr>
                  <w:r>
                    <w:rPr>
                      <w:rFonts w:hint="eastAsia"/>
                      <w:color w:val="auto"/>
                    </w:rPr>
                    <w:t>有组织</w:t>
                  </w: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生物洗涤</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rPr>
                    <w:t>是</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58" w:type="pct"/>
                  <w:vMerge w:val="continue"/>
                  <w:tcBorders>
                    <w:tl2br w:val="nil"/>
                    <w:tr2bl w:val="nil"/>
                  </w:tcBorders>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506" w:type="pct"/>
                  <w:vMerge w:val="continue"/>
                  <w:tcBorders>
                    <w:tl2br w:val="nil"/>
                    <w:tr2bl w:val="nil"/>
                  </w:tcBorders>
                  <w:tcMar>
                    <w:left w:w="0" w:type="dxa"/>
                    <w:right w:w="0" w:type="dxa"/>
                  </w:tcMar>
                  <w:vAlign w:val="center"/>
                </w:tcPr>
                <w:p>
                  <w:pPr>
                    <w:pStyle w:val="68"/>
                    <w:rPr>
                      <w:color w:val="auto"/>
                    </w:rPr>
                  </w:pPr>
                </w:p>
              </w:tc>
              <w:tc>
                <w:tcPr>
                  <w:tcW w:w="824" w:type="pct"/>
                  <w:vMerge w:val="continue"/>
                  <w:tcBorders>
                    <w:tl2br w:val="nil"/>
                    <w:tr2bl w:val="nil"/>
                  </w:tcBorders>
                  <w:tcMar>
                    <w:left w:w="0" w:type="dxa"/>
                    <w:right w:w="0" w:type="dxa"/>
                  </w:tcMar>
                  <w:vAlign w:val="center"/>
                </w:tcPr>
                <w:p>
                  <w:pPr>
                    <w:pStyle w:val="68"/>
                    <w:rPr>
                      <w:color w:val="auto"/>
                    </w:rPr>
                  </w:pPr>
                </w:p>
              </w:tc>
              <w:tc>
                <w:tcPr>
                  <w:tcW w:w="526"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无组织</w:t>
                  </w: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486"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pct"/>
                  <w:vMerge w:val="restart"/>
                  <w:tcBorders>
                    <w:tl2br w:val="nil"/>
                    <w:tr2bl w:val="nil"/>
                  </w:tcBorders>
                  <w:vAlign w:val="center"/>
                </w:tcPr>
                <w:p>
                  <w:pPr>
                    <w:pStyle w:val="68"/>
                    <w:rPr>
                      <w:color w:val="auto"/>
                    </w:rPr>
                  </w:pPr>
                  <w:r>
                    <w:rPr>
                      <w:rFonts w:hint="eastAsia"/>
                      <w:color w:val="auto"/>
                      <w:lang w:eastAsia="zh-CN"/>
                    </w:rPr>
                    <w:t>热力生产单元</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shd w:val="clear" w:fill="FFFFFF"/>
                      <w:lang w:eastAsia="zh-CN"/>
                    </w:rPr>
                    <w:t>燃</w:t>
                  </w:r>
                  <w:r>
                    <w:rPr>
                      <w:rFonts w:hint="eastAsia"/>
                      <w:color w:val="auto"/>
                      <w:lang w:eastAsia="zh-CN"/>
                    </w:rPr>
                    <w:t>生物质锅炉</w:t>
                  </w:r>
                </w:p>
              </w:tc>
              <w:tc>
                <w:tcPr>
                  <w:tcW w:w="506" w:type="pct"/>
                  <w:vMerge w:val="restart"/>
                  <w:tcBorders>
                    <w:tl2br w:val="nil"/>
                    <w:tr2bl w:val="nil"/>
                  </w:tcBorders>
                  <w:tcMar>
                    <w:left w:w="0" w:type="dxa"/>
                    <w:right w:w="0" w:type="dxa"/>
                  </w:tcMar>
                  <w:vAlign w:val="center"/>
                </w:tcPr>
                <w:p>
                  <w:pPr>
                    <w:pStyle w:val="68"/>
                    <w:rPr>
                      <w:color w:val="auto"/>
                    </w:rPr>
                  </w:pPr>
                  <w:r>
                    <w:rPr>
                      <w:rFonts w:hint="eastAsia"/>
                      <w:color w:val="auto"/>
                      <w:lang w:eastAsia="zh-CN"/>
                    </w:rPr>
                    <w:t>烟气</w:t>
                  </w:r>
                </w:p>
              </w:tc>
              <w:tc>
                <w:tcPr>
                  <w:tcW w:w="824" w:type="pct"/>
                  <w:tcBorders>
                    <w:tl2br w:val="nil"/>
                    <w:tr2bl w:val="nil"/>
                  </w:tcBorders>
                  <w:tcMar>
                    <w:left w:w="0" w:type="dxa"/>
                    <w:right w:w="0" w:type="dxa"/>
                  </w:tcMar>
                  <w:vAlign w:val="center"/>
                </w:tcPr>
                <w:p>
                  <w:pPr>
                    <w:pStyle w:val="68"/>
                    <w:rPr>
                      <w:color w:val="auto"/>
                    </w:rPr>
                  </w:pPr>
                  <w:r>
                    <w:rPr>
                      <w:rFonts w:hint="eastAsia"/>
                      <w:color w:val="auto"/>
                    </w:rPr>
                    <w:t>颗粒物</w:t>
                  </w:r>
                </w:p>
              </w:tc>
              <w:tc>
                <w:tcPr>
                  <w:tcW w:w="526" w:type="pct"/>
                  <w:vMerge w:val="restart"/>
                  <w:tcBorders>
                    <w:tl2br w:val="nil"/>
                    <w:tr2bl w:val="nil"/>
                  </w:tcBorders>
                  <w:tcMar>
                    <w:left w:w="0" w:type="dxa"/>
                    <w:right w:w="0" w:type="dxa"/>
                  </w:tcMar>
                  <w:vAlign w:val="center"/>
                </w:tcPr>
                <w:p>
                  <w:pPr>
                    <w:pStyle w:val="68"/>
                    <w:rPr>
                      <w:color w:val="auto"/>
                      <w:lang w:eastAsia="zh-CN"/>
                    </w:rPr>
                  </w:pPr>
                  <w:r>
                    <w:rPr>
                      <w:rFonts w:hint="eastAsia"/>
                      <w:color w:val="auto"/>
                      <w:lang w:eastAsia="zh-CN"/>
                    </w:rPr>
                    <w:t>有组织</w:t>
                  </w: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val="en-US" w:eastAsia="zh-CN"/>
                    </w:rPr>
                    <w:t>布袋除尘</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是</w:t>
                  </w:r>
                </w:p>
              </w:tc>
              <w:tc>
                <w:tcPr>
                  <w:tcW w:w="486" w:type="pct"/>
                  <w:vMerge w:val="restart"/>
                  <w:tcBorders>
                    <w:tl2br w:val="nil"/>
                    <w:tr2bl w:val="nil"/>
                  </w:tcBorders>
                  <w:tcMar>
                    <w:left w:w="0" w:type="dxa"/>
                    <w:right w:w="0" w:type="dxa"/>
                  </w:tcMar>
                  <w:vAlign w:val="center"/>
                </w:tcPr>
                <w:p>
                  <w:pPr>
                    <w:pStyle w:val="68"/>
                    <w:rPr>
                      <w:color w:val="auto"/>
                      <w:lang w:eastAsia="zh-CN"/>
                    </w:rPr>
                  </w:pPr>
                  <w:r>
                    <w:rPr>
                      <w:rFonts w:hint="eastAsia"/>
                      <w:color w:val="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558" w:type="pct"/>
                  <w:vMerge w:val="continue"/>
                  <w:tcBorders>
                    <w:tl2br w:val="nil"/>
                    <w:tr2bl w:val="nil"/>
                  </w:tcBorders>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824" w:type="pct"/>
                  <w:tcBorders>
                    <w:tl2br w:val="nil"/>
                    <w:tr2bl w:val="nil"/>
                  </w:tcBorders>
                  <w:tcMar>
                    <w:left w:w="0" w:type="dxa"/>
                    <w:right w:w="0" w:type="dxa"/>
                  </w:tcMar>
                  <w:vAlign w:val="center"/>
                </w:tcPr>
                <w:p>
                  <w:pPr>
                    <w:pStyle w:val="68"/>
                    <w:rPr>
                      <w:color w:val="auto"/>
                    </w:rPr>
                  </w:pPr>
                  <w:r>
                    <w:rPr>
                      <w:rFonts w:hint="eastAsia"/>
                      <w:color w:val="auto"/>
                    </w:rPr>
                    <w:t>二氧化硫</w:t>
                  </w:r>
                </w:p>
              </w:tc>
              <w:tc>
                <w:tcPr>
                  <w:tcW w:w="526" w:type="pct"/>
                  <w:vMerge w:val="continue"/>
                  <w:tcBorders>
                    <w:tl2br w:val="nil"/>
                    <w:tr2bl w:val="nil"/>
                  </w:tcBorders>
                  <w:tcMar>
                    <w:left w:w="0" w:type="dxa"/>
                    <w:right w:w="0" w:type="dxa"/>
                  </w:tcMar>
                  <w:vAlign w:val="center"/>
                </w:tcPr>
                <w:p>
                  <w:pPr>
                    <w:pStyle w:val="68"/>
                    <w:rPr>
                      <w:color w:val="auto"/>
                      <w:lang w:eastAsia="zh-CN"/>
                    </w:rPr>
                  </w:pP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486" w:type="pct"/>
                  <w:vMerge w:val="continue"/>
                  <w:tcBorders>
                    <w:tl2br w:val="nil"/>
                    <w:tr2bl w:val="nil"/>
                  </w:tcBorders>
                  <w:tcMar>
                    <w:left w:w="0" w:type="dxa"/>
                    <w:right w:w="0" w:type="dxa"/>
                  </w:tcMar>
                  <w:vAlign w:val="center"/>
                </w:tcPr>
                <w:p>
                  <w:pPr>
                    <w:pStyle w:val="68"/>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vMerge w:val="continue"/>
                  <w:tcBorders>
                    <w:tl2br w:val="nil"/>
                    <w:tr2bl w:val="nil"/>
                  </w:tcBorders>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506" w:type="pct"/>
                  <w:vMerge w:val="continue"/>
                  <w:tcBorders>
                    <w:tl2br w:val="nil"/>
                    <w:tr2bl w:val="nil"/>
                  </w:tcBorders>
                  <w:tcMar>
                    <w:left w:w="0" w:type="dxa"/>
                    <w:right w:w="0" w:type="dxa"/>
                  </w:tcMar>
                  <w:vAlign w:val="center"/>
                </w:tcPr>
                <w:p>
                  <w:pPr>
                    <w:pStyle w:val="68"/>
                    <w:rPr>
                      <w:color w:val="auto"/>
                      <w:lang w:eastAsia="zh-CN"/>
                    </w:rPr>
                  </w:pPr>
                </w:p>
              </w:tc>
              <w:tc>
                <w:tcPr>
                  <w:tcW w:w="824" w:type="pct"/>
                  <w:tcBorders>
                    <w:tl2br w:val="nil"/>
                    <w:tr2bl w:val="nil"/>
                  </w:tcBorders>
                  <w:tcMar>
                    <w:left w:w="0" w:type="dxa"/>
                    <w:right w:w="0" w:type="dxa"/>
                  </w:tcMar>
                  <w:vAlign w:val="center"/>
                </w:tcPr>
                <w:p>
                  <w:pPr>
                    <w:pStyle w:val="68"/>
                    <w:rPr>
                      <w:color w:val="auto"/>
                    </w:rPr>
                  </w:pPr>
                  <w:r>
                    <w:rPr>
                      <w:rFonts w:hint="eastAsia"/>
                      <w:color w:val="auto"/>
                    </w:rPr>
                    <w:t>氮氧化物</w:t>
                  </w:r>
                </w:p>
              </w:tc>
              <w:tc>
                <w:tcPr>
                  <w:tcW w:w="526" w:type="pct"/>
                  <w:vMerge w:val="continue"/>
                  <w:tcBorders>
                    <w:tl2br w:val="nil"/>
                    <w:tr2bl w:val="nil"/>
                  </w:tcBorders>
                  <w:tcMar>
                    <w:left w:w="0" w:type="dxa"/>
                    <w:right w:w="0" w:type="dxa"/>
                  </w:tcMar>
                  <w:vAlign w:val="center"/>
                </w:tcPr>
                <w:p>
                  <w:pPr>
                    <w:pStyle w:val="68"/>
                    <w:rPr>
                      <w:color w:val="auto"/>
                      <w:lang w:eastAsia="zh-CN"/>
                    </w:rPr>
                  </w:pPr>
                </w:p>
              </w:tc>
              <w:tc>
                <w:tcPr>
                  <w:tcW w:w="981"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低氮燃烧</w:t>
                  </w:r>
                </w:p>
              </w:tc>
              <w:tc>
                <w:tcPr>
                  <w:tcW w:w="610" w:type="pct"/>
                  <w:tcBorders>
                    <w:tl2br w:val="nil"/>
                    <w:tr2bl w:val="nil"/>
                  </w:tcBorders>
                  <w:tcMar>
                    <w:left w:w="0" w:type="dxa"/>
                    <w:right w:w="0" w:type="dxa"/>
                  </w:tcMar>
                  <w:vAlign w:val="center"/>
                </w:tcPr>
                <w:p>
                  <w:pPr>
                    <w:pStyle w:val="68"/>
                    <w:rPr>
                      <w:color w:val="auto"/>
                      <w:lang w:eastAsia="zh-CN"/>
                    </w:rPr>
                  </w:pPr>
                  <w:r>
                    <w:rPr>
                      <w:rFonts w:hint="eastAsia"/>
                      <w:color w:val="auto"/>
                      <w:lang w:eastAsia="zh-CN"/>
                    </w:rPr>
                    <w:t>/</w:t>
                  </w:r>
                </w:p>
              </w:tc>
              <w:tc>
                <w:tcPr>
                  <w:tcW w:w="486" w:type="pct"/>
                  <w:vMerge w:val="continue"/>
                  <w:tcBorders>
                    <w:tl2br w:val="nil"/>
                    <w:tr2bl w:val="nil"/>
                  </w:tcBorders>
                  <w:tcMar>
                    <w:left w:w="0" w:type="dxa"/>
                    <w:right w:w="0" w:type="dxa"/>
                  </w:tcMar>
                  <w:vAlign w:val="center"/>
                </w:tcPr>
                <w:p>
                  <w:pPr>
                    <w:pStyle w:val="68"/>
                    <w:rPr>
                      <w:color w:val="auto"/>
                      <w:lang w:eastAsia="zh-CN"/>
                    </w:rPr>
                  </w:pPr>
                </w:p>
              </w:tc>
            </w:tr>
          </w:tbl>
          <w:p>
            <w:pPr>
              <w:ind w:firstLine="480"/>
              <w:rPr>
                <w:color w:val="auto"/>
              </w:rPr>
            </w:pPr>
            <w:r>
              <w:rPr>
                <w:rFonts w:hint="eastAsia"/>
                <w:color w:val="auto"/>
              </w:rPr>
              <w:t xml:space="preserve"> </w:t>
            </w:r>
            <w:r>
              <w:rPr>
                <w:color w:val="auto"/>
              </w:rPr>
              <w:t xml:space="preserve"> </w:t>
            </w:r>
          </w:p>
        </w:tc>
      </w:tr>
    </w:tbl>
    <w:p>
      <w:pPr>
        <w:tabs>
          <w:tab w:val="left" w:pos="1832"/>
        </w:tabs>
        <w:adjustRightInd w:val="0"/>
        <w:snapToGrid w:val="0"/>
        <w:ind w:firstLineChars="71"/>
        <w:rPr>
          <w:rFonts w:ascii="宋体" w:cs="宋体"/>
          <w:color w:val="auto"/>
          <w:sz w:val="28"/>
          <w:szCs w:val="28"/>
        </w:rPr>
      </w:pPr>
      <w:r>
        <w:rPr>
          <w:rFonts w:ascii="宋体" w:cs="宋体"/>
          <w:b/>
          <w:color w:val="auto"/>
          <w:kern w:val="0"/>
          <w:sz w:val="28"/>
          <w:szCs w:val="28"/>
        </w:rPr>
        <w:br w:type="page"/>
      </w:r>
    </w:p>
    <w:p>
      <w:pPr>
        <w:ind w:firstLine="560"/>
        <w:rPr>
          <w:rFonts w:ascii="宋体" w:cs="宋体"/>
          <w:color w:val="auto"/>
          <w:sz w:val="28"/>
          <w:szCs w:val="28"/>
        </w:rPr>
        <w:sectPr>
          <w:pgSz w:w="11907" w:h="16840"/>
          <w:pgMar w:top="1440" w:right="1800" w:bottom="1440" w:left="1800" w:header="397"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pStyle w:val="59"/>
              <w:rPr>
                <w:rFonts w:ascii="宋体" w:hAnsi="宋体"/>
                <w:bCs/>
                <w:color w:val="auto"/>
              </w:rPr>
            </w:pPr>
            <w:r>
              <w:rPr>
                <w:rFonts w:hint="eastAsia" w:ascii="宋体" w:hAnsi="宋体"/>
                <w:bCs/>
                <w:color w:val="auto"/>
              </w:rPr>
              <w:t>运营期环境影响和保护措施</w:t>
            </w:r>
          </w:p>
        </w:tc>
        <w:tc>
          <w:tcPr>
            <w:tcW w:w="13642" w:type="dxa"/>
          </w:tcPr>
          <w:p>
            <w:pPr>
              <w:pStyle w:val="75"/>
              <w:rPr>
                <w:color w:val="auto"/>
              </w:rPr>
            </w:pPr>
            <w:r>
              <w:rPr>
                <w:rFonts w:hint="eastAsia"/>
                <w:color w:val="auto"/>
              </w:rPr>
              <w:t>4.2.1.</w:t>
            </w:r>
            <w:r>
              <w:rPr>
                <w:color w:val="auto"/>
              </w:rPr>
              <w:t>2</w:t>
            </w:r>
            <w:r>
              <w:rPr>
                <w:rFonts w:hint="eastAsia"/>
                <w:color w:val="auto"/>
              </w:rPr>
              <w:t>污染物产生情况、治理措施及排放情况</w:t>
            </w:r>
          </w:p>
          <w:p>
            <w:pPr>
              <w:ind w:firstLine="480"/>
              <w:rPr>
                <w:color w:val="auto"/>
              </w:rPr>
            </w:pPr>
            <w:r>
              <w:rPr>
                <w:rFonts w:hint="eastAsia"/>
                <w:color w:val="auto"/>
              </w:rPr>
              <w:t>本项目污染物产生情况、治理措施及排放情况见表4</w:t>
            </w:r>
            <w:r>
              <w:rPr>
                <w:color w:val="auto"/>
              </w:rPr>
              <w:t>.2</w:t>
            </w:r>
            <w:r>
              <w:rPr>
                <w:rFonts w:hint="eastAsia"/>
                <w:color w:val="auto"/>
              </w:rPr>
              <w:t>-</w:t>
            </w:r>
            <w:r>
              <w:rPr>
                <w:rFonts w:hint="eastAsia"/>
                <w:color w:val="auto"/>
                <w:lang w:val="en-US" w:eastAsia="zh-CN"/>
              </w:rPr>
              <w:t>2</w:t>
            </w:r>
            <w:r>
              <w:rPr>
                <w:rFonts w:hint="eastAsia"/>
                <w:color w:val="auto"/>
              </w:rPr>
              <w:t>所示。</w:t>
            </w:r>
          </w:p>
          <w:p>
            <w:pPr>
              <w:pStyle w:val="71"/>
              <w:rPr>
                <w:color w:val="auto"/>
              </w:rPr>
            </w:pPr>
            <w:r>
              <w:rPr>
                <w:color w:val="auto"/>
              </w:rPr>
              <w:t>表4</w:t>
            </w:r>
            <w:r>
              <w:rPr>
                <w:rFonts w:hint="eastAsia"/>
                <w:color w:val="auto"/>
              </w:rPr>
              <w:t>.2</w:t>
            </w:r>
            <w:r>
              <w:rPr>
                <w:color w:val="auto"/>
              </w:rPr>
              <w:t>-</w:t>
            </w:r>
            <w:r>
              <w:rPr>
                <w:rFonts w:hint="eastAsia"/>
                <w:color w:val="auto"/>
                <w:lang w:val="en-US" w:eastAsia="zh-CN"/>
              </w:rPr>
              <w:t xml:space="preserve">2 </w:t>
            </w:r>
            <w:r>
              <w:rPr>
                <w:color w:val="auto"/>
              </w:rPr>
              <w:t xml:space="preserve"> </w:t>
            </w:r>
            <w:r>
              <w:rPr>
                <w:rFonts w:hint="eastAsia"/>
                <w:color w:val="auto"/>
              </w:rPr>
              <w:t>本项目主要</w:t>
            </w:r>
            <w:r>
              <w:rPr>
                <w:color w:val="auto"/>
              </w:rPr>
              <w:t>废气污染物产生与排放情况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171"/>
              <w:gridCol w:w="1128"/>
              <w:gridCol w:w="988"/>
              <w:gridCol w:w="993"/>
              <w:gridCol w:w="996"/>
              <w:gridCol w:w="988"/>
              <w:gridCol w:w="1442"/>
              <w:gridCol w:w="832"/>
              <w:gridCol w:w="964"/>
              <w:gridCol w:w="730"/>
              <w:gridCol w:w="706"/>
              <w:gridCol w:w="956"/>
              <w:gridCol w:w="765"/>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restart"/>
                  <w:shd w:val="clear" w:color="auto" w:fill="auto"/>
                  <w:vAlign w:val="center"/>
                </w:tcPr>
                <w:p>
                  <w:pPr>
                    <w:pStyle w:val="68"/>
                    <w:rPr>
                      <w:b/>
                      <w:bCs/>
                      <w:color w:val="auto"/>
                    </w:rPr>
                  </w:pPr>
                  <w:r>
                    <w:rPr>
                      <w:rFonts w:hint="eastAsia"/>
                      <w:b/>
                      <w:bCs/>
                      <w:color w:val="auto"/>
                    </w:rPr>
                    <w:t>污染源</w:t>
                  </w:r>
                </w:p>
              </w:tc>
              <w:tc>
                <w:tcPr>
                  <w:tcW w:w="420" w:type="pct"/>
                  <w:vMerge w:val="restart"/>
                  <w:shd w:val="clear" w:color="auto" w:fill="auto"/>
                  <w:vAlign w:val="center"/>
                </w:tcPr>
                <w:p>
                  <w:pPr>
                    <w:pStyle w:val="68"/>
                    <w:rPr>
                      <w:b/>
                      <w:bCs/>
                      <w:color w:val="auto"/>
                    </w:rPr>
                  </w:pPr>
                  <w:r>
                    <w:rPr>
                      <w:rFonts w:hint="eastAsia"/>
                      <w:b/>
                      <w:bCs/>
                      <w:color w:val="auto"/>
                    </w:rPr>
                    <w:t>污染物种类</w:t>
                  </w:r>
                </w:p>
              </w:tc>
              <w:tc>
                <w:tcPr>
                  <w:tcW w:w="1109" w:type="pct"/>
                  <w:gridSpan w:val="3"/>
                  <w:shd w:val="clear" w:color="auto" w:fill="auto"/>
                  <w:vAlign w:val="center"/>
                </w:tcPr>
                <w:p>
                  <w:pPr>
                    <w:pStyle w:val="68"/>
                    <w:rPr>
                      <w:b/>
                      <w:bCs/>
                      <w:color w:val="auto"/>
                    </w:rPr>
                  </w:pPr>
                  <w:r>
                    <w:rPr>
                      <w:rFonts w:hint="eastAsia"/>
                      <w:b/>
                      <w:bCs/>
                      <w:color w:val="auto"/>
                    </w:rPr>
                    <w:t>污染物产生情况</w:t>
                  </w:r>
                </w:p>
              </w:tc>
              <w:tc>
                <w:tcPr>
                  <w:tcW w:w="368" w:type="pct"/>
                  <w:vMerge w:val="restart"/>
                  <w:shd w:val="clear" w:color="auto" w:fill="auto"/>
                  <w:vAlign w:val="center"/>
                </w:tcPr>
                <w:p>
                  <w:pPr>
                    <w:pStyle w:val="68"/>
                    <w:rPr>
                      <w:b/>
                      <w:bCs/>
                      <w:color w:val="auto"/>
                    </w:rPr>
                  </w:pPr>
                  <w:r>
                    <w:rPr>
                      <w:rFonts w:hint="eastAsia"/>
                      <w:b/>
                      <w:bCs/>
                      <w:color w:val="auto"/>
                    </w:rPr>
                    <w:t>排放形式</w:t>
                  </w:r>
                </w:p>
              </w:tc>
              <w:tc>
                <w:tcPr>
                  <w:tcW w:w="1206" w:type="pct"/>
                  <w:gridSpan w:val="3"/>
                  <w:shd w:val="clear" w:color="auto" w:fill="auto"/>
                  <w:vAlign w:val="center"/>
                </w:tcPr>
                <w:p>
                  <w:pPr>
                    <w:pStyle w:val="68"/>
                    <w:rPr>
                      <w:b/>
                      <w:bCs/>
                      <w:color w:val="auto"/>
                    </w:rPr>
                  </w:pPr>
                  <w:r>
                    <w:rPr>
                      <w:rFonts w:hint="eastAsia"/>
                      <w:b/>
                      <w:bCs/>
                      <w:color w:val="auto"/>
                    </w:rPr>
                    <w:t>治理设施情况</w:t>
                  </w:r>
                </w:p>
              </w:tc>
              <w:tc>
                <w:tcPr>
                  <w:tcW w:w="891" w:type="pct"/>
                  <w:gridSpan w:val="3"/>
                  <w:shd w:val="clear" w:color="auto" w:fill="auto"/>
                  <w:vAlign w:val="center"/>
                </w:tcPr>
                <w:p>
                  <w:pPr>
                    <w:pStyle w:val="68"/>
                    <w:rPr>
                      <w:b/>
                      <w:bCs/>
                      <w:color w:val="auto"/>
                    </w:rPr>
                  </w:pPr>
                  <w:r>
                    <w:rPr>
                      <w:rFonts w:hint="eastAsia"/>
                      <w:b/>
                      <w:bCs/>
                      <w:color w:val="auto"/>
                    </w:rPr>
                    <w:t>污染物排放情况</w:t>
                  </w:r>
                </w:p>
              </w:tc>
              <w:tc>
                <w:tcPr>
                  <w:tcW w:w="285" w:type="pct"/>
                  <w:vMerge w:val="restart"/>
                  <w:shd w:val="clear" w:color="auto" w:fill="auto"/>
                  <w:vAlign w:val="center"/>
                </w:tcPr>
                <w:p>
                  <w:pPr>
                    <w:pStyle w:val="68"/>
                    <w:rPr>
                      <w:b/>
                      <w:bCs/>
                      <w:color w:val="auto"/>
                    </w:rPr>
                  </w:pPr>
                  <w:r>
                    <w:rPr>
                      <w:rFonts w:hint="eastAsia"/>
                      <w:b/>
                      <w:bCs/>
                      <w:color w:val="auto"/>
                    </w:rPr>
                    <w:t>排放口编号</w:t>
                  </w:r>
                </w:p>
              </w:tc>
              <w:tc>
                <w:tcPr>
                  <w:tcW w:w="282" w:type="pct"/>
                  <w:vMerge w:val="restart"/>
                  <w:shd w:val="clear" w:color="auto" w:fill="auto"/>
                  <w:vAlign w:val="center"/>
                </w:tcPr>
                <w:p>
                  <w:pPr>
                    <w:pStyle w:val="68"/>
                    <w:rPr>
                      <w:b/>
                      <w:bCs/>
                      <w:color w:val="auto"/>
                    </w:rPr>
                  </w:pPr>
                  <w:r>
                    <w:rPr>
                      <w:rFonts w:hint="eastAsia"/>
                      <w:b/>
                      <w:bCs/>
                      <w:color w:val="auto"/>
                    </w:rPr>
                    <w:t>废气量</w:t>
                  </w:r>
                  <w:r>
                    <w:rPr>
                      <w:rFonts w:hint="eastAsia"/>
                      <w:b/>
                      <w:bCs/>
                      <w:color w:val="auto"/>
                      <w:shd w:val="clear" w:fill="FFFFFF"/>
                    </w:rPr>
                    <w:t>万</w:t>
                  </w:r>
                  <w:r>
                    <w:rPr>
                      <w:b/>
                      <w:bCs/>
                      <w:color w:val="auto"/>
                    </w:rPr>
                    <w:t>m³/</w:t>
                  </w:r>
                  <w:r>
                    <w:rPr>
                      <w:rFonts w:hint="eastAsia"/>
                      <w:b/>
                      <w:bCs/>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8"/>
                    <w:rPr>
                      <w:b/>
                      <w:bCs/>
                      <w:color w:val="auto"/>
                    </w:rPr>
                  </w:pPr>
                </w:p>
              </w:tc>
              <w:tc>
                <w:tcPr>
                  <w:tcW w:w="420" w:type="pct"/>
                  <w:vMerge w:val="continue"/>
                  <w:shd w:val="clear" w:color="auto" w:fill="auto"/>
                  <w:vAlign w:val="center"/>
                </w:tcPr>
                <w:p>
                  <w:pPr>
                    <w:pStyle w:val="68"/>
                    <w:rPr>
                      <w:b/>
                      <w:bCs/>
                      <w:color w:val="auto"/>
                    </w:rPr>
                  </w:pPr>
                </w:p>
              </w:tc>
              <w:tc>
                <w:tcPr>
                  <w:tcW w:w="368" w:type="pct"/>
                  <w:shd w:val="clear" w:color="auto" w:fill="auto"/>
                  <w:vAlign w:val="center"/>
                </w:tcPr>
                <w:p>
                  <w:pPr>
                    <w:pStyle w:val="68"/>
                    <w:rPr>
                      <w:b/>
                      <w:bCs/>
                      <w:color w:val="auto"/>
                    </w:rPr>
                  </w:pPr>
                  <w:r>
                    <w:rPr>
                      <w:rFonts w:hint="eastAsia"/>
                      <w:b/>
                      <w:bCs/>
                      <w:color w:val="auto"/>
                    </w:rPr>
                    <w:t>产生量</w:t>
                  </w:r>
                </w:p>
                <w:p>
                  <w:pPr>
                    <w:pStyle w:val="68"/>
                    <w:rPr>
                      <w:b/>
                      <w:bCs/>
                      <w:color w:val="auto"/>
                    </w:rPr>
                  </w:pPr>
                  <w:r>
                    <w:rPr>
                      <w:rFonts w:hint="eastAsia"/>
                      <w:b/>
                      <w:bCs/>
                      <w:color w:val="auto"/>
                      <w:lang w:eastAsia="zh-CN"/>
                    </w:rPr>
                    <w:t>(</w:t>
                  </w:r>
                  <w:r>
                    <w:rPr>
                      <w:b/>
                      <w:bCs/>
                      <w:color w:val="auto"/>
                      <w:lang w:val="en-US"/>
                    </w:rPr>
                    <w:t>t/a</w:t>
                  </w:r>
                  <w:r>
                    <w:rPr>
                      <w:rFonts w:hint="eastAsia"/>
                      <w:b/>
                      <w:bCs/>
                      <w:color w:val="auto"/>
                      <w:lang w:val="en-US" w:eastAsia="zh-CN"/>
                    </w:rPr>
                    <w:t>)</w:t>
                  </w:r>
                </w:p>
              </w:tc>
              <w:tc>
                <w:tcPr>
                  <w:tcW w:w="370" w:type="pct"/>
                  <w:shd w:val="clear" w:color="auto" w:fill="auto"/>
                  <w:vAlign w:val="center"/>
                </w:tcPr>
                <w:p>
                  <w:pPr>
                    <w:pStyle w:val="68"/>
                    <w:rPr>
                      <w:b/>
                      <w:bCs/>
                      <w:color w:val="auto"/>
                    </w:rPr>
                  </w:pPr>
                  <w:r>
                    <w:rPr>
                      <w:rFonts w:hint="eastAsia"/>
                      <w:b/>
                      <w:bCs/>
                      <w:color w:val="auto"/>
                    </w:rPr>
                    <w:t>速率</w:t>
                  </w:r>
                </w:p>
                <w:p>
                  <w:pPr>
                    <w:pStyle w:val="68"/>
                    <w:rPr>
                      <w:b/>
                      <w:bCs/>
                      <w:color w:val="auto"/>
                    </w:rPr>
                  </w:pPr>
                  <w:r>
                    <w:rPr>
                      <w:rFonts w:hint="eastAsia"/>
                      <w:b/>
                      <w:bCs/>
                      <w:color w:val="auto"/>
                      <w:lang w:eastAsia="zh-CN"/>
                    </w:rPr>
                    <w:t>(</w:t>
                  </w:r>
                  <w:r>
                    <w:rPr>
                      <w:b/>
                      <w:bCs/>
                      <w:color w:val="auto"/>
                      <w:lang w:val="en-US"/>
                    </w:rPr>
                    <w:t>kg/h</w:t>
                  </w:r>
                  <w:r>
                    <w:rPr>
                      <w:rFonts w:hint="eastAsia"/>
                      <w:b/>
                      <w:bCs/>
                      <w:color w:val="auto"/>
                      <w:lang w:val="en-US" w:eastAsia="zh-CN"/>
                    </w:rPr>
                    <w:t>)</w:t>
                  </w:r>
                </w:p>
              </w:tc>
              <w:tc>
                <w:tcPr>
                  <w:tcW w:w="371" w:type="pct"/>
                  <w:shd w:val="clear" w:color="auto" w:fill="auto"/>
                  <w:vAlign w:val="center"/>
                </w:tcPr>
                <w:p>
                  <w:pPr>
                    <w:pStyle w:val="68"/>
                    <w:rPr>
                      <w:b/>
                      <w:bCs/>
                      <w:color w:val="auto"/>
                    </w:rPr>
                  </w:pPr>
                  <w:r>
                    <w:rPr>
                      <w:rFonts w:hint="eastAsia"/>
                      <w:b/>
                      <w:bCs/>
                      <w:color w:val="auto"/>
                    </w:rPr>
                    <w:t>浓度</w:t>
                  </w:r>
                </w:p>
                <w:p>
                  <w:pPr>
                    <w:pStyle w:val="68"/>
                    <w:rPr>
                      <w:b/>
                      <w:bCs/>
                      <w:color w:val="auto"/>
                    </w:rPr>
                  </w:pPr>
                  <w:r>
                    <w:rPr>
                      <w:rFonts w:hint="eastAsia"/>
                      <w:b/>
                      <w:bCs/>
                      <w:color w:val="auto"/>
                      <w:lang w:eastAsia="zh-CN"/>
                    </w:rPr>
                    <w:t>(</w:t>
                  </w:r>
                  <w:r>
                    <w:rPr>
                      <w:b/>
                      <w:bCs/>
                      <w:color w:val="auto"/>
                      <w:lang w:val="en-US"/>
                    </w:rPr>
                    <w:t>mg/m³</w:t>
                  </w:r>
                  <w:r>
                    <w:rPr>
                      <w:rFonts w:hint="eastAsia"/>
                      <w:b/>
                      <w:bCs/>
                      <w:color w:val="auto"/>
                      <w:lang w:val="en-US" w:eastAsia="zh-CN"/>
                    </w:rPr>
                    <w:t>)</w:t>
                  </w:r>
                </w:p>
              </w:tc>
              <w:tc>
                <w:tcPr>
                  <w:tcW w:w="368" w:type="pct"/>
                  <w:vMerge w:val="continue"/>
                  <w:shd w:val="clear" w:color="auto" w:fill="auto"/>
                  <w:vAlign w:val="center"/>
                </w:tcPr>
                <w:p>
                  <w:pPr>
                    <w:pStyle w:val="68"/>
                    <w:rPr>
                      <w:b/>
                      <w:bCs/>
                      <w:color w:val="auto"/>
                    </w:rPr>
                  </w:pPr>
                </w:p>
              </w:tc>
              <w:tc>
                <w:tcPr>
                  <w:tcW w:w="537" w:type="pct"/>
                  <w:shd w:val="clear" w:color="auto" w:fill="auto"/>
                  <w:vAlign w:val="center"/>
                </w:tcPr>
                <w:p>
                  <w:pPr>
                    <w:pStyle w:val="68"/>
                    <w:rPr>
                      <w:b/>
                      <w:bCs/>
                      <w:color w:val="auto"/>
                    </w:rPr>
                  </w:pPr>
                  <w:r>
                    <w:rPr>
                      <w:rFonts w:hint="eastAsia"/>
                      <w:b/>
                      <w:bCs/>
                      <w:color w:val="auto"/>
                    </w:rPr>
                    <w:t>治理工艺名称</w:t>
                  </w:r>
                </w:p>
              </w:tc>
              <w:tc>
                <w:tcPr>
                  <w:tcW w:w="310" w:type="pct"/>
                  <w:shd w:val="clear" w:color="auto" w:fill="auto"/>
                  <w:vAlign w:val="center"/>
                </w:tcPr>
                <w:p>
                  <w:pPr>
                    <w:pStyle w:val="68"/>
                    <w:rPr>
                      <w:b/>
                      <w:bCs/>
                      <w:color w:val="auto"/>
                    </w:rPr>
                  </w:pPr>
                  <w:r>
                    <w:rPr>
                      <w:rFonts w:hint="eastAsia"/>
                      <w:b/>
                      <w:bCs/>
                      <w:color w:val="auto"/>
                    </w:rPr>
                    <w:t>去除效率</w:t>
                  </w:r>
                </w:p>
              </w:tc>
              <w:tc>
                <w:tcPr>
                  <w:tcW w:w="359" w:type="pct"/>
                  <w:shd w:val="clear" w:color="auto" w:fill="auto"/>
                  <w:vAlign w:val="center"/>
                </w:tcPr>
                <w:p>
                  <w:pPr>
                    <w:pStyle w:val="68"/>
                    <w:rPr>
                      <w:b/>
                      <w:bCs/>
                      <w:color w:val="auto"/>
                    </w:rPr>
                  </w:pPr>
                  <w:r>
                    <w:rPr>
                      <w:rFonts w:hint="eastAsia"/>
                      <w:b/>
                      <w:bCs/>
                      <w:color w:val="auto"/>
                    </w:rPr>
                    <w:t>是否为</w:t>
                  </w:r>
                </w:p>
                <w:p>
                  <w:pPr>
                    <w:pStyle w:val="68"/>
                    <w:rPr>
                      <w:b/>
                      <w:bCs/>
                      <w:color w:val="auto"/>
                    </w:rPr>
                  </w:pPr>
                  <w:r>
                    <w:rPr>
                      <w:rFonts w:hint="eastAsia"/>
                      <w:b/>
                      <w:bCs/>
                      <w:color w:val="auto"/>
                    </w:rPr>
                    <w:t>可行技术</w:t>
                  </w:r>
                </w:p>
              </w:tc>
              <w:tc>
                <w:tcPr>
                  <w:tcW w:w="272" w:type="pct"/>
                  <w:shd w:val="clear" w:color="auto" w:fill="auto"/>
                  <w:vAlign w:val="center"/>
                </w:tcPr>
                <w:p>
                  <w:pPr>
                    <w:pStyle w:val="68"/>
                    <w:rPr>
                      <w:b/>
                      <w:bCs/>
                      <w:color w:val="auto"/>
                    </w:rPr>
                  </w:pPr>
                  <w:r>
                    <w:rPr>
                      <w:rFonts w:hint="eastAsia"/>
                      <w:b/>
                      <w:bCs/>
                      <w:color w:val="auto"/>
                    </w:rPr>
                    <w:t>排放量</w:t>
                  </w:r>
                </w:p>
                <w:p>
                  <w:pPr>
                    <w:pStyle w:val="68"/>
                    <w:rPr>
                      <w:b/>
                      <w:bCs/>
                      <w:color w:val="auto"/>
                    </w:rPr>
                  </w:pPr>
                  <w:r>
                    <w:rPr>
                      <w:rFonts w:hint="eastAsia"/>
                      <w:b/>
                      <w:bCs/>
                      <w:color w:val="auto"/>
                      <w:lang w:eastAsia="zh-CN"/>
                    </w:rPr>
                    <w:t>(</w:t>
                  </w:r>
                  <w:r>
                    <w:rPr>
                      <w:b/>
                      <w:bCs/>
                      <w:color w:val="auto"/>
                      <w:lang w:val="en-US"/>
                    </w:rPr>
                    <w:t>t/a</w:t>
                  </w:r>
                  <w:r>
                    <w:rPr>
                      <w:rFonts w:hint="eastAsia"/>
                      <w:b/>
                      <w:bCs/>
                      <w:color w:val="auto"/>
                      <w:lang w:val="en-US" w:eastAsia="zh-CN"/>
                    </w:rPr>
                    <w:t>)</w:t>
                  </w:r>
                </w:p>
              </w:tc>
              <w:tc>
                <w:tcPr>
                  <w:tcW w:w="263" w:type="pct"/>
                  <w:shd w:val="clear" w:color="auto" w:fill="auto"/>
                  <w:vAlign w:val="center"/>
                </w:tcPr>
                <w:p>
                  <w:pPr>
                    <w:pStyle w:val="68"/>
                    <w:rPr>
                      <w:b/>
                      <w:bCs/>
                      <w:color w:val="auto"/>
                    </w:rPr>
                  </w:pPr>
                  <w:r>
                    <w:rPr>
                      <w:rFonts w:hint="eastAsia"/>
                      <w:b/>
                      <w:bCs/>
                      <w:color w:val="auto"/>
                    </w:rPr>
                    <w:t>速率</w:t>
                  </w:r>
                </w:p>
                <w:p>
                  <w:pPr>
                    <w:pStyle w:val="68"/>
                    <w:rPr>
                      <w:b/>
                      <w:bCs/>
                      <w:color w:val="auto"/>
                    </w:rPr>
                  </w:pPr>
                  <w:r>
                    <w:rPr>
                      <w:rFonts w:hint="eastAsia"/>
                      <w:b/>
                      <w:bCs/>
                      <w:color w:val="auto"/>
                      <w:lang w:eastAsia="zh-CN"/>
                    </w:rPr>
                    <w:t>(</w:t>
                  </w:r>
                  <w:r>
                    <w:rPr>
                      <w:b/>
                      <w:bCs/>
                      <w:color w:val="auto"/>
                      <w:lang w:val="en-US"/>
                    </w:rPr>
                    <w:t>kg/h</w:t>
                  </w:r>
                  <w:r>
                    <w:rPr>
                      <w:rFonts w:hint="eastAsia"/>
                      <w:b/>
                      <w:bCs/>
                      <w:color w:val="auto"/>
                      <w:lang w:val="en-US" w:eastAsia="zh-CN"/>
                    </w:rPr>
                    <w:t>)</w:t>
                  </w:r>
                </w:p>
              </w:tc>
              <w:tc>
                <w:tcPr>
                  <w:tcW w:w="356" w:type="pct"/>
                  <w:shd w:val="clear" w:color="auto" w:fill="auto"/>
                  <w:vAlign w:val="center"/>
                </w:tcPr>
                <w:p>
                  <w:pPr>
                    <w:pStyle w:val="68"/>
                    <w:rPr>
                      <w:b/>
                      <w:bCs/>
                      <w:color w:val="auto"/>
                    </w:rPr>
                  </w:pPr>
                  <w:r>
                    <w:rPr>
                      <w:rFonts w:hint="eastAsia"/>
                      <w:b/>
                      <w:bCs/>
                      <w:color w:val="auto"/>
                    </w:rPr>
                    <w:t>浓度</w:t>
                  </w:r>
                </w:p>
                <w:p>
                  <w:pPr>
                    <w:pStyle w:val="68"/>
                    <w:rPr>
                      <w:b/>
                      <w:bCs/>
                      <w:color w:val="auto"/>
                    </w:rPr>
                  </w:pPr>
                  <w:r>
                    <w:rPr>
                      <w:rFonts w:hint="eastAsia"/>
                      <w:b/>
                      <w:bCs/>
                      <w:color w:val="auto"/>
                      <w:lang w:eastAsia="zh-CN"/>
                    </w:rPr>
                    <w:t>(</w:t>
                  </w:r>
                  <w:r>
                    <w:rPr>
                      <w:b/>
                      <w:bCs/>
                      <w:color w:val="auto"/>
                      <w:lang w:val="en-US"/>
                    </w:rPr>
                    <w:t>mg/m³</w:t>
                  </w:r>
                  <w:r>
                    <w:rPr>
                      <w:rFonts w:hint="eastAsia"/>
                      <w:b/>
                      <w:bCs/>
                      <w:color w:val="auto"/>
                      <w:lang w:val="en-US" w:eastAsia="zh-CN"/>
                    </w:rPr>
                    <w:t>)</w:t>
                  </w:r>
                </w:p>
              </w:tc>
              <w:tc>
                <w:tcPr>
                  <w:tcW w:w="285" w:type="pct"/>
                  <w:vMerge w:val="continue"/>
                  <w:shd w:val="clear" w:color="auto" w:fill="auto"/>
                  <w:vAlign w:val="center"/>
                </w:tcPr>
                <w:p>
                  <w:pPr>
                    <w:pStyle w:val="68"/>
                    <w:rPr>
                      <w:color w:val="auto"/>
                    </w:rPr>
                  </w:pPr>
                </w:p>
              </w:tc>
              <w:tc>
                <w:tcPr>
                  <w:tcW w:w="282"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restart"/>
                  <w:shd w:val="clear" w:color="auto" w:fill="auto"/>
                  <w:vAlign w:val="center"/>
                </w:tcPr>
                <w:p>
                  <w:pPr>
                    <w:pStyle w:val="68"/>
                    <w:rPr>
                      <w:color w:val="auto"/>
                    </w:rPr>
                  </w:pPr>
                  <w:r>
                    <w:rPr>
                      <w:rFonts w:hint="eastAsia"/>
                      <w:color w:val="auto"/>
                      <w:lang w:eastAsia="zh-CN"/>
                    </w:rPr>
                    <w:t>餐厨垃圾处置车间</w:t>
                  </w:r>
                </w:p>
              </w:tc>
              <w:tc>
                <w:tcPr>
                  <w:tcW w:w="420" w:type="pct"/>
                  <w:shd w:val="clear" w:color="auto" w:fill="auto"/>
                  <w:vAlign w:val="center"/>
                </w:tcPr>
                <w:p>
                  <w:pPr>
                    <w:pStyle w:val="68"/>
                    <w:rPr>
                      <w:color w:val="auto"/>
                    </w:rPr>
                  </w:pPr>
                  <w:r>
                    <w:rPr>
                      <w:rFonts w:hint="eastAsia"/>
                      <w:color w:val="auto"/>
                      <w:lang w:eastAsia="zh-CN"/>
                    </w:rPr>
                    <w:t>氨</w:t>
                  </w:r>
                </w:p>
              </w:tc>
              <w:tc>
                <w:tcPr>
                  <w:tcW w:w="368" w:type="pct"/>
                  <w:shd w:val="clear" w:color="auto" w:fill="auto"/>
                  <w:vAlign w:val="center"/>
                </w:tcPr>
                <w:p>
                  <w:pPr>
                    <w:pStyle w:val="68"/>
                    <w:rPr>
                      <w:color w:val="auto"/>
                      <w:lang w:val="en-US" w:eastAsia="zh-CN"/>
                    </w:rPr>
                  </w:pPr>
                  <w:r>
                    <w:rPr>
                      <w:color w:val="auto"/>
                    </w:rPr>
                    <w:t>0.122</w:t>
                  </w:r>
                </w:p>
              </w:tc>
              <w:tc>
                <w:tcPr>
                  <w:tcW w:w="370" w:type="pct"/>
                  <w:shd w:val="clear" w:color="auto" w:fill="auto"/>
                  <w:vAlign w:val="center"/>
                </w:tcPr>
                <w:p>
                  <w:pPr>
                    <w:pStyle w:val="68"/>
                    <w:rPr>
                      <w:color w:val="auto"/>
                      <w:lang w:val="en-US" w:eastAsia="zh-CN"/>
                    </w:rPr>
                  </w:pPr>
                  <w:r>
                    <w:rPr>
                      <w:rFonts w:hint="eastAsia"/>
                      <w:color w:val="auto"/>
                    </w:rPr>
                    <w:t>0</w:t>
                  </w:r>
                  <w:r>
                    <w:rPr>
                      <w:color w:val="auto"/>
                    </w:rPr>
                    <w:t>.017</w:t>
                  </w:r>
                </w:p>
              </w:tc>
              <w:tc>
                <w:tcPr>
                  <w:tcW w:w="371" w:type="pct"/>
                  <w:shd w:val="clear" w:color="auto" w:fill="auto"/>
                  <w:vAlign w:val="center"/>
                </w:tcPr>
                <w:p>
                  <w:pPr>
                    <w:pStyle w:val="68"/>
                    <w:rPr>
                      <w:color w:val="auto"/>
                      <w:lang w:eastAsia="zh-CN"/>
                    </w:rPr>
                  </w:pPr>
                  <w:r>
                    <w:rPr>
                      <w:color w:val="auto"/>
                    </w:rPr>
                    <w:t>2.83</w:t>
                  </w:r>
                </w:p>
              </w:tc>
              <w:tc>
                <w:tcPr>
                  <w:tcW w:w="368" w:type="pct"/>
                  <w:vMerge w:val="restart"/>
                  <w:shd w:val="clear" w:color="auto" w:fill="auto"/>
                  <w:vAlign w:val="center"/>
                </w:tcPr>
                <w:p>
                  <w:pPr>
                    <w:pStyle w:val="68"/>
                    <w:rPr>
                      <w:color w:val="auto"/>
                    </w:rPr>
                  </w:pPr>
                  <w:r>
                    <w:rPr>
                      <w:color w:val="auto"/>
                    </w:rPr>
                    <w:sym w:font="Wingdings 2" w:char="0052"/>
                  </w:r>
                  <w:r>
                    <w:rPr>
                      <w:color w:val="auto"/>
                    </w:rPr>
                    <w:t>有组织</w:t>
                  </w:r>
                </w:p>
                <w:p>
                  <w:pPr>
                    <w:pStyle w:val="68"/>
                    <w:rPr>
                      <w:color w:val="auto"/>
                      <w:lang w:val="en-US"/>
                    </w:rPr>
                  </w:pPr>
                  <w:r>
                    <w:rPr>
                      <w:color w:val="auto"/>
                      <w:lang w:val="en-US"/>
                    </w:rPr>
                    <w:sym w:font="Wingdings 2" w:char="00A3"/>
                  </w:r>
                  <w:r>
                    <w:rPr>
                      <w:color w:val="auto"/>
                      <w:lang w:val="en-US"/>
                    </w:rPr>
                    <w:t>无组织</w:t>
                  </w:r>
                </w:p>
              </w:tc>
              <w:tc>
                <w:tcPr>
                  <w:tcW w:w="537" w:type="pct"/>
                  <w:vMerge w:val="restart"/>
                  <w:shd w:val="clear" w:color="auto" w:fill="auto"/>
                  <w:vAlign w:val="center"/>
                </w:tcPr>
                <w:p>
                  <w:pPr>
                    <w:pStyle w:val="68"/>
                    <w:rPr>
                      <w:color w:val="auto"/>
                      <w:lang w:eastAsia="zh-CN"/>
                    </w:rPr>
                  </w:pPr>
                  <w:r>
                    <w:rPr>
                      <w:rFonts w:hint="eastAsia"/>
                      <w:color w:val="auto"/>
                      <w:lang w:eastAsia="zh-CN"/>
                    </w:rPr>
                    <w:t>生物洗涤</w:t>
                  </w:r>
                </w:p>
              </w:tc>
              <w:tc>
                <w:tcPr>
                  <w:tcW w:w="310" w:type="pct"/>
                  <w:shd w:val="clear" w:color="auto" w:fill="auto"/>
                  <w:vAlign w:val="center"/>
                </w:tcPr>
                <w:p>
                  <w:pPr>
                    <w:pStyle w:val="68"/>
                    <w:rPr>
                      <w:color w:val="auto"/>
                      <w:lang w:eastAsia="zh-CN"/>
                    </w:rPr>
                  </w:pPr>
                  <w:r>
                    <w:rPr>
                      <w:rFonts w:hint="eastAsia"/>
                      <w:color w:val="auto"/>
                      <w:lang w:eastAsia="zh-CN"/>
                    </w:rPr>
                    <w:t>9</w:t>
                  </w:r>
                  <w:r>
                    <w:rPr>
                      <w:color w:val="auto"/>
                      <w:lang w:eastAsia="zh-CN"/>
                    </w:rPr>
                    <w:t>2.3%</w:t>
                  </w:r>
                </w:p>
              </w:tc>
              <w:tc>
                <w:tcPr>
                  <w:tcW w:w="359" w:type="pct"/>
                  <w:shd w:val="clear" w:color="auto" w:fill="auto"/>
                  <w:vAlign w:val="center"/>
                </w:tcPr>
                <w:p>
                  <w:pPr>
                    <w:pStyle w:val="68"/>
                    <w:rPr>
                      <w:color w:val="auto"/>
                      <w:lang w:val="en-US"/>
                    </w:rPr>
                  </w:pPr>
                  <w:r>
                    <w:rPr>
                      <w:rFonts w:hint="eastAsia"/>
                      <w:color w:val="auto"/>
                      <w:lang w:val="en-US" w:eastAsia="zh-CN"/>
                    </w:rPr>
                    <w:t>是</w:t>
                  </w:r>
                </w:p>
              </w:tc>
              <w:tc>
                <w:tcPr>
                  <w:tcW w:w="272" w:type="pct"/>
                  <w:shd w:val="clear" w:color="auto" w:fill="auto"/>
                  <w:vAlign w:val="center"/>
                </w:tcPr>
                <w:p>
                  <w:pPr>
                    <w:pStyle w:val="68"/>
                    <w:rPr>
                      <w:color w:val="auto"/>
                      <w:lang w:eastAsia="zh-CN"/>
                    </w:rPr>
                  </w:pPr>
                  <w:r>
                    <w:rPr>
                      <w:rFonts w:hint="eastAsia"/>
                      <w:color w:val="auto"/>
                    </w:rPr>
                    <w:t>0</w:t>
                  </w:r>
                  <w:r>
                    <w:rPr>
                      <w:color w:val="auto"/>
                    </w:rPr>
                    <w:t>.009</w:t>
                  </w:r>
                </w:p>
              </w:tc>
              <w:tc>
                <w:tcPr>
                  <w:tcW w:w="263" w:type="pct"/>
                  <w:shd w:val="clear" w:color="auto" w:fill="auto"/>
                  <w:vAlign w:val="center"/>
                </w:tcPr>
                <w:p>
                  <w:pPr>
                    <w:pStyle w:val="68"/>
                    <w:rPr>
                      <w:color w:val="auto"/>
                      <w:lang w:eastAsia="zh-CN"/>
                    </w:rPr>
                  </w:pPr>
                  <w:r>
                    <w:rPr>
                      <w:rFonts w:hint="eastAsia"/>
                      <w:color w:val="auto"/>
                    </w:rPr>
                    <w:t>0</w:t>
                  </w:r>
                  <w:r>
                    <w:rPr>
                      <w:color w:val="auto"/>
                    </w:rPr>
                    <w:t>.0012</w:t>
                  </w:r>
                </w:p>
              </w:tc>
              <w:tc>
                <w:tcPr>
                  <w:tcW w:w="356" w:type="pct"/>
                  <w:shd w:val="clear" w:color="auto" w:fill="auto"/>
                  <w:vAlign w:val="center"/>
                </w:tcPr>
                <w:p>
                  <w:pPr>
                    <w:pStyle w:val="68"/>
                    <w:rPr>
                      <w:color w:val="auto"/>
                      <w:lang w:eastAsia="zh-CN"/>
                    </w:rPr>
                  </w:pPr>
                  <w:r>
                    <w:rPr>
                      <w:rFonts w:hint="eastAsia"/>
                      <w:color w:val="auto"/>
                    </w:rPr>
                    <w:t>0</w:t>
                  </w:r>
                  <w:r>
                    <w:rPr>
                      <w:color w:val="auto"/>
                    </w:rPr>
                    <w:t>.22</w:t>
                  </w:r>
                </w:p>
              </w:tc>
              <w:tc>
                <w:tcPr>
                  <w:tcW w:w="285" w:type="pct"/>
                  <w:vMerge w:val="restart"/>
                  <w:shd w:val="clear" w:color="auto" w:fill="auto"/>
                  <w:vAlign w:val="center"/>
                </w:tcPr>
                <w:p>
                  <w:pPr>
                    <w:pStyle w:val="68"/>
                    <w:rPr>
                      <w:color w:val="auto"/>
                    </w:rPr>
                  </w:pPr>
                  <w:r>
                    <w:rPr>
                      <w:rFonts w:hint="eastAsia"/>
                      <w:color w:val="auto"/>
                    </w:rPr>
                    <w:t>D</w:t>
                  </w:r>
                  <w:r>
                    <w:rPr>
                      <w:color w:val="auto"/>
                    </w:rPr>
                    <w:t>A001</w:t>
                  </w:r>
                </w:p>
              </w:tc>
              <w:tc>
                <w:tcPr>
                  <w:tcW w:w="282" w:type="pct"/>
                  <w:vMerge w:val="restart"/>
                  <w:shd w:val="clear" w:color="auto" w:fill="auto"/>
                  <w:vAlign w:val="center"/>
                </w:tcPr>
                <w:p>
                  <w:pPr>
                    <w:pStyle w:val="68"/>
                    <w:rPr>
                      <w:color w:val="auto"/>
                      <w:lang w:eastAsia="zh-CN"/>
                    </w:rPr>
                  </w:pPr>
                  <w:r>
                    <w:rPr>
                      <w:rFonts w:hint="eastAsia"/>
                      <w:color w:val="auto"/>
                      <w:lang w:eastAsia="zh-CN"/>
                    </w:rPr>
                    <w:t>4</w:t>
                  </w:r>
                  <w:r>
                    <w:rPr>
                      <w:color w:val="auto"/>
                      <w:lang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8"/>
                    <w:rPr>
                      <w:color w:val="auto"/>
                    </w:rPr>
                  </w:pPr>
                </w:p>
              </w:tc>
              <w:tc>
                <w:tcPr>
                  <w:tcW w:w="420" w:type="pct"/>
                  <w:shd w:val="clear" w:color="auto" w:fill="auto"/>
                  <w:vAlign w:val="center"/>
                </w:tcPr>
                <w:p>
                  <w:pPr>
                    <w:pStyle w:val="68"/>
                    <w:rPr>
                      <w:color w:val="auto"/>
                      <w:lang w:eastAsia="zh-CN"/>
                    </w:rPr>
                  </w:pPr>
                  <w:r>
                    <w:rPr>
                      <w:rFonts w:hint="eastAsia"/>
                      <w:color w:val="auto"/>
                      <w:lang w:eastAsia="zh-CN"/>
                    </w:rPr>
                    <w:t>硫化氢</w:t>
                  </w:r>
                </w:p>
              </w:tc>
              <w:tc>
                <w:tcPr>
                  <w:tcW w:w="368" w:type="pct"/>
                  <w:shd w:val="clear" w:color="auto" w:fill="auto"/>
                  <w:vAlign w:val="center"/>
                </w:tcPr>
                <w:p>
                  <w:pPr>
                    <w:pStyle w:val="68"/>
                    <w:rPr>
                      <w:color w:val="auto"/>
                      <w:lang w:val="en-US" w:eastAsia="zh-CN"/>
                    </w:rPr>
                  </w:pPr>
                  <w:r>
                    <w:rPr>
                      <w:color w:val="auto"/>
                    </w:rPr>
                    <w:t>0.017</w:t>
                  </w:r>
                </w:p>
              </w:tc>
              <w:tc>
                <w:tcPr>
                  <w:tcW w:w="370" w:type="pct"/>
                  <w:shd w:val="clear" w:color="auto" w:fill="auto"/>
                  <w:vAlign w:val="center"/>
                </w:tcPr>
                <w:p>
                  <w:pPr>
                    <w:pStyle w:val="68"/>
                    <w:rPr>
                      <w:color w:val="auto"/>
                      <w:lang w:val="en-US" w:eastAsia="zh-CN"/>
                    </w:rPr>
                  </w:pPr>
                  <w:r>
                    <w:rPr>
                      <w:rFonts w:hint="eastAsia"/>
                      <w:color w:val="auto"/>
                    </w:rPr>
                    <w:t>0</w:t>
                  </w:r>
                  <w:r>
                    <w:rPr>
                      <w:color w:val="auto"/>
                    </w:rPr>
                    <w:t>.0024</w:t>
                  </w:r>
                </w:p>
              </w:tc>
              <w:tc>
                <w:tcPr>
                  <w:tcW w:w="371" w:type="pct"/>
                  <w:shd w:val="clear" w:color="auto" w:fill="auto"/>
                  <w:vAlign w:val="center"/>
                </w:tcPr>
                <w:p>
                  <w:pPr>
                    <w:pStyle w:val="68"/>
                    <w:rPr>
                      <w:color w:val="auto"/>
                      <w:lang w:eastAsia="zh-CN"/>
                    </w:rPr>
                  </w:pPr>
                  <w:r>
                    <w:rPr>
                      <w:color w:val="auto"/>
                    </w:rPr>
                    <w:t>0.4</w:t>
                  </w:r>
                </w:p>
              </w:tc>
              <w:tc>
                <w:tcPr>
                  <w:tcW w:w="368" w:type="pct"/>
                  <w:vMerge w:val="continue"/>
                  <w:shd w:val="clear" w:color="auto" w:fill="auto"/>
                  <w:vAlign w:val="center"/>
                </w:tcPr>
                <w:p>
                  <w:pPr>
                    <w:pStyle w:val="68"/>
                    <w:rPr>
                      <w:color w:val="auto"/>
                      <w:lang w:val="en-US"/>
                    </w:rPr>
                  </w:pPr>
                </w:p>
              </w:tc>
              <w:tc>
                <w:tcPr>
                  <w:tcW w:w="537" w:type="pct"/>
                  <w:vMerge w:val="continue"/>
                  <w:shd w:val="clear" w:color="auto" w:fill="auto"/>
                  <w:vAlign w:val="center"/>
                </w:tcPr>
                <w:p>
                  <w:pPr>
                    <w:pStyle w:val="68"/>
                    <w:rPr>
                      <w:color w:val="auto"/>
                    </w:rPr>
                  </w:pPr>
                </w:p>
              </w:tc>
              <w:tc>
                <w:tcPr>
                  <w:tcW w:w="310" w:type="pct"/>
                  <w:shd w:val="clear" w:color="auto" w:fill="auto"/>
                  <w:vAlign w:val="center"/>
                </w:tcPr>
                <w:p>
                  <w:pPr>
                    <w:pStyle w:val="68"/>
                    <w:rPr>
                      <w:color w:val="auto"/>
                    </w:rPr>
                  </w:pPr>
                  <w:r>
                    <w:rPr>
                      <w:color w:val="auto"/>
                      <w:lang w:eastAsia="zh-CN"/>
                    </w:rPr>
                    <w:t>69.2%</w:t>
                  </w:r>
                </w:p>
              </w:tc>
              <w:tc>
                <w:tcPr>
                  <w:tcW w:w="359" w:type="pct"/>
                  <w:shd w:val="clear" w:color="auto" w:fill="auto"/>
                  <w:vAlign w:val="center"/>
                </w:tcPr>
                <w:p>
                  <w:pPr>
                    <w:pStyle w:val="68"/>
                    <w:rPr>
                      <w:color w:val="auto"/>
                      <w:lang w:val="en-US" w:eastAsia="zh-CN"/>
                    </w:rPr>
                  </w:pPr>
                  <w:r>
                    <w:rPr>
                      <w:rFonts w:hint="eastAsia"/>
                      <w:color w:val="auto"/>
                      <w:lang w:val="en-US" w:eastAsia="zh-CN"/>
                    </w:rPr>
                    <w:t>是</w:t>
                  </w:r>
                </w:p>
              </w:tc>
              <w:tc>
                <w:tcPr>
                  <w:tcW w:w="272" w:type="pct"/>
                  <w:shd w:val="clear" w:color="auto" w:fill="auto"/>
                  <w:vAlign w:val="center"/>
                </w:tcPr>
                <w:p>
                  <w:pPr>
                    <w:pStyle w:val="68"/>
                    <w:rPr>
                      <w:color w:val="auto"/>
                      <w:lang w:eastAsia="zh-CN"/>
                    </w:rPr>
                  </w:pPr>
                  <w:r>
                    <w:rPr>
                      <w:rFonts w:hint="eastAsia"/>
                      <w:color w:val="auto"/>
                    </w:rPr>
                    <w:t>0</w:t>
                  </w:r>
                  <w:r>
                    <w:rPr>
                      <w:color w:val="auto"/>
                    </w:rPr>
                    <w:t>.0052</w:t>
                  </w:r>
                </w:p>
              </w:tc>
              <w:tc>
                <w:tcPr>
                  <w:tcW w:w="263" w:type="pct"/>
                  <w:shd w:val="clear" w:color="auto" w:fill="auto"/>
                  <w:vAlign w:val="center"/>
                </w:tcPr>
                <w:p>
                  <w:pPr>
                    <w:pStyle w:val="68"/>
                    <w:rPr>
                      <w:color w:val="auto"/>
                      <w:lang w:eastAsia="zh-CN"/>
                    </w:rPr>
                  </w:pPr>
                  <w:r>
                    <w:rPr>
                      <w:rFonts w:hint="eastAsia"/>
                      <w:color w:val="auto"/>
                    </w:rPr>
                    <w:t>0</w:t>
                  </w:r>
                  <w:r>
                    <w:rPr>
                      <w:color w:val="auto"/>
                    </w:rPr>
                    <w:t>.00074</w:t>
                  </w:r>
                </w:p>
              </w:tc>
              <w:tc>
                <w:tcPr>
                  <w:tcW w:w="356" w:type="pct"/>
                  <w:shd w:val="clear" w:color="auto" w:fill="auto"/>
                  <w:vAlign w:val="center"/>
                </w:tcPr>
                <w:p>
                  <w:pPr>
                    <w:pStyle w:val="68"/>
                    <w:rPr>
                      <w:color w:val="auto"/>
                    </w:rPr>
                  </w:pPr>
                  <w:r>
                    <w:rPr>
                      <w:rFonts w:hint="eastAsia"/>
                      <w:color w:val="auto"/>
                    </w:rPr>
                    <w:t>0</w:t>
                  </w:r>
                  <w:r>
                    <w:rPr>
                      <w:color w:val="auto"/>
                    </w:rPr>
                    <w:t>.12</w:t>
                  </w:r>
                </w:p>
              </w:tc>
              <w:tc>
                <w:tcPr>
                  <w:tcW w:w="285" w:type="pct"/>
                  <w:vMerge w:val="continue"/>
                  <w:shd w:val="clear" w:color="auto" w:fill="auto"/>
                  <w:vAlign w:val="center"/>
                </w:tcPr>
                <w:p>
                  <w:pPr>
                    <w:pStyle w:val="68"/>
                    <w:rPr>
                      <w:color w:val="auto"/>
                    </w:rPr>
                  </w:pPr>
                </w:p>
              </w:tc>
              <w:tc>
                <w:tcPr>
                  <w:tcW w:w="282"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8"/>
                    <w:rPr>
                      <w:color w:val="auto"/>
                    </w:rPr>
                  </w:pPr>
                </w:p>
              </w:tc>
              <w:tc>
                <w:tcPr>
                  <w:tcW w:w="420" w:type="pct"/>
                  <w:shd w:val="clear" w:color="auto" w:fill="auto"/>
                  <w:vAlign w:val="center"/>
                </w:tcPr>
                <w:p>
                  <w:pPr>
                    <w:pStyle w:val="68"/>
                    <w:rPr>
                      <w:color w:val="auto"/>
                    </w:rPr>
                  </w:pPr>
                  <w:r>
                    <w:rPr>
                      <w:rFonts w:hint="eastAsia"/>
                      <w:color w:val="auto"/>
                      <w:lang w:eastAsia="zh-CN"/>
                    </w:rPr>
                    <w:t>臭气浓度</w:t>
                  </w:r>
                </w:p>
              </w:tc>
              <w:tc>
                <w:tcPr>
                  <w:tcW w:w="368" w:type="pct"/>
                  <w:shd w:val="clear" w:color="auto" w:fill="auto"/>
                  <w:vAlign w:val="center"/>
                </w:tcPr>
                <w:p>
                  <w:pPr>
                    <w:pStyle w:val="68"/>
                    <w:rPr>
                      <w:color w:val="auto"/>
                      <w:lang w:val="en-US" w:eastAsia="zh-CN"/>
                    </w:rPr>
                  </w:pPr>
                  <w:r>
                    <w:rPr>
                      <w:rFonts w:hint="eastAsia"/>
                      <w:color w:val="auto"/>
                      <w:lang w:val="en-US" w:eastAsia="zh-CN"/>
                    </w:rPr>
                    <w:t>/</w:t>
                  </w:r>
                </w:p>
              </w:tc>
              <w:tc>
                <w:tcPr>
                  <w:tcW w:w="370" w:type="pct"/>
                  <w:shd w:val="clear" w:color="auto" w:fill="auto"/>
                  <w:vAlign w:val="center"/>
                </w:tcPr>
                <w:p>
                  <w:pPr>
                    <w:pStyle w:val="68"/>
                    <w:rPr>
                      <w:color w:val="auto"/>
                      <w:lang w:val="en-US" w:eastAsia="zh-CN"/>
                    </w:rPr>
                  </w:pPr>
                  <w:r>
                    <w:rPr>
                      <w:rFonts w:hint="eastAsia"/>
                      <w:color w:val="auto"/>
                      <w:lang w:val="en-US" w:eastAsia="zh-CN"/>
                    </w:rPr>
                    <w:t>/</w:t>
                  </w:r>
                </w:p>
              </w:tc>
              <w:tc>
                <w:tcPr>
                  <w:tcW w:w="371" w:type="pct"/>
                  <w:shd w:val="clear" w:color="auto" w:fill="auto"/>
                  <w:vAlign w:val="center"/>
                </w:tcPr>
                <w:p>
                  <w:pPr>
                    <w:pStyle w:val="68"/>
                    <w:rPr>
                      <w:color w:val="auto"/>
                      <w:lang w:eastAsia="zh-CN"/>
                    </w:rPr>
                  </w:pPr>
                  <w:r>
                    <w:rPr>
                      <w:color w:val="auto"/>
                    </w:rPr>
                    <w:t>6182</w:t>
                  </w:r>
                  <w:r>
                    <w:rPr>
                      <w:rFonts w:hint="eastAsia"/>
                      <w:color w:val="auto"/>
                    </w:rPr>
                    <w:t>（无量纲）</w:t>
                  </w:r>
                </w:p>
              </w:tc>
              <w:tc>
                <w:tcPr>
                  <w:tcW w:w="368" w:type="pct"/>
                  <w:vMerge w:val="continue"/>
                  <w:shd w:val="clear" w:color="auto" w:fill="auto"/>
                  <w:vAlign w:val="center"/>
                </w:tcPr>
                <w:p>
                  <w:pPr>
                    <w:pStyle w:val="68"/>
                    <w:rPr>
                      <w:color w:val="auto"/>
                      <w:lang w:val="en-US"/>
                    </w:rPr>
                  </w:pPr>
                </w:p>
              </w:tc>
              <w:tc>
                <w:tcPr>
                  <w:tcW w:w="537" w:type="pct"/>
                  <w:vMerge w:val="continue"/>
                  <w:shd w:val="clear" w:color="auto" w:fill="auto"/>
                  <w:vAlign w:val="center"/>
                </w:tcPr>
                <w:p>
                  <w:pPr>
                    <w:pStyle w:val="68"/>
                    <w:rPr>
                      <w:color w:val="auto"/>
                      <w:lang w:eastAsia="zh-CN"/>
                    </w:rPr>
                  </w:pPr>
                </w:p>
              </w:tc>
              <w:tc>
                <w:tcPr>
                  <w:tcW w:w="310" w:type="pct"/>
                  <w:shd w:val="clear" w:color="auto" w:fill="auto"/>
                  <w:vAlign w:val="center"/>
                </w:tcPr>
                <w:p>
                  <w:pPr>
                    <w:pStyle w:val="68"/>
                    <w:rPr>
                      <w:color w:val="auto"/>
                      <w:lang w:val="en-US" w:eastAsia="zh-CN"/>
                    </w:rPr>
                  </w:pPr>
                  <w:r>
                    <w:rPr>
                      <w:color w:val="auto"/>
                      <w:lang w:eastAsia="zh-CN"/>
                    </w:rPr>
                    <w:t>/</w:t>
                  </w:r>
                </w:p>
              </w:tc>
              <w:tc>
                <w:tcPr>
                  <w:tcW w:w="359" w:type="pct"/>
                  <w:shd w:val="clear" w:color="auto" w:fill="auto"/>
                  <w:vAlign w:val="center"/>
                </w:tcPr>
                <w:p>
                  <w:pPr>
                    <w:pStyle w:val="68"/>
                    <w:rPr>
                      <w:color w:val="auto"/>
                      <w:lang w:val="en-US"/>
                    </w:rPr>
                  </w:pPr>
                  <w:r>
                    <w:rPr>
                      <w:rFonts w:hint="eastAsia"/>
                      <w:color w:val="auto"/>
                      <w:lang w:val="en-US" w:eastAsia="zh-CN"/>
                    </w:rPr>
                    <w:t>是</w:t>
                  </w:r>
                </w:p>
              </w:tc>
              <w:tc>
                <w:tcPr>
                  <w:tcW w:w="272" w:type="pct"/>
                  <w:shd w:val="clear" w:color="auto" w:fill="auto"/>
                  <w:vAlign w:val="center"/>
                </w:tcPr>
                <w:p>
                  <w:pPr>
                    <w:pStyle w:val="68"/>
                    <w:rPr>
                      <w:color w:val="auto"/>
                      <w:lang w:eastAsia="zh-CN"/>
                    </w:rPr>
                  </w:pPr>
                  <w:r>
                    <w:rPr>
                      <w:rFonts w:hint="eastAsia"/>
                      <w:color w:val="auto"/>
                      <w:lang w:eastAsia="zh-CN"/>
                    </w:rPr>
                    <w:t>/</w:t>
                  </w:r>
                </w:p>
              </w:tc>
              <w:tc>
                <w:tcPr>
                  <w:tcW w:w="263" w:type="pct"/>
                  <w:shd w:val="clear" w:color="auto" w:fill="auto"/>
                  <w:vAlign w:val="center"/>
                </w:tcPr>
                <w:p>
                  <w:pPr>
                    <w:pStyle w:val="68"/>
                    <w:rPr>
                      <w:color w:val="auto"/>
                      <w:lang w:val="en-US" w:eastAsia="zh-CN"/>
                    </w:rPr>
                  </w:pPr>
                  <w:r>
                    <w:rPr>
                      <w:rFonts w:hint="eastAsia"/>
                      <w:color w:val="auto"/>
                      <w:lang w:val="en-US" w:eastAsia="zh-CN"/>
                    </w:rPr>
                    <w:t>/</w:t>
                  </w:r>
                </w:p>
              </w:tc>
              <w:tc>
                <w:tcPr>
                  <w:tcW w:w="356" w:type="pct"/>
                  <w:shd w:val="clear" w:color="auto" w:fill="auto"/>
                  <w:vAlign w:val="center"/>
                </w:tcPr>
                <w:p>
                  <w:pPr>
                    <w:pStyle w:val="68"/>
                    <w:rPr>
                      <w:color w:val="auto"/>
                      <w:lang w:val="en-US" w:eastAsia="zh-CN"/>
                    </w:rPr>
                  </w:pPr>
                  <w:r>
                    <w:rPr>
                      <w:color w:val="auto"/>
                      <w:lang w:val="en-US" w:eastAsia="zh-CN"/>
                    </w:rPr>
                    <w:t>476</w:t>
                  </w:r>
                  <w:r>
                    <w:rPr>
                      <w:rFonts w:hint="eastAsia"/>
                      <w:color w:val="auto"/>
                      <w:lang w:val="en-US" w:eastAsia="zh-CN"/>
                    </w:rPr>
                    <w:t>（无量纲）</w:t>
                  </w:r>
                </w:p>
              </w:tc>
              <w:tc>
                <w:tcPr>
                  <w:tcW w:w="285" w:type="pct"/>
                  <w:vMerge w:val="continue"/>
                  <w:shd w:val="clear" w:color="auto" w:fill="auto"/>
                  <w:vAlign w:val="center"/>
                </w:tcPr>
                <w:p>
                  <w:pPr>
                    <w:pStyle w:val="68"/>
                    <w:rPr>
                      <w:color w:val="auto"/>
                    </w:rPr>
                  </w:pPr>
                </w:p>
              </w:tc>
              <w:tc>
                <w:tcPr>
                  <w:tcW w:w="282" w:type="pct"/>
                  <w:vMerge w:val="continue"/>
                  <w:shd w:val="clear" w:color="auto" w:fill="auto"/>
                  <w:vAlign w:val="center"/>
                </w:tcPr>
                <w:p>
                  <w:pPr>
                    <w:pStyle w:val="68"/>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6" w:type="pct"/>
                  <w:vMerge w:val="restart"/>
                  <w:shd w:val="clear" w:color="auto" w:fill="auto"/>
                  <w:vAlign w:val="center"/>
                </w:tcPr>
                <w:p>
                  <w:pPr>
                    <w:pStyle w:val="68"/>
                    <w:rPr>
                      <w:color w:val="auto"/>
                      <w:highlight w:val="none"/>
                      <w:lang w:eastAsia="zh-CN"/>
                    </w:rPr>
                  </w:pPr>
                  <w:r>
                    <w:rPr>
                      <w:rFonts w:hint="eastAsia"/>
                      <w:color w:val="auto"/>
                      <w:highlight w:val="none"/>
                      <w:lang w:eastAsia="zh-CN"/>
                    </w:rPr>
                    <w:t>生物质锅炉</w:t>
                  </w:r>
                </w:p>
              </w:tc>
              <w:tc>
                <w:tcPr>
                  <w:tcW w:w="420" w:type="pct"/>
                  <w:shd w:val="clear" w:color="auto" w:fill="auto"/>
                  <w:vAlign w:val="center"/>
                </w:tcPr>
                <w:p>
                  <w:pPr>
                    <w:pStyle w:val="68"/>
                    <w:rPr>
                      <w:color w:val="auto"/>
                      <w:highlight w:val="none"/>
                    </w:rPr>
                  </w:pPr>
                  <w:r>
                    <w:rPr>
                      <w:rFonts w:hint="eastAsia"/>
                      <w:color w:val="auto"/>
                      <w:highlight w:val="none"/>
                      <w:lang w:eastAsia="zh-CN"/>
                    </w:rPr>
                    <w:t>颗粒物</w:t>
                  </w:r>
                </w:p>
              </w:tc>
              <w:tc>
                <w:tcPr>
                  <w:tcW w:w="368"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0.49</w:t>
                  </w:r>
                </w:p>
              </w:tc>
              <w:tc>
                <w:tcPr>
                  <w:tcW w:w="370"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0.204</w:t>
                  </w:r>
                </w:p>
              </w:tc>
              <w:tc>
                <w:tcPr>
                  <w:tcW w:w="371" w:type="pct"/>
                  <w:shd w:val="clear" w:color="auto" w:fill="auto"/>
                  <w:vAlign w:val="center"/>
                </w:tcPr>
                <w:p>
                  <w:pPr>
                    <w:pStyle w:val="68"/>
                    <w:ind w:firstLine="0" w:firstLineChars="0"/>
                    <w:rPr>
                      <w:color w:val="auto"/>
                      <w:highlight w:val="green"/>
                      <w:lang w:eastAsia="zh-CN"/>
                    </w:rPr>
                  </w:pPr>
                  <w:r>
                    <w:rPr>
                      <w:rFonts w:hint="eastAsia"/>
                      <w:color w:val="auto"/>
                      <w:lang w:val="en-US" w:eastAsia="zh-CN"/>
                    </w:rPr>
                    <w:t>80.063</w:t>
                  </w:r>
                </w:p>
              </w:tc>
              <w:tc>
                <w:tcPr>
                  <w:tcW w:w="368" w:type="pct"/>
                  <w:vMerge w:val="continue"/>
                  <w:shd w:val="clear" w:color="auto" w:fill="auto"/>
                  <w:vAlign w:val="center"/>
                </w:tcPr>
                <w:p>
                  <w:pPr>
                    <w:pStyle w:val="68"/>
                    <w:rPr>
                      <w:color w:val="auto"/>
                      <w:highlight w:val="green"/>
                      <w:lang w:val="en-US"/>
                    </w:rPr>
                  </w:pPr>
                </w:p>
              </w:tc>
              <w:tc>
                <w:tcPr>
                  <w:tcW w:w="537" w:type="pct"/>
                  <w:vMerge w:val="restart"/>
                  <w:shd w:val="clear" w:color="auto" w:fill="auto"/>
                  <w:vAlign w:val="center"/>
                </w:tcPr>
                <w:p>
                  <w:pPr>
                    <w:pStyle w:val="68"/>
                    <w:rPr>
                      <w:color w:val="auto"/>
                      <w:highlight w:val="none"/>
                      <w:lang w:eastAsia="zh-CN"/>
                    </w:rPr>
                  </w:pPr>
                  <w:r>
                    <w:rPr>
                      <w:rFonts w:hint="eastAsia"/>
                      <w:color w:val="auto"/>
                      <w:highlight w:val="none"/>
                      <w:lang w:val="en-US" w:eastAsia="zh-CN"/>
                    </w:rPr>
                    <w:t>布袋除尘器</w:t>
                  </w:r>
                </w:p>
              </w:tc>
              <w:tc>
                <w:tcPr>
                  <w:tcW w:w="310" w:type="pct"/>
                  <w:shd w:val="clear" w:color="auto" w:fill="auto"/>
                  <w:vAlign w:val="center"/>
                </w:tcPr>
                <w:p>
                  <w:pPr>
                    <w:pStyle w:val="68"/>
                    <w:rPr>
                      <w:color w:val="auto"/>
                      <w:highlight w:val="none"/>
                      <w:lang w:val="en-US" w:eastAsia="zh-CN"/>
                    </w:rPr>
                  </w:pPr>
                  <w:r>
                    <w:rPr>
                      <w:rFonts w:hint="eastAsia"/>
                      <w:color w:val="auto"/>
                      <w:highlight w:val="none"/>
                      <w:lang w:val="en-US" w:eastAsia="zh-CN"/>
                    </w:rPr>
                    <w:t>99.7</w:t>
                  </w:r>
                  <w:r>
                    <w:rPr>
                      <w:color w:val="auto"/>
                      <w:highlight w:val="none"/>
                      <w:lang w:val="en-US" w:eastAsia="zh-CN"/>
                    </w:rPr>
                    <w:t>%</w:t>
                  </w:r>
                </w:p>
              </w:tc>
              <w:tc>
                <w:tcPr>
                  <w:tcW w:w="359" w:type="pct"/>
                  <w:shd w:val="clear" w:color="auto" w:fill="auto"/>
                  <w:vAlign w:val="center"/>
                </w:tcPr>
                <w:p>
                  <w:pPr>
                    <w:pStyle w:val="68"/>
                    <w:rPr>
                      <w:color w:val="auto"/>
                      <w:highlight w:val="none"/>
                      <w:lang w:val="en-US"/>
                    </w:rPr>
                  </w:pPr>
                  <w:r>
                    <w:rPr>
                      <w:rFonts w:hint="eastAsia"/>
                      <w:color w:val="auto"/>
                      <w:highlight w:val="none"/>
                      <w:lang w:val="en-US" w:eastAsia="zh-CN"/>
                    </w:rPr>
                    <w:t>是</w:t>
                  </w:r>
                </w:p>
              </w:tc>
              <w:tc>
                <w:tcPr>
                  <w:tcW w:w="272" w:type="pct"/>
                  <w:shd w:val="clear" w:color="auto" w:fill="auto"/>
                  <w:vAlign w:val="center"/>
                </w:tcPr>
                <w:p>
                  <w:pPr>
                    <w:pStyle w:val="68"/>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0.001</w:t>
                  </w:r>
                </w:p>
              </w:tc>
              <w:tc>
                <w:tcPr>
                  <w:tcW w:w="263" w:type="pct"/>
                  <w:shd w:val="clear" w:color="auto" w:fill="auto"/>
                  <w:vAlign w:val="center"/>
                </w:tcPr>
                <w:p>
                  <w:pPr>
                    <w:pStyle w:val="68"/>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0.001</w:t>
                  </w:r>
                </w:p>
              </w:tc>
              <w:tc>
                <w:tcPr>
                  <w:tcW w:w="356" w:type="pct"/>
                  <w:shd w:val="clear" w:color="auto" w:fill="auto"/>
                  <w:vAlign w:val="center"/>
                </w:tcPr>
                <w:p>
                  <w:pPr>
                    <w:pStyle w:val="68"/>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0.24</w:t>
                  </w:r>
                </w:p>
              </w:tc>
              <w:tc>
                <w:tcPr>
                  <w:tcW w:w="285" w:type="pct"/>
                  <w:vMerge w:val="restart"/>
                  <w:shd w:val="clear" w:color="auto" w:fill="auto"/>
                  <w:vAlign w:val="center"/>
                </w:tcPr>
                <w:p>
                  <w:pPr>
                    <w:pStyle w:val="68"/>
                    <w:rPr>
                      <w:color w:val="auto"/>
                    </w:rPr>
                  </w:pPr>
                  <w:r>
                    <w:rPr>
                      <w:rFonts w:hint="eastAsia"/>
                      <w:color w:val="auto"/>
                    </w:rPr>
                    <w:t>D</w:t>
                  </w:r>
                  <w:r>
                    <w:rPr>
                      <w:color w:val="auto"/>
                    </w:rPr>
                    <w:t>A002</w:t>
                  </w:r>
                </w:p>
              </w:tc>
              <w:tc>
                <w:tcPr>
                  <w:tcW w:w="282" w:type="pct"/>
                  <w:vMerge w:val="restart"/>
                  <w:shd w:val="clear" w:color="auto" w:fill="auto"/>
                  <w:vAlign w:val="center"/>
                </w:tcPr>
                <w:p>
                  <w:pPr>
                    <w:pStyle w:val="68"/>
                    <w:rPr>
                      <w:rFonts w:hint="default"/>
                      <w:color w:val="auto"/>
                      <w:lang w:val="en-US" w:eastAsia="zh-CN"/>
                    </w:rPr>
                  </w:pPr>
                  <w:r>
                    <w:rPr>
                      <w:rFonts w:hint="eastAsia"/>
                      <w:color w:val="auto"/>
                      <w:lang w:val="en-US" w:eastAsia="zh-CN"/>
                    </w:rPr>
                    <w:t>611.52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6" w:type="pct"/>
                  <w:vMerge w:val="continue"/>
                  <w:shd w:val="clear" w:color="auto" w:fill="auto"/>
                  <w:vAlign w:val="center"/>
                </w:tcPr>
                <w:p>
                  <w:pPr>
                    <w:pStyle w:val="68"/>
                    <w:rPr>
                      <w:color w:val="auto"/>
                      <w:highlight w:val="none"/>
                    </w:rPr>
                  </w:pPr>
                </w:p>
              </w:tc>
              <w:tc>
                <w:tcPr>
                  <w:tcW w:w="420" w:type="pct"/>
                  <w:shd w:val="clear" w:color="auto" w:fill="auto"/>
                  <w:vAlign w:val="center"/>
                </w:tcPr>
                <w:p>
                  <w:pPr>
                    <w:pStyle w:val="68"/>
                    <w:rPr>
                      <w:color w:val="auto"/>
                      <w:highlight w:val="none"/>
                    </w:rPr>
                  </w:pPr>
                  <w:r>
                    <w:rPr>
                      <w:rFonts w:hint="eastAsia"/>
                      <w:color w:val="auto"/>
                      <w:highlight w:val="none"/>
                      <w:lang w:eastAsia="zh-CN"/>
                    </w:rPr>
                    <w:t>二氧化硫</w:t>
                  </w:r>
                </w:p>
              </w:tc>
              <w:tc>
                <w:tcPr>
                  <w:tcW w:w="368"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0.55</w:t>
                  </w:r>
                </w:p>
              </w:tc>
              <w:tc>
                <w:tcPr>
                  <w:tcW w:w="370"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0.229</w:t>
                  </w:r>
                </w:p>
              </w:tc>
              <w:tc>
                <w:tcPr>
                  <w:tcW w:w="371" w:type="pct"/>
                  <w:shd w:val="clear" w:color="auto" w:fill="auto"/>
                  <w:vAlign w:val="center"/>
                </w:tcPr>
                <w:p>
                  <w:pPr>
                    <w:pStyle w:val="68"/>
                    <w:ind w:firstLine="0" w:firstLineChars="0"/>
                    <w:rPr>
                      <w:color w:val="auto"/>
                      <w:highlight w:val="green"/>
                      <w:lang w:eastAsia="zh-CN"/>
                    </w:rPr>
                  </w:pPr>
                  <w:r>
                    <w:rPr>
                      <w:rFonts w:hint="eastAsia"/>
                      <w:color w:val="auto"/>
                      <w:lang w:val="en-US" w:eastAsia="zh-CN"/>
                    </w:rPr>
                    <w:t>89.874</w:t>
                  </w:r>
                </w:p>
              </w:tc>
              <w:tc>
                <w:tcPr>
                  <w:tcW w:w="368" w:type="pct"/>
                  <w:vMerge w:val="continue"/>
                  <w:shd w:val="clear" w:color="auto" w:fill="auto"/>
                  <w:vAlign w:val="center"/>
                </w:tcPr>
                <w:p>
                  <w:pPr>
                    <w:pStyle w:val="68"/>
                    <w:rPr>
                      <w:color w:val="auto"/>
                      <w:highlight w:val="green"/>
                      <w:lang w:val="en-US"/>
                    </w:rPr>
                  </w:pPr>
                </w:p>
              </w:tc>
              <w:tc>
                <w:tcPr>
                  <w:tcW w:w="537" w:type="pct"/>
                  <w:vMerge w:val="continue"/>
                  <w:shd w:val="clear" w:color="auto" w:fill="auto"/>
                  <w:vAlign w:val="center"/>
                </w:tcPr>
                <w:p>
                  <w:pPr>
                    <w:pStyle w:val="68"/>
                    <w:rPr>
                      <w:color w:val="auto"/>
                      <w:highlight w:val="none"/>
                      <w:lang w:eastAsia="zh-CN"/>
                    </w:rPr>
                  </w:pPr>
                </w:p>
              </w:tc>
              <w:tc>
                <w:tcPr>
                  <w:tcW w:w="310" w:type="pct"/>
                  <w:shd w:val="clear" w:color="auto" w:fill="auto"/>
                  <w:vAlign w:val="center"/>
                </w:tcPr>
                <w:p>
                  <w:pPr>
                    <w:pStyle w:val="68"/>
                    <w:rPr>
                      <w:color w:val="auto"/>
                      <w:highlight w:val="none"/>
                      <w:lang w:val="en-US" w:eastAsia="zh-CN"/>
                    </w:rPr>
                  </w:pPr>
                  <w:r>
                    <w:rPr>
                      <w:rFonts w:hint="eastAsia"/>
                      <w:color w:val="auto"/>
                      <w:highlight w:val="none"/>
                      <w:lang w:val="en-US" w:eastAsia="zh-CN"/>
                    </w:rPr>
                    <w:t>/</w:t>
                  </w:r>
                </w:p>
              </w:tc>
              <w:tc>
                <w:tcPr>
                  <w:tcW w:w="359" w:type="pct"/>
                  <w:shd w:val="clear" w:color="auto" w:fill="auto"/>
                  <w:vAlign w:val="center"/>
                </w:tcPr>
                <w:p>
                  <w:pPr>
                    <w:pStyle w:val="68"/>
                    <w:rPr>
                      <w:color w:val="auto"/>
                      <w:highlight w:val="none"/>
                      <w:lang w:val="en-US" w:eastAsia="zh-CN"/>
                    </w:rPr>
                  </w:pPr>
                  <w:r>
                    <w:rPr>
                      <w:rFonts w:hint="eastAsia"/>
                      <w:color w:val="auto"/>
                      <w:highlight w:val="none"/>
                      <w:lang w:val="en-US" w:eastAsia="zh-CN"/>
                    </w:rPr>
                    <w:t>/</w:t>
                  </w:r>
                </w:p>
              </w:tc>
              <w:tc>
                <w:tcPr>
                  <w:tcW w:w="272" w:type="pct"/>
                  <w:shd w:val="clear" w:color="auto" w:fill="auto"/>
                  <w:vAlign w:val="center"/>
                </w:tcPr>
                <w:p>
                  <w:pPr>
                    <w:pStyle w:val="68"/>
                    <w:ind w:firstLine="0" w:firstLineChars="0"/>
                    <w:jc w:val="center"/>
                    <w:rPr>
                      <w:color w:val="auto"/>
                      <w:highlight w:val="none"/>
                      <w:lang w:eastAsia="zh-CN"/>
                    </w:rPr>
                  </w:pPr>
                  <w:r>
                    <w:rPr>
                      <w:rFonts w:hint="default"/>
                      <w:color w:val="auto"/>
                      <w:lang w:val="en-US" w:eastAsia="zh-CN"/>
                    </w:rPr>
                    <w:t>0.55</w:t>
                  </w:r>
                </w:p>
              </w:tc>
              <w:tc>
                <w:tcPr>
                  <w:tcW w:w="263" w:type="pct"/>
                  <w:shd w:val="clear" w:color="auto" w:fill="auto"/>
                  <w:vAlign w:val="center"/>
                </w:tcPr>
                <w:p>
                  <w:pPr>
                    <w:pStyle w:val="68"/>
                    <w:ind w:firstLine="0" w:firstLineChars="0"/>
                    <w:jc w:val="center"/>
                    <w:rPr>
                      <w:color w:val="auto"/>
                      <w:highlight w:val="none"/>
                      <w:lang w:val="en-US" w:eastAsia="zh-CN"/>
                    </w:rPr>
                  </w:pPr>
                  <w:r>
                    <w:rPr>
                      <w:rFonts w:hint="default"/>
                      <w:color w:val="auto"/>
                      <w:lang w:val="en-US" w:eastAsia="zh-CN"/>
                    </w:rPr>
                    <w:t>0.229</w:t>
                  </w:r>
                </w:p>
              </w:tc>
              <w:tc>
                <w:tcPr>
                  <w:tcW w:w="356" w:type="pct"/>
                  <w:shd w:val="clear" w:color="auto" w:fill="auto"/>
                  <w:vAlign w:val="center"/>
                </w:tcPr>
                <w:p>
                  <w:pPr>
                    <w:pStyle w:val="68"/>
                    <w:ind w:firstLine="0" w:firstLineChars="0"/>
                    <w:jc w:val="center"/>
                    <w:rPr>
                      <w:color w:val="auto"/>
                      <w:highlight w:val="none"/>
                      <w:lang w:val="en-US" w:eastAsia="zh-CN"/>
                    </w:rPr>
                  </w:pPr>
                  <w:r>
                    <w:rPr>
                      <w:rFonts w:hint="default"/>
                      <w:color w:val="auto"/>
                      <w:lang w:val="en-US" w:eastAsia="zh-CN"/>
                    </w:rPr>
                    <w:t>89.874</w:t>
                  </w:r>
                </w:p>
              </w:tc>
              <w:tc>
                <w:tcPr>
                  <w:tcW w:w="285" w:type="pct"/>
                  <w:vMerge w:val="continue"/>
                  <w:shd w:val="clear" w:color="auto" w:fill="auto"/>
                  <w:vAlign w:val="center"/>
                </w:tcPr>
                <w:p>
                  <w:pPr>
                    <w:pStyle w:val="68"/>
                    <w:rPr>
                      <w:color w:val="auto"/>
                    </w:rPr>
                  </w:pPr>
                </w:p>
              </w:tc>
              <w:tc>
                <w:tcPr>
                  <w:tcW w:w="282" w:type="pct"/>
                  <w:vMerge w:val="continue"/>
                  <w:shd w:val="clear" w:color="auto" w:fill="auto"/>
                  <w:vAlign w:val="center"/>
                </w:tcPr>
                <w:p>
                  <w:pPr>
                    <w:pStyle w:val="68"/>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6" w:type="pct"/>
                  <w:vMerge w:val="continue"/>
                  <w:shd w:val="clear" w:color="auto" w:fill="auto"/>
                  <w:vAlign w:val="center"/>
                </w:tcPr>
                <w:p>
                  <w:pPr>
                    <w:pStyle w:val="68"/>
                    <w:rPr>
                      <w:color w:val="auto"/>
                      <w:highlight w:val="none"/>
                    </w:rPr>
                  </w:pPr>
                </w:p>
              </w:tc>
              <w:tc>
                <w:tcPr>
                  <w:tcW w:w="420" w:type="pct"/>
                  <w:shd w:val="clear" w:color="auto" w:fill="auto"/>
                  <w:vAlign w:val="center"/>
                </w:tcPr>
                <w:p>
                  <w:pPr>
                    <w:pStyle w:val="68"/>
                    <w:rPr>
                      <w:color w:val="auto"/>
                      <w:highlight w:val="none"/>
                    </w:rPr>
                  </w:pPr>
                  <w:r>
                    <w:rPr>
                      <w:rFonts w:hint="eastAsia"/>
                      <w:color w:val="auto"/>
                      <w:highlight w:val="none"/>
                      <w:lang w:eastAsia="zh-CN"/>
                    </w:rPr>
                    <w:t>氮氧化物</w:t>
                  </w:r>
                </w:p>
              </w:tc>
              <w:tc>
                <w:tcPr>
                  <w:tcW w:w="368"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1.00</w:t>
                  </w:r>
                </w:p>
              </w:tc>
              <w:tc>
                <w:tcPr>
                  <w:tcW w:w="370" w:type="pct"/>
                  <w:shd w:val="clear" w:color="auto" w:fill="auto"/>
                  <w:vAlign w:val="center"/>
                </w:tcPr>
                <w:p>
                  <w:pPr>
                    <w:pStyle w:val="68"/>
                    <w:ind w:firstLine="0" w:firstLineChars="0"/>
                    <w:rPr>
                      <w:color w:val="auto"/>
                      <w:highlight w:val="green"/>
                      <w:lang w:val="en-US" w:eastAsia="zh-CN"/>
                    </w:rPr>
                  </w:pPr>
                  <w:r>
                    <w:rPr>
                      <w:rFonts w:hint="eastAsia"/>
                      <w:color w:val="auto"/>
                      <w:lang w:val="en-US" w:eastAsia="zh-CN"/>
                    </w:rPr>
                    <w:t>0.417</w:t>
                  </w:r>
                </w:p>
              </w:tc>
              <w:tc>
                <w:tcPr>
                  <w:tcW w:w="371" w:type="pct"/>
                  <w:shd w:val="clear" w:color="auto" w:fill="auto"/>
                  <w:vAlign w:val="center"/>
                </w:tcPr>
                <w:p>
                  <w:pPr>
                    <w:pStyle w:val="68"/>
                    <w:ind w:firstLine="0" w:firstLineChars="0"/>
                    <w:rPr>
                      <w:color w:val="auto"/>
                      <w:highlight w:val="green"/>
                      <w:lang w:eastAsia="zh-CN"/>
                    </w:rPr>
                  </w:pPr>
                  <w:r>
                    <w:rPr>
                      <w:rFonts w:hint="eastAsia"/>
                      <w:color w:val="auto"/>
                      <w:lang w:val="en-US" w:eastAsia="zh-CN"/>
                    </w:rPr>
                    <w:t>163.658</w:t>
                  </w:r>
                </w:p>
              </w:tc>
              <w:tc>
                <w:tcPr>
                  <w:tcW w:w="368" w:type="pct"/>
                  <w:vMerge w:val="continue"/>
                  <w:shd w:val="clear" w:color="auto" w:fill="auto"/>
                  <w:vAlign w:val="center"/>
                </w:tcPr>
                <w:p>
                  <w:pPr>
                    <w:pStyle w:val="68"/>
                    <w:rPr>
                      <w:color w:val="auto"/>
                      <w:highlight w:val="green"/>
                      <w:lang w:val="en-US"/>
                    </w:rPr>
                  </w:pPr>
                </w:p>
              </w:tc>
              <w:tc>
                <w:tcPr>
                  <w:tcW w:w="537" w:type="pct"/>
                  <w:shd w:val="clear" w:color="auto" w:fill="auto"/>
                  <w:vAlign w:val="center"/>
                </w:tcPr>
                <w:p>
                  <w:pPr>
                    <w:pStyle w:val="68"/>
                    <w:rPr>
                      <w:color w:val="auto"/>
                      <w:highlight w:val="none"/>
                      <w:lang w:eastAsia="zh-CN"/>
                    </w:rPr>
                  </w:pPr>
                  <w:r>
                    <w:rPr>
                      <w:rFonts w:hint="eastAsia"/>
                      <w:color w:val="auto"/>
                      <w:highlight w:val="none"/>
                      <w:lang w:eastAsia="zh-CN"/>
                    </w:rPr>
                    <w:t>低氮燃烧器</w:t>
                  </w:r>
                </w:p>
              </w:tc>
              <w:tc>
                <w:tcPr>
                  <w:tcW w:w="310" w:type="pct"/>
                  <w:shd w:val="clear" w:color="auto" w:fill="auto"/>
                  <w:vAlign w:val="center"/>
                </w:tcPr>
                <w:p>
                  <w:pPr>
                    <w:pStyle w:val="68"/>
                    <w:rPr>
                      <w:color w:val="auto"/>
                      <w:highlight w:val="none"/>
                      <w:lang w:val="en-US" w:eastAsia="zh-CN"/>
                    </w:rPr>
                  </w:pPr>
                  <w:r>
                    <w:rPr>
                      <w:color w:val="auto"/>
                      <w:highlight w:val="none"/>
                      <w:lang w:val="en-US" w:eastAsia="zh-CN"/>
                    </w:rPr>
                    <w:t>30%</w:t>
                  </w:r>
                </w:p>
              </w:tc>
              <w:tc>
                <w:tcPr>
                  <w:tcW w:w="359" w:type="pct"/>
                  <w:shd w:val="clear" w:color="auto" w:fill="auto"/>
                  <w:vAlign w:val="center"/>
                </w:tcPr>
                <w:p>
                  <w:pPr>
                    <w:pStyle w:val="68"/>
                    <w:rPr>
                      <w:color w:val="auto"/>
                      <w:highlight w:val="none"/>
                      <w:lang w:val="en-US" w:eastAsia="zh-CN"/>
                    </w:rPr>
                  </w:pPr>
                  <w:r>
                    <w:rPr>
                      <w:rFonts w:hint="eastAsia"/>
                      <w:color w:val="auto"/>
                      <w:highlight w:val="none"/>
                      <w:lang w:val="en-US" w:eastAsia="zh-CN"/>
                    </w:rPr>
                    <w:t>是</w:t>
                  </w:r>
                </w:p>
              </w:tc>
              <w:tc>
                <w:tcPr>
                  <w:tcW w:w="272" w:type="pct"/>
                  <w:shd w:val="clear" w:color="auto" w:fill="auto"/>
                  <w:vAlign w:val="center"/>
                </w:tcPr>
                <w:p>
                  <w:pPr>
                    <w:pStyle w:val="68"/>
                    <w:ind w:firstLine="0" w:firstLineChars="0"/>
                    <w:jc w:val="center"/>
                    <w:rPr>
                      <w:color w:val="auto"/>
                      <w:highlight w:val="none"/>
                    </w:rPr>
                  </w:pPr>
                  <w:r>
                    <w:rPr>
                      <w:rFonts w:hint="eastAsia"/>
                      <w:color w:val="auto"/>
                      <w:lang w:val="en-US" w:eastAsia="zh-CN"/>
                    </w:rPr>
                    <w:t>0.700</w:t>
                  </w:r>
                </w:p>
              </w:tc>
              <w:tc>
                <w:tcPr>
                  <w:tcW w:w="263" w:type="pct"/>
                  <w:shd w:val="clear" w:color="auto" w:fill="auto"/>
                  <w:vAlign w:val="center"/>
                </w:tcPr>
                <w:p>
                  <w:pPr>
                    <w:pStyle w:val="68"/>
                    <w:ind w:firstLine="0" w:firstLineChars="0"/>
                    <w:jc w:val="center"/>
                    <w:rPr>
                      <w:color w:val="auto"/>
                      <w:highlight w:val="none"/>
                    </w:rPr>
                  </w:pPr>
                  <w:r>
                    <w:rPr>
                      <w:rFonts w:hint="eastAsia"/>
                      <w:color w:val="auto"/>
                      <w:lang w:val="en-US" w:eastAsia="zh-CN"/>
                    </w:rPr>
                    <w:t>0.292</w:t>
                  </w:r>
                </w:p>
              </w:tc>
              <w:tc>
                <w:tcPr>
                  <w:tcW w:w="356" w:type="pct"/>
                  <w:shd w:val="clear" w:color="auto" w:fill="auto"/>
                  <w:vAlign w:val="center"/>
                </w:tcPr>
                <w:p>
                  <w:pPr>
                    <w:pStyle w:val="68"/>
                    <w:ind w:firstLine="0" w:firstLineChars="0"/>
                    <w:jc w:val="center"/>
                    <w:rPr>
                      <w:color w:val="auto"/>
                      <w:highlight w:val="none"/>
                    </w:rPr>
                  </w:pPr>
                  <w:r>
                    <w:rPr>
                      <w:rFonts w:hint="eastAsia"/>
                      <w:color w:val="auto"/>
                      <w:lang w:val="en-US" w:eastAsia="zh-CN"/>
                    </w:rPr>
                    <w:t>114.561</w:t>
                  </w:r>
                </w:p>
              </w:tc>
              <w:tc>
                <w:tcPr>
                  <w:tcW w:w="285" w:type="pct"/>
                  <w:vMerge w:val="continue"/>
                  <w:shd w:val="clear" w:color="auto" w:fill="auto"/>
                  <w:vAlign w:val="center"/>
                </w:tcPr>
                <w:p>
                  <w:pPr>
                    <w:pStyle w:val="68"/>
                    <w:rPr>
                      <w:color w:val="auto"/>
                    </w:rPr>
                  </w:pPr>
                </w:p>
              </w:tc>
              <w:tc>
                <w:tcPr>
                  <w:tcW w:w="282" w:type="pct"/>
                  <w:vMerge w:val="continue"/>
                  <w:shd w:val="clear" w:color="auto" w:fill="auto"/>
                  <w:vAlign w:val="center"/>
                </w:tcPr>
                <w:p>
                  <w:pPr>
                    <w:pStyle w:val="68"/>
                    <w:rPr>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6" w:type="pct"/>
                  <w:vMerge w:val="restart"/>
                  <w:shd w:val="clear" w:color="auto" w:fill="auto"/>
                  <w:vAlign w:val="center"/>
                </w:tcPr>
                <w:p>
                  <w:pPr>
                    <w:pStyle w:val="68"/>
                    <w:rPr>
                      <w:color w:val="auto"/>
                      <w:lang w:eastAsia="zh-CN"/>
                    </w:rPr>
                  </w:pPr>
                  <w:r>
                    <w:rPr>
                      <w:rFonts w:hint="eastAsia"/>
                      <w:color w:val="auto"/>
                      <w:lang w:eastAsia="zh-CN"/>
                    </w:rPr>
                    <w:t>餐厨垃圾处置车间</w:t>
                  </w:r>
                </w:p>
              </w:tc>
              <w:tc>
                <w:tcPr>
                  <w:tcW w:w="420" w:type="pct"/>
                  <w:shd w:val="clear" w:color="auto" w:fill="auto"/>
                  <w:vAlign w:val="center"/>
                </w:tcPr>
                <w:p>
                  <w:pPr>
                    <w:pStyle w:val="68"/>
                    <w:rPr>
                      <w:color w:val="auto"/>
                      <w:lang w:eastAsia="zh-CN"/>
                    </w:rPr>
                  </w:pPr>
                  <w:r>
                    <w:rPr>
                      <w:rFonts w:hint="eastAsia"/>
                      <w:color w:val="auto"/>
                      <w:lang w:eastAsia="zh-CN"/>
                    </w:rPr>
                    <w:t>氨</w:t>
                  </w:r>
                </w:p>
              </w:tc>
              <w:tc>
                <w:tcPr>
                  <w:tcW w:w="368" w:type="pct"/>
                  <w:shd w:val="clear" w:color="auto" w:fill="auto"/>
                  <w:vAlign w:val="center"/>
                </w:tcPr>
                <w:p>
                  <w:pPr>
                    <w:pStyle w:val="68"/>
                    <w:rPr>
                      <w:color w:val="auto"/>
                      <w:lang w:val="en-US" w:eastAsia="zh-CN"/>
                    </w:rPr>
                  </w:pPr>
                  <w:r>
                    <w:rPr>
                      <w:rFonts w:hint="eastAsia"/>
                      <w:color w:val="auto"/>
                    </w:rPr>
                    <w:t>0</w:t>
                  </w:r>
                  <w:r>
                    <w:rPr>
                      <w:color w:val="auto"/>
                    </w:rPr>
                    <w:t>.022</w:t>
                  </w:r>
                </w:p>
              </w:tc>
              <w:tc>
                <w:tcPr>
                  <w:tcW w:w="370" w:type="pct"/>
                  <w:shd w:val="clear" w:color="auto" w:fill="auto"/>
                  <w:vAlign w:val="center"/>
                </w:tcPr>
                <w:p>
                  <w:pPr>
                    <w:pStyle w:val="68"/>
                    <w:rPr>
                      <w:color w:val="auto"/>
                      <w:lang w:val="en-US" w:eastAsia="zh-CN"/>
                    </w:rPr>
                  </w:pPr>
                  <w:r>
                    <w:rPr>
                      <w:rFonts w:hint="eastAsia"/>
                      <w:color w:val="auto"/>
                    </w:rPr>
                    <w:t>0</w:t>
                  </w:r>
                  <w:r>
                    <w:rPr>
                      <w:color w:val="auto"/>
                    </w:rPr>
                    <w:t>.0031</w:t>
                  </w:r>
                </w:p>
              </w:tc>
              <w:tc>
                <w:tcPr>
                  <w:tcW w:w="371" w:type="pct"/>
                  <w:shd w:val="clear" w:color="auto" w:fill="auto"/>
                  <w:vAlign w:val="center"/>
                </w:tcPr>
                <w:p>
                  <w:pPr>
                    <w:pStyle w:val="68"/>
                    <w:rPr>
                      <w:color w:val="auto"/>
                      <w:lang w:eastAsia="zh-CN"/>
                    </w:rPr>
                  </w:pPr>
                  <w:r>
                    <w:rPr>
                      <w:rFonts w:hint="eastAsia"/>
                      <w:color w:val="auto"/>
                      <w:lang w:eastAsia="zh-CN"/>
                    </w:rPr>
                    <w:t>/</w:t>
                  </w:r>
                </w:p>
              </w:tc>
              <w:tc>
                <w:tcPr>
                  <w:tcW w:w="368" w:type="pct"/>
                  <w:vMerge w:val="restart"/>
                  <w:shd w:val="clear" w:color="auto" w:fill="auto"/>
                  <w:vAlign w:val="center"/>
                </w:tcPr>
                <w:p>
                  <w:pPr>
                    <w:pStyle w:val="68"/>
                    <w:rPr>
                      <w:color w:val="auto"/>
                    </w:rPr>
                  </w:pPr>
                  <w:r>
                    <w:rPr>
                      <w:color w:val="auto"/>
                      <w:lang w:val="en-US"/>
                    </w:rPr>
                    <w:sym w:font="Wingdings 2" w:char="00A3"/>
                  </w:r>
                  <w:r>
                    <w:rPr>
                      <w:color w:val="auto"/>
                    </w:rPr>
                    <w:t>有组织</w:t>
                  </w:r>
                </w:p>
                <w:p>
                  <w:pPr>
                    <w:pStyle w:val="68"/>
                    <w:rPr>
                      <w:color w:val="auto"/>
                      <w:lang w:val="en-US"/>
                    </w:rPr>
                  </w:pPr>
                  <w:r>
                    <w:rPr>
                      <w:color w:val="auto"/>
                      <w:lang w:val="en-US"/>
                    </w:rPr>
                    <w:sym w:font="Wingdings 2" w:char="0052"/>
                  </w:r>
                  <w:r>
                    <w:rPr>
                      <w:color w:val="auto"/>
                      <w:lang w:val="en-US"/>
                    </w:rPr>
                    <w:t>无组织</w:t>
                  </w:r>
                </w:p>
              </w:tc>
              <w:tc>
                <w:tcPr>
                  <w:tcW w:w="537" w:type="pct"/>
                  <w:vMerge w:val="restart"/>
                  <w:shd w:val="clear" w:color="auto" w:fill="auto"/>
                  <w:vAlign w:val="center"/>
                </w:tcPr>
                <w:p>
                  <w:pPr>
                    <w:pStyle w:val="68"/>
                    <w:rPr>
                      <w:color w:val="auto"/>
                      <w:lang w:eastAsia="zh-CN"/>
                    </w:rPr>
                  </w:pPr>
                  <w:r>
                    <w:rPr>
                      <w:rFonts w:hint="eastAsia"/>
                      <w:color w:val="auto"/>
                      <w:lang w:eastAsia="zh-CN"/>
                    </w:rPr>
                    <w:t>/</w:t>
                  </w:r>
                </w:p>
              </w:tc>
              <w:tc>
                <w:tcPr>
                  <w:tcW w:w="310" w:type="pct"/>
                  <w:shd w:val="clear" w:color="auto" w:fill="auto"/>
                  <w:vAlign w:val="center"/>
                </w:tcPr>
                <w:p>
                  <w:pPr>
                    <w:pStyle w:val="68"/>
                    <w:rPr>
                      <w:color w:val="auto"/>
                      <w:lang w:val="en-US" w:eastAsia="zh-CN"/>
                    </w:rPr>
                  </w:pPr>
                  <w:r>
                    <w:rPr>
                      <w:color w:val="auto"/>
                      <w:lang w:val="en-US" w:eastAsia="zh-CN"/>
                    </w:rPr>
                    <w:t>/</w:t>
                  </w:r>
                </w:p>
              </w:tc>
              <w:tc>
                <w:tcPr>
                  <w:tcW w:w="359" w:type="pct"/>
                  <w:shd w:val="clear" w:color="auto" w:fill="auto"/>
                  <w:vAlign w:val="center"/>
                </w:tcPr>
                <w:p>
                  <w:pPr>
                    <w:pStyle w:val="68"/>
                    <w:rPr>
                      <w:color w:val="auto"/>
                      <w:lang w:val="en-US"/>
                    </w:rPr>
                  </w:pPr>
                  <w:r>
                    <w:rPr>
                      <w:color w:val="auto"/>
                      <w:lang w:val="en-US" w:eastAsia="zh-CN"/>
                    </w:rPr>
                    <w:t>/</w:t>
                  </w:r>
                </w:p>
              </w:tc>
              <w:tc>
                <w:tcPr>
                  <w:tcW w:w="272" w:type="pct"/>
                  <w:shd w:val="clear" w:color="auto" w:fill="auto"/>
                  <w:vAlign w:val="center"/>
                </w:tcPr>
                <w:p>
                  <w:pPr>
                    <w:pStyle w:val="68"/>
                    <w:rPr>
                      <w:color w:val="auto"/>
                      <w:lang w:eastAsia="zh-CN"/>
                    </w:rPr>
                  </w:pPr>
                  <w:r>
                    <w:rPr>
                      <w:rFonts w:hint="eastAsia"/>
                      <w:color w:val="auto"/>
                    </w:rPr>
                    <w:t>0</w:t>
                  </w:r>
                  <w:r>
                    <w:rPr>
                      <w:color w:val="auto"/>
                    </w:rPr>
                    <w:t>.022</w:t>
                  </w:r>
                </w:p>
              </w:tc>
              <w:tc>
                <w:tcPr>
                  <w:tcW w:w="263" w:type="pct"/>
                  <w:shd w:val="clear" w:color="auto" w:fill="auto"/>
                  <w:vAlign w:val="center"/>
                </w:tcPr>
                <w:p>
                  <w:pPr>
                    <w:pStyle w:val="68"/>
                    <w:rPr>
                      <w:color w:val="auto"/>
                      <w:lang w:val="en-US" w:eastAsia="zh-CN"/>
                    </w:rPr>
                  </w:pPr>
                  <w:r>
                    <w:rPr>
                      <w:rFonts w:hint="eastAsia"/>
                      <w:color w:val="auto"/>
                    </w:rPr>
                    <w:t>0</w:t>
                  </w:r>
                  <w:r>
                    <w:rPr>
                      <w:color w:val="auto"/>
                    </w:rPr>
                    <w:t>.0031</w:t>
                  </w:r>
                </w:p>
              </w:tc>
              <w:tc>
                <w:tcPr>
                  <w:tcW w:w="356" w:type="pct"/>
                  <w:shd w:val="clear" w:color="auto" w:fill="auto"/>
                  <w:vAlign w:val="center"/>
                </w:tcPr>
                <w:p>
                  <w:pPr>
                    <w:pStyle w:val="68"/>
                    <w:rPr>
                      <w:color w:val="auto"/>
                      <w:lang w:val="en-US" w:eastAsia="zh-CN"/>
                    </w:rPr>
                  </w:pPr>
                  <w:r>
                    <w:rPr>
                      <w:rFonts w:hint="eastAsia"/>
                      <w:color w:val="auto"/>
                      <w:lang w:eastAsia="zh-CN"/>
                    </w:rPr>
                    <w:t>/</w:t>
                  </w:r>
                </w:p>
              </w:tc>
              <w:tc>
                <w:tcPr>
                  <w:tcW w:w="285" w:type="pct"/>
                  <w:shd w:val="clear" w:color="auto" w:fill="auto"/>
                  <w:vAlign w:val="center"/>
                </w:tcPr>
                <w:p>
                  <w:pPr>
                    <w:pStyle w:val="68"/>
                    <w:rPr>
                      <w:color w:val="auto"/>
                      <w:lang w:eastAsia="zh-CN"/>
                    </w:rPr>
                  </w:pPr>
                  <w:r>
                    <w:rPr>
                      <w:rFonts w:hint="eastAsia"/>
                      <w:color w:val="auto"/>
                      <w:lang w:eastAsia="zh-CN"/>
                    </w:rPr>
                    <w:t>/</w:t>
                  </w:r>
                </w:p>
              </w:tc>
              <w:tc>
                <w:tcPr>
                  <w:tcW w:w="282" w:type="pct"/>
                  <w:shd w:val="clear" w:color="auto" w:fill="auto"/>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6" w:type="pct"/>
                  <w:vMerge w:val="continue"/>
                  <w:shd w:val="clear" w:color="auto" w:fill="auto"/>
                  <w:vAlign w:val="center"/>
                </w:tcPr>
                <w:p>
                  <w:pPr>
                    <w:pStyle w:val="68"/>
                    <w:rPr>
                      <w:color w:val="auto"/>
                    </w:rPr>
                  </w:pPr>
                </w:p>
              </w:tc>
              <w:tc>
                <w:tcPr>
                  <w:tcW w:w="420" w:type="pct"/>
                  <w:shd w:val="clear" w:color="auto" w:fill="auto"/>
                  <w:vAlign w:val="center"/>
                </w:tcPr>
                <w:p>
                  <w:pPr>
                    <w:pStyle w:val="68"/>
                    <w:rPr>
                      <w:color w:val="auto"/>
                    </w:rPr>
                  </w:pPr>
                  <w:r>
                    <w:rPr>
                      <w:rFonts w:hint="eastAsia"/>
                      <w:color w:val="auto"/>
                      <w:lang w:eastAsia="zh-CN"/>
                    </w:rPr>
                    <w:t>硫化氢</w:t>
                  </w:r>
                </w:p>
              </w:tc>
              <w:tc>
                <w:tcPr>
                  <w:tcW w:w="368" w:type="pct"/>
                  <w:shd w:val="clear" w:color="auto" w:fill="auto"/>
                  <w:vAlign w:val="center"/>
                </w:tcPr>
                <w:p>
                  <w:pPr>
                    <w:pStyle w:val="68"/>
                    <w:rPr>
                      <w:color w:val="auto"/>
                      <w:lang w:val="en-US" w:eastAsia="zh-CN"/>
                    </w:rPr>
                  </w:pPr>
                  <w:r>
                    <w:rPr>
                      <w:rFonts w:hint="eastAsia"/>
                      <w:color w:val="auto"/>
                    </w:rPr>
                    <w:t>0</w:t>
                  </w:r>
                  <w:r>
                    <w:rPr>
                      <w:color w:val="auto"/>
                    </w:rPr>
                    <w:t>.003</w:t>
                  </w:r>
                </w:p>
              </w:tc>
              <w:tc>
                <w:tcPr>
                  <w:tcW w:w="370" w:type="pct"/>
                  <w:shd w:val="clear" w:color="auto" w:fill="auto"/>
                  <w:vAlign w:val="center"/>
                </w:tcPr>
                <w:p>
                  <w:pPr>
                    <w:pStyle w:val="68"/>
                    <w:rPr>
                      <w:color w:val="auto"/>
                      <w:lang w:val="en-US" w:eastAsia="zh-CN"/>
                    </w:rPr>
                  </w:pPr>
                  <w:r>
                    <w:rPr>
                      <w:rFonts w:hint="eastAsia"/>
                      <w:color w:val="auto"/>
                    </w:rPr>
                    <w:t>0</w:t>
                  </w:r>
                  <w:r>
                    <w:rPr>
                      <w:color w:val="auto"/>
                    </w:rPr>
                    <w:t>.00042</w:t>
                  </w:r>
                </w:p>
              </w:tc>
              <w:tc>
                <w:tcPr>
                  <w:tcW w:w="371" w:type="pct"/>
                  <w:shd w:val="clear" w:color="auto" w:fill="auto"/>
                  <w:vAlign w:val="center"/>
                </w:tcPr>
                <w:p>
                  <w:pPr>
                    <w:pStyle w:val="68"/>
                    <w:rPr>
                      <w:color w:val="auto"/>
                      <w:lang w:eastAsia="zh-CN"/>
                    </w:rPr>
                  </w:pPr>
                  <w:r>
                    <w:rPr>
                      <w:rFonts w:hint="eastAsia"/>
                      <w:color w:val="auto"/>
                    </w:rPr>
                    <w:t>/</w:t>
                  </w:r>
                </w:p>
              </w:tc>
              <w:tc>
                <w:tcPr>
                  <w:tcW w:w="368" w:type="pct"/>
                  <w:vMerge w:val="continue"/>
                  <w:shd w:val="clear" w:color="auto" w:fill="auto"/>
                  <w:vAlign w:val="center"/>
                </w:tcPr>
                <w:p>
                  <w:pPr>
                    <w:pStyle w:val="68"/>
                    <w:rPr>
                      <w:color w:val="auto"/>
                      <w:lang w:val="en-US"/>
                    </w:rPr>
                  </w:pPr>
                </w:p>
              </w:tc>
              <w:tc>
                <w:tcPr>
                  <w:tcW w:w="537" w:type="pct"/>
                  <w:vMerge w:val="continue"/>
                  <w:shd w:val="clear" w:color="auto" w:fill="auto"/>
                  <w:vAlign w:val="center"/>
                </w:tcPr>
                <w:p>
                  <w:pPr>
                    <w:pStyle w:val="68"/>
                    <w:rPr>
                      <w:color w:val="auto"/>
                    </w:rPr>
                  </w:pPr>
                </w:p>
              </w:tc>
              <w:tc>
                <w:tcPr>
                  <w:tcW w:w="310" w:type="pct"/>
                  <w:shd w:val="clear" w:color="auto" w:fill="auto"/>
                  <w:vAlign w:val="center"/>
                </w:tcPr>
                <w:p>
                  <w:pPr>
                    <w:pStyle w:val="68"/>
                    <w:rPr>
                      <w:color w:val="auto"/>
                      <w:lang w:val="en-US" w:eastAsia="zh-CN"/>
                    </w:rPr>
                  </w:pPr>
                  <w:r>
                    <w:rPr>
                      <w:color w:val="auto"/>
                      <w:lang w:val="en-US" w:eastAsia="zh-CN"/>
                    </w:rPr>
                    <w:t>/</w:t>
                  </w:r>
                </w:p>
              </w:tc>
              <w:tc>
                <w:tcPr>
                  <w:tcW w:w="359" w:type="pct"/>
                  <w:shd w:val="clear" w:color="auto" w:fill="auto"/>
                  <w:vAlign w:val="center"/>
                </w:tcPr>
                <w:p>
                  <w:pPr>
                    <w:pStyle w:val="68"/>
                    <w:rPr>
                      <w:color w:val="auto"/>
                      <w:lang w:val="en-US"/>
                    </w:rPr>
                  </w:pPr>
                  <w:r>
                    <w:rPr>
                      <w:color w:val="auto"/>
                      <w:lang w:val="en-US" w:eastAsia="zh-CN"/>
                    </w:rPr>
                    <w:t>/</w:t>
                  </w:r>
                </w:p>
              </w:tc>
              <w:tc>
                <w:tcPr>
                  <w:tcW w:w="272" w:type="pct"/>
                  <w:shd w:val="clear" w:color="auto" w:fill="auto"/>
                  <w:vAlign w:val="center"/>
                </w:tcPr>
                <w:p>
                  <w:pPr>
                    <w:pStyle w:val="68"/>
                    <w:rPr>
                      <w:color w:val="auto"/>
                      <w:lang w:eastAsia="zh-CN"/>
                    </w:rPr>
                  </w:pPr>
                  <w:r>
                    <w:rPr>
                      <w:rFonts w:hint="eastAsia"/>
                      <w:color w:val="auto"/>
                    </w:rPr>
                    <w:t>0</w:t>
                  </w:r>
                  <w:r>
                    <w:rPr>
                      <w:color w:val="auto"/>
                    </w:rPr>
                    <w:t>.003</w:t>
                  </w:r>
                </w:p>
              </w:tc>
              <w:tc>
                <w:tcPr>
                  <w:tcW w:w="263" w:type="pct"/>
                  <w:shd w:val="clear" w:color="auto" w:fill="auto"/>
                  <w:vAlign w:val="center"/>
                </w:tcPr>
                <w:p>
                  <w:pPr>
                    <w:pStyle w:val="68"/>
                    <w:rPr>
                      <w:color w:val="auto"/>
                      <w:lang w:val="en-US" w:eastAsia="zh-CN"/>
                    </w:rPr>
                  </w:pPr>
                  <w:r>
                    <w:rPr>
                      <w:rFonts w:hint="eastAsia"/>
                      <w:color w:val="auto"/>
                    </w:rPr>
                    <w:t>0</w:t>
                  </w:r>
                  <w:r>
                    <w:rPr>
                      <w:color w:val="auto"/>
                    </w:rPr>
                    <w:t>.00042</w:t>
                  </w:r>
                </w:p>
              </w:tc>
              <w:tc>
                <w:tcPr>
                  <w:tcW w:w="356" w:type="pct"/>
                  <w:shd w:val="clear" w:color="auto" w:fill="auto"/>
                  <w:vAlign w:val="center"/>
                </w:tcPr>
                <w:p>
                  <w:pPr>
                    <w:pStyle w:val="68"/>
                    <w:rPr>
                      <w:color w:val="auto"/>
                      <w:lang w:val="en-US" w:eastAsia="zh-CN"/>
                    </w:rPr>
                  </w:pPr>
                  <w:r>
                    <w:rPr>
                      <w:rFonts w:hint="eastAsia"/>
                      <w:color w:val="auto"/>
                    </w:rPr>
                    <w:t>/</w:t>
                  </w:r>
                </w:p>
              </w:tc>
              <w:tc>
                <w:tcPr>
                  <w:tcW w:w="285" w:type="pct"/>
                  <w:shd w:val="clear" w:color="auto" w:fill="auto"/>
                  <w:vAlign w:val="center"/>
                </w:tcPr>
                <w:p>
                  <w:pPr>
                    <w:pStyle w:val="68"/>
                    <w:rPr>
                      <w:color w:val="auto"/>
                      <w:lang w:eastAsia="zh-CN"/>
                    </w:rPr>
                  </w:pPr>
                  <w:r>
                    <w:rPr>
                      <w:rFonts w:hint="eastAsia"/>
                      <w:color w:val="auto"/>
                      <w:lang w:eastAsia="zh-CN"/>
                    </w:rPr>
                    <w:t>/</w:t>
                  </w:r>
                </w:p>
              </w:tc>
              <w:tc>
                <w:tcPr>
                  <w:tcW w:w="282" w:type="pct"/>
                  <w:shd w:val="clear" w:color="auto" w:fill="auto"/>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436" w:type="pct"/>
                  <w:vMerge w:val="continue"/>
                  <w:shd w:val="clear" w:color="auto" w:fill="auto"/>
                  <w:vAlign w:val="center"/>
                </w:tcPr>
                <w:p>
                  <w:pPr>
                    <w:pStyle w:val="68"/>
                    <w:rPr>
                      <w:color w:val="auto"/>
                      <w:lang w:eastAsia="zh-CN"/>
                    </w:rPr>
                  </w:pPr>
                </w:p>
              </w:tc>
              <w:tc>
                <w:tcPr>
                  <w:tcW w:w="420" w:type="pct"/>
                  <w:shd w:val="clear" w:color="auto" w:fill="auto"/>
                  <w:vAlign w:val="center"/>
                </w:tcPr>
                <w:p>
                  <w:pPr>
                    <w:pStyle w:val="68"/>
                    <w:rPr>
                      <w:color w:val="auto"/>
                      <w:lang w:val="en-US"/>
                    </w:rPr>
                  </w:pPr>
                  <w:r>
                    <w:rPr>
                      <w:rFonts w:hint="eastAsia"/>
                      <w:color w:val="auto"/>
                      <w:lang w:eastAsia="zh-CN"/>
                    </w:rPr>
                    <w:t>臭气浓度</w:t>
                  </w:r>
                </w:p>
              </w:tc>
              <w:tc>
                <w:tcPr>
                  <w:tcW w:w="368" w:type="pct"/>
                  <w:shd w:val="clear" w:color="auto" w:fill="auto"/>
                  <w:vAlign w:val="center"/>
                </w:tcPr>
                <w:p>
                  <w:pPr>
                    <w:pStyle w:val="68"/>
                    <w:rPr>
                      <w:color w:val="auto"/>
                      <w:lang w:val="en-US"/>
                    </w:rPr>
                  </w:pPr>
                  <w:r>
                    <w:rPr>
                      <w:rFonts w:hint="eastAsia"/>
                      <w:color w:val="auto"/>
                    </w:rPr>
                    <w:t>/</w:t>
                  </w:r>
                </w:p>
              </w:tc>
              <w:tc>
                <w:tcPr>
                  <w:tcW w:w="370" w:type="pct"/>
                  <w:shd w:val="clear" w:color="auto" w:fill="auto"/>
                  <w:vAlign w:val="center"/>
                </w:tcPr>
                <w:p>
                  <w:pPr>
                    <w:pStyle w:val="68"/>
                    <w:rPr>
                      <w:color w:val="auto"/>
                      <w:lang w:val="en-US"/>
                    </w:rPr>
                  </w:pPr>
                  <w:r>
                    <w:rPr>
                      <w:rFonts w:hint="eastAsia"/>
                      <w:color w:val="auto"/>
                    </w:rPr>
                    <w:t>/</w:t>
                  </w:r>
                </w:p>
              </w:tc>
              <w:tc>
                <w:tcPr>
                  <w:tcW w:w="371" w:type="pct"/>
                  <w:shd w:val="clear" w:color="auto" w:fill="auto"/>
                  <w:vAlign w:val="center"/>
                </w:tcPr>
                <w:p>
                  <w:pPr>
                    <w:pStyle w:val="68"/>
                    <w:rPr>
                      <w:color w:val="auto"/>
                    </w:rPr>
                  </w:pPr>
                  <w:r>
                    <w:rPr>
                      <w:rFonts w:hint="eastAsia"/>
                      <w:color w:val="auto"/>
                    </w:rPr>
                    <w:t>1</w:t>
                  </w:r>
                  <w:r>
                    <w:rPr>
                      <w:color w:val="auto"/>
                    </w:rPr>
                    <w:t>7</w:t>
                  </w:r>
                  <w:r>
                    <w:rPr>
                      <w:rFonts w:hint="eastAsia"/>
                      <w:color w:val="auto"/>
                    </w:rPr>
                    <w:t>（无量纲）</w:t>
                  </w:r>
                </w:p>
              </w:tc>
              <w:tc>
                <w:tcPr>
                  <w:tcW w:w="368" w:type="pct"/>
                  <w:vMerge w:val="continue"/>
                  <w:shd w:val="clear" w:color="auto" w:fill="auto"/>
                  <w:vAlign w:val="center"/>
                </w:tcPr>
                <w:p>
                  <w:pPr>
                    <w:pStyle w:val="68"/>
                    <w:rPr>
                      <w:color w:val="auto"/>
                    </w:rPr>
                  </w:pPr>
                </w:p>
              </w:tc>
              <w:tc>
                <w:tcPr>
                  <w:tcW w:w="537" w:type="pct"/>
                  <w:vMerge w:val="continue"/>
                  <w:shd w:val="clear" w:color="auto" w:fill="auto"/>
                  <w:vAlign w:val="center"/>
                </w:tcPr>
                <w:p>
                  <w:pPr>
                    <w:pStyle w:val="68"/>
                    <w:rPr>
                      <w:color w:val="auto"/>
                    </w:rPr>
                  </w:pPr>
                </w:p>
              </w:tc>
              <w:tc>
                <w:tcPr>
                  <w:tcW w:w="310" w:type="pct"/>
                  <w:shd w:val="clear" w:color="auto" w:fill="auto"/>
                  <w:vAlign w:val="center"/>
                </w:tcPr>
                <w:p>
                  <w:pPr>
                    <w:pStyle w:val="68"/>
                    <w:rPr>
                      <w:color w:val="auto"/>
                    </w:rPr>
                  </w:pPr>
                  <w:r>
                    <w:rPr>
                      <w:rFonts w:hint="eastAsia"/>
                      <w:color w:val="auto"/>
                    </w:rPr>
                    <w:t>/</w:t>
                  </w:r>
                </w:p>
              </w:tc>
              <w:tc>
                <w:tcPr>
                  <w:tcW w:w="359" w:type="pct"/>
                  <w:shd w:val="clear" w:color="auto" w:fill="auto"/>
                  <w:vAlign w:val="center"/>
                </w:tcPr>
                <w:p>
                  <w:pPr>
                    <w:pStyle w:val="68"/>
                    <w:rPr>
                      <w:color w:val="auto"/>
                      <w:lang w:val="en-US"/>
                    </w:rPr>
                  </w:pPr>
                  <w:r>
                    <w:rPr>
                      <w:rFonts w:hint="eastAsia"/>
                      <w:color w:val="auto"/>
                    </w:rPr>
                    <w:t>/</w:t>
                  </w:r>
                </w:p>
              </w:tc>
              <w:tc>
                <w:tcPr>
                  <w:tcW w:w="272" w:type="pct"/>
                  <w:shd w:val="clear" w:color="auto" w:fill="auto"/>
                  <w:vAlign w:val="center"/>
                </w:tcPr>
                <w:p>
                  <w:pPr>
                    <w:pStyle w:val="68"/>
                    <w:rPr>
                      <w:color w:val="auto"/>
                    </w:rPr>
                  </w:pPr>
                  <w:r>
                    <w:rPr>
                      <w:rFonts w:hint="eastAsia"/>
                      <w:color w:val="auto"/>
                    </w:rPr>
                    <w:t>/</w:t>
                  </w:r>
                </w:p>
              </w:tc>
              <w:tc>
                <w:tcPr>
                  <w:tcW w:w="263" w:type="pct"/>
                  <w:shd w:val="clear" w:color="auto" w:fill="auto"/>
                  <w:vAlign w:val="center"/>
                </w:tcPr>
                <w:p>
                  <w:pPr>
                    <w:pStyle w:val="68"/>
                    <w:rPr>
                      <w:color w:val="auto"/>
                    </w:rPr>
                  </w:pPr>
                  <w:r>
                    <w:rPr>
                      <w:rFonts w:hint="eastAsia"/>
                      <w:color w:val="auto"/>
                    </w:rPr>
                    <w:t>/</w:t>
                  </w:r>
                </w:p>
              </w:tc>
              <w:tc>
                <w:tcPr>
                  <w:tcW w:w="356" w:type="pct"/>
                  <w:shd w:val="clear" w:color="auto" w:fill="auto"/>
                  <w:vAlign w:val="center"/>
                </w:tcPr>
                <w:p>
                  <w:pPr>
                    <w:pStyle w:val="68"/>
                    <w:rPr>
                      <w:color w:val="auto"/>
                    </w:rPr>
                  </w:pPr>
                  <w:r>
                    <w:rPr>
                      <w:rFonts w:hint="eastAsia"/>
                      <w:color w:val="auto"/>
                    </w:rPr>
                    <w:t>1</w:t>
                  </w:r>
                  <w:r>
                    <w:rPr>
                      <w:color w:val="auto"/>
                    </w:rPr>
                    <w:t>7</w:t>
                  </w:r>
                  <w:r>
                    <w:rPr>
                      <w:rFonts w:hint="eastAsia"/>
                      <w:color w:val="auto"/>
                    </w:rPr>
                    <w:t>（无量纲）</w:t>
                  </w:r>
                </w:p>
              </w:tc>
              <w:tc>
                <w:tcPr>
                  <w:tcW w:w="285" w:type="pct"/>
                  <w:shd w:val="clear" w:color="auto" w:fill="auto"/>
                  <w:vAlign w:val="center"/>
                </w:tcPr>
                <w:p>
                  <w:pPr>
                    <w:pStyle w:val="68"/>
                    <w:rPr>
                      <w:color w:val="auto"/>
                    </w:rPr>
                  </w:pPr>
                  <w:r>
                    <w:rPr>
                      <w:rFonts w:hint="eastAsia"/>
                      <w:color w:val="auto"/>
                    </w:rPr>
                    <w:t>/</w:t>
                  </w:r>
                </w:p>
              </w:tc>
              <w:tc>
                <w:tcPr>
                  <w:tcW w:w="282" w:type="pct"/>
                  <w:shd w:val="clear" w:color="auto" w:fill="auto"/>
                  <w:vAlign w:val="center"/>
                </w:tcPr>
                <w:p>
                  <w:pPr>
                    <w:pStyle w:val="68"/>
                    <w:rPr>
                      <w:color w:val="auto"/>
                    </w:rPr>
                  </w:pPr>
                  <w:r>
                    <w:rPr>
                      <w:rFonts w:hint="eastAsia"/>
                      <w:color w:val="auto"/>
                    </w:rPr>
                    <w:t>/</w:t>
                  </w:r>
                </w:p>
              </w:tc>
            </w:tr>
          </w:tbl>
          <w:p>
            <w:pPr>
              <w:pStyle w:val="75"/>
              <w:rPr>
                <w:color w:val="auto"/>
              </w:rPr>
            </w:pPr>
            <w:r>
              <w:rPr>
                <w:color w:val="auto"/>
              </w:rPr>
              <w:t>4.2.1.3废气排放口基本情况</w:t>
            </w:r>
          </w:p>
          <w:p>
            <w:pPr>
              <w:pStyle w:val="71"/>
              <w:rPr>
                <w:color w:val="auto"/>
              </w:rPr>
            </w:pPr>
            <w:r>
              <w:rPr>
                <w:color w:val="auto"/>
              </w:rPr>
              <w:t>表4.2-</w:t>
            </w:r>
            <w:r>
              <w:rPr>
                <w:rFonts w:hint="eastAsia"/>
                <w:color w:val="auto"/>
                <w:lang w:val="en-US" w:eastAsia="zh-CN"/>
              </w:rPr>
              <w:t xml:space="preserve">3 </w:t>
            </w:r>
            <w:r>
              <w:rPr>
                <w:rFonts w:hint="eastAsia"/>
                <w:color w:val="auto"/>
              </w:rPr>
              <w:t xml:space="preserve"> </w:t>
            </w:r>
            <w:r>
              <w:rPr>
                <w:color w:val="auto"/>
              </w:rPr>
              <w:t>项目</w:t>
            </w:r>
            <w:r>
              <w:rPr>
                <w:rFonts w:hint="eastAsia"/>
                <w:color w:val="auto"/>
              </w:rPr>
              <w:t>废气</w:t>
            </w:r>
            <w:r>
              <w:rPr>
                <w:color w:val="auto"/>
              </w:rPr>
              <w:t>排放口基本情况一览表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977"/>
              <w:gridCol w:w="1130"/>
              <w:gridCol w:w="1047"/>
              <w:gridCol w:w="942"/>
              <w:gridCol w:w="848"/>
              <w:gridCol w:w="975"/>
              <w:gridCol w:w="1530"/>
              <w:gridCol w:w="1757"/>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278" w:type="pct"/>
                  <w:vAlign w:val="center"/>
                </w:tcPr>
                <w:p>
                  <w:pPr>
                    <w:pStyle w:val="68"/>
                    <w:rPr>
                      <w:b/>
                      <w:bCs/>
                      <w:color w:val="auto"/>
                    </w:rPr>
                  </w:pPr>
                  <w:r>
                    <w:rPr>
                      <w:b/>
                      <w:bCs/>
                      <w:color w:val="auto"/>
                    </w:rPr>
                    <w:t>编号</w:t>
                  </w:r>
                </w:p>
              </w:tc>
              <w:tc>
                <w:tcPr>
                  <w:tcW w:w="364" w:type="pct"/>
                  <w:vAlign w:val="center"/>
                </w:tcPr>
                <w:p>
                  <w:pPr>
                    <w:pStyle w:val="68"/>
                    <w:rPr>
                      <w:b/>
                      <w:bCs/>
                      <w:color w:val="auto"/>
                    </w:rPr>
                  </w:pPr>
                  <w:r>
                    <w:rPr>
                      <w:b/>
                      <w:bCs/>
                      <w:color w:val="auto"/>
                    </w:rPr>
                    <w:t>名称（工序）</w:t>
                  </w:r>
                </w:p>
              </w:tc>
              <w:tc>
                <w:tcPr>
                  <w:tcW w:w="421" w:type="pct"/>
                  <w:vAlign w:val="center"/>
                </w:tcPr>
                <w:p>
                  <w:pPr>
                    <w:pStyle w:val="68"/>
                    <w:rPr>
                      <w:b/>
                      <w:bCs/>
                      <w:color w:val="auto"/>
                    </w:rPr>
                  </w:pPr>
                  <w:r>
                    <w:rPr>
                      <w:rFonts w:hint="eastAsia"/>
                      <w:b/>
                      <w:bCs/>
                      <w:color w:val="auto"/>
                    </w:rPr>
                    <w:t>废气排放量</w:t>
                  </w:r>
                </w:p>
                <w:p>
                  <w:pPr>
                    <w:pStyle w:val="68"/>
                    <w:rPr>
                      <w:b/>
                      <w:bCs/>
                      <w:color w:val="auto"/>
                    </w:rPr>
                  </w:pPr>
                  <w:r>
                    <w:rPr>
                      <w:rFonts w:hint="eastAsia"/>
                      <w:b/>
                      <w:bCs/>
                      <w:color w:val="auto"/>
                      <w:lang w:eastAsia="zh-CN"/>
                    </w:rPr>
                    <w:t>(</w:t>
                  </w:r>
                  <w:r>
                    <w:rPr>
                      <w:b/>
                      <w:bCs/>
                      <w:color w:val="auto"/>
                    </w:rPr>
                    <w:t>m</w:t>
                  </w:r>
                  <w:r>
                    <w:rPr>
                      <w:b/>
                      <w:bCs/>
                      <w:color w:val="auto"/>
                      <w:vertAlign w:val="superscript"/>
                    </w:rPr>
                    <w:t>3</w:t>
                  </w:r>
                  <w:r>
                    <w:rPr>
                      <w:b/>
                      <w:bCs/>
                      <w:color w:val="auto"/>
                    </w:rPr>
                    <w:t>/</w:t>
                  </w:r>
                  <w:r>
                    <w:rPr>
                      <w:rFonts w:hint="eastAsia"/>
                      <w:b/>
                      <w:bCs/>
                      <w:color w:val="auto"/>
                      <w:lang w:eastAsia="zh-CN"/>
                    </w:rPr>
                    <w:t>a</w:t>
                  </w:r>
                  <w:r>
                    <w:rPr>
                      <w:rFonts w:hint="eastAsia"/>
                      <w:b/>
                      <w:bCs/>
                      <w:color w:val="auto"/>
                      <w:lang w:val="en-US" w:eastAsia="zh-CN"/>
                    </w:rPr>
                    <w:t>)</w:t>
                  </w:r>
                </w:p>
              </w:tc>
              <w:tc>
                <w:tcPr>
                  <w:tcW w:w="390" w:type="pct"/>
                  <w:vAlign w:val="center"/>
                </w:tcPr>
                <w:p>
                  <w:pPr>
                    <w:pStyle w:val="68"/>
                    <w:rPr>
                      <w:b/>
                      <w:bCs/>
                      <w:color w:val="auto"/>
                    </w:rPr>
                  </w:pPr>
                  <w:r>
                    <w:rPr>
                      <w:b/>
                      <w:bCs/>
                      <w:color w:val="auto"/>
                    </w:rPr>
                    <w:t>排气筒高度/m</w:t>
                  </w:r>
                </w:p>
              </w:tc>
              <w:tc>
                <w:tcPr>
                  <w:tcW w:w="351" w:type="pct"/>
                  <w:vAlign w:val="center"/>
                </w:tcPr>
                <w:p>
                  <w:pPr>
                    <w:pStyle w:val="68"/>
                    <w:rPr>
                      <w:b/>
                      <w:bCs/>
                      <w:color w:val="auto"/>
                    </w:rPr>
                  </w:pPr>
                  <w:r>
                    <w:rPr>
                      <w:b/>
                      <w:bCs/>
                      <w:color w:val="auto"/>
                    </w:rPr>
                    <w:t>排气筒出口内径/m</w:t>
                  </w:r>
                </w:p>
              </w:tc>
              <w:tc>
                <w:tcPr>
                  <w:tcW w:w="316" w:type="pct"/>
                  <w:vAlign w:val="center"/>
                </w:tcPr>
                <w:p>
                  <w:pPr>
                    <w:pStyle w:val="68"/>
                    <w:rPr>
                      <w:b/>
                      <w:bCs/>
                      <w:color w:val="auto"/>
                    </w:rPr>
                  </w:pPr>
                  <w:r>
                    <w:rPr>
                      <w:b/>
                      <w:bCs/>
                      <w:color w:val="auto"/>
                    </w:rPr>
                    <w:t>烟气温度/℃</w:t>
                  </w:r>
                </w:p>
              </w:tc>
              <w:tc>
                <w:tcPr>
                  <w:tcW w:w="363" w:type="pct"/>
                  <w:vAlign w:val="center"/>
                </w:tcPr>
                <w:p>
                  <w:pPr>
                    <w:pStyle w:val="68"/>
                    <w:rPr>
                      <w:b/>
                      <w:bCs/>
                      <w:color w:val="auto"/>
                    </w:rPr>
                  </w:pPr>
                  <w:r>
                    <w:rPr>
                      <w:b/>
                      <w:bCs/>
                      <w:color w:val="auto"/>
                    </w:rPr>
                    <w:t>排放口类型</w:t>
                  </w:r>
                </w:p>
              </w:tc>
              <w:tc>
                <w:tcPr>
                  <w:tcW w:w="570" w:type="pct"/>
                  <w:vAlign w:val="center"/>
                </w:tcPr>
                <w:p>
                  <w:pPr>
                    <w:pStyle w:val="68"/>
                    <w:rPr>
                      <w:b/>
                      <w:bCs/>
                      <w:color w:val="auto"/>
                    </w:rPr>
                  </w:pPr>
                  <w:r>
                    <w:rPr>
                      <w:b/>
                      <w:bCs/>
                      <w:color w:val="auto"/>
                    </w:rPr>
                    <w:t>排放污染物</w:t>
                  </w:r>
                </w:p>
              </w:tc>
              <w:tc>
                <w:tcPr>
                  <w:tcW w:w="654" w:type="pct"/>
                  <w:vAlign w:val="center"/>
                </w:tcPr>
                <w:p>
                  <w:pPr>
                    <w:pStyle w:val="68"/>
                    <w:rPr>
                      <w:b/>
                      <w:bCs/>
                      <w:color w:val="auto"/>
                    </w:rPr>
                  </w:pPr>
                  <w:r>
                    <w:rPr>
                      <w:rFonts w:hint="eastAsia"/>
                      <w:b/>
                      <w:bCs/>
                      <w:color w:val="auto"/>
                    </w:rPr>
                    <w:t>排放口坐标</w:t>
                  </w:r>
                </w:p>
              </w:tc>
              <w:tc>
                <w:tcPr>
                  <w:tcW w:w="1290" w:type="pct"/>
                  <w:vAlign w:val="center"/>
                </w:tcPr>
                <w:p>
                  <w:pPr>
                    <w:pStyle w:val="68"/>
                    <w:rPr>
                      <w:b/>
                      <w:bCs/>
                      <w:color w:val="auto"/>
                    </w:rPr>
                  </w:pPr>
                  <w:r>
                    <w:rPr>
                      <w:b/>
                      <w:bCs/>
                      <w:color w:val="auto"/>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278" w:type="pct"/>
                  <w:vAlign w:val="center"/>
                </w:tcPr>
                <w:p>
                  <w:pPr>
                    <w:pStyle w:val="68"/>
                    <w:rPr>
                      <w:color w:val="auto"/>
                    </w:rPr>
                  </w:pPr>
                  <w:r>
                    <w:rPr>
                      <w:color w:val="auto"/>
                    </w:rPr>
                    <w:t>DA001</w:t>
                  </w:r>
                </w:p>
              </w:tc>
              <w:tc>
                <w:tcPr>
                  <w:tcW w:w="364" w:type="pct"/>
                  <w:vAlign w:val="center"/>
                </w:tcPr>
                <w:p>
                  <w:pPr>
                    <w:pStyle w:val="68"/>
                    <w:rPr>
                      <w:color w:val="auto"/>
                      <w:lang w:eastAsia="zh-CN"/>
                    </w:rPr>
                  </w:pPr>
                  <w:r>
                    <w:rPr>
                      <w:rFonts w:hint="eastAsia"/>
                      <w:color w:val="auto"/>
                      <w:lang w:eastAsia="zh-CN"/>
                    </w:rPr>
                    <w:t>处置车间</w:t>
                  </w:r>
                </w:p>
              </w:tc>
              <w:tc>
                <w:tcPr>
                  <w:tcW w:w="421" w:type="pct"/>
                  <w:vAlign w:val="center"/>
                </w:tcPr>
                <w:p>
                  <w:pPr>
                    <w:pStyle w:val="68"/>
                    <w:rPr>
                      <w:color w:val="auto"/>
                      <w:lang w:eastAsia="zh-CN"/>
                    </w:rPr>
                  </w:pPr>
                  <w:r>
                    <w:rPr>
                      <w:rFonts w:hint="eastAsia"/>
                      <w:color w:val="auto"/>
                      <w:lang w:eastAsia="zh-CN"/>
                    </w:rPr>
                    <w:t>4</w:t>
                  </w:r>
                  <w:r>
                    <w:rPr>
                      <w:color w:val="auto"/>
                      <w:lang w:eastAsia="zh-CN"/>
                    </w:rPr>
                    <w:t>320</w:t>
                  </w:r>
                  <w:r>
                    <w:rPr>
                      <w:rFonts w:hint="eastAsia"/>
                      <w:color w:val="auto"/>
                      <w:lang w:eastAsia="zh-CN"/>
                    </w:rPr>
                    <w:t>万</w:t>
                  </w:r>
                </w:p>
              </w:tc>
              <w:tc>
                <w:tcPr>
                  <w:tcW w:w="390" w:type="pct"/>
                  <w:vAlign w:val="center"/>
                </w:tcPr>
                <w:p>
                  <w:pPr>
                    <w:pStyle w:val="68"/>
                    <w:rPr>
                      <w:color w:val="auto"/>
                    </w:rPr>
                  </w:pPr>
                  <w:r>
                    <w:rPr>
                      <w:color w:val="auto"/>
                    </w:rPr>
                    <w:t>15</w:t>
                  </w:r>
                </w:p>
              </w:tc>
              <w:tc>
                <w:tcPr>
                  <w:tcW w:w="351" w:type="pct"/>
                  <w:vAlign w:val="center"/>
                </w:tcPr>
                <w:p>
                  <w:pPr>
                    <w:pStyle w:val="68"/>
                    <w:rPr>
                      <w:color w:val="auto"/>
                    </w:rPr>
                  </w:pPr>
                  <w:r>
                    <w:rPr>
                      <w:color w:val="auto"/>
                    </w:rPr>
                    <w:t>0.5</w:t>
                  </w:r>
                </w:p>
              </w:tc>
              <w:tc>
                <w:tcPr>
                  <w:tcW w:w="316" w:type="pct"/>
                  <w:vAlign w:val="center"/>
                </w:tcPr>
                <w:p>
                  <w:pPr>
                    <w:pStyle w:val="68"/>
                    <w:rPr>
                      <w:color w:val="auto"/>
                    </w:rPr>
                  </w:pPr>
                  <w:r>
                    <w:rPr>
                      <w:color w:val="auto"/>
                    </w:rPr>
                    <w:t>25</w:t>
                  </w:r>
                </w:p>
              </w:tc>
              <w:tc>
                <w:tcPr>
                  <w:tcW w:w="363" w:type="pct"/>
                  <w:vMerge w:val="restart"/>
                  <w:vAlign w:val="center"/>
                </w:tcPr>
                <w:p>
                  <w:pPr>
                    <w:pStyle w:val="68"/>
                    <w:rPr>
                      <w:color w:val="auto"/>
                    </w:rPr>
                  </w:pPr>
                  <w:r>
                    <w:rPr>
                      <w:rFonts w:hint="eastAsia"/>
                      <w:color w:val="auto"/>
                    </w:rPr>
                    <w:t>一般</w:t>
                  </w:r>
                  <w:r>
                    <w:rPr>
                      <w:color w:val="auto"/>
                    </w:rPr>
                    <w:t>排放口</w:t>
                  </w:r>
                </w:p>
              </w:tc>
              <w:tc>
                <w:tcPr>
                  <w:tcW w:w="570" w:type="pct"/>
                  <w:vAlign w:val="center"/>
                </w:tcPr>
                <w:p>
                  <w:pPr>
                    <w:pStyle w:val="68"/>
                    <w:rPr>
                      <w:color w:val="auto"/>
                      <w:lang w:eastAsia="zh-CN"/>
                    </w:rPr>
                  </w:pPr>
                  <w:r>
                    <w:rPr>
                      <w:rFonts w:hint="eastAsia"/>
                      <w:color w:val="auto"/>
                      <w:lang w:eastAsia="zh-CN"/>
                    </w:rPr>
                    <w:t>硫化氢</w:t>
                  </w:r>
                </w:p>
                <w:p>
                  <w:pPr>
                    <w:pStyle w:val="68"/>
                    <w:rPr>
                      <w:color w:val="auto"/>
                      <w:lang w:eastAsia="zh-CN"/>
                    </w:rPr>
                  </w:pPr>
                  <w:r>
                    <w:rPr>
                      <w:rFonts w:hint="eastAsia"/>
                      <w:color w:val="auto"/>
                      <w:lang w:eastAsia="zh-CN"/>
                    </w:rPr>
                    <w:t>氨</w:t>
                  </w:r>
                </w:p>
                <w:p>
                  <w:pPr>
                    <w:pStyle w:val="68"/>
                    <w:rPr>
                      <w:color w:val="auto"/>
                      <w:lang w:eastAsia="zh-CN"/>
                    </w:rPr>
                  </w:pPr>
                  <w:r>
                    <w:rPr>
                      <w:rFonts w:hint="eastAsia"/>
                      <w:color w:val="auto"/>
                      <w:lang w:eastAsia="zh-CN"/>
                    </w:rPr>
                    <w:t>臭气浓度</w:t>
                  </w:r>
                </w:p>
              </w:tc>
              <w:tc>
                <w:tcPr>
                  <w:tcW w:w="65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103°54′49.62554″</w:t>
                  </w:r>
                </w:p>
                <w:p>
                  <w:pPr>
                    <w:pStyle w:val="68"/>
                    <w:rPr>
                      <w:rFonts w:hint="default" w:ascii="Times New Roman" w:hAnsi="Times New Roman" w:cs="Times New Roman"/>
                      <w:color w:val="auto"/>
                    </w:rPr>
                  </w:pPr>
                  <w:r>
                    <w:rPr>
                      <w:rFonts w:hint="default" w:ascii="Times New Roman" w:hAnsi="Times New Roman" w:cs="Times New Roman"/>
                      <w:color w:val="auto"/>
                    </w:rPr>
                    <w:t>24°42′46.72046″</w:t>
                  </w:r>
                </w:p>
              </w:tc>
              <w:tc>
                <w:tcPr>
                  <w:tcW w:w="1290" w:type="pct"/>
                  <w:vAlign w:val="center"/>
                </w:tcPr>
                <w:p>
                  <w:pPr>
                    <w:pStyle w:val="68"/>
                    <w:rPr>
                      <w:color w:val="auto"/>
                      <w:lang w:val="en-US"/>
                    </w:rPr>
                  </w:pPr>
                  <w:r>
                    <w:rPr>
                      <w:rFonts w:hint="eastAsia"/>
                      <w:color w:val="auto"/>
                      <w:lang w:val="en-US"/>
                    </w:rPr>
                    <w:t>《恶臭污染物排放标准》</w:t>
                  </w:r>
                </w:p>
                <w:p>
                  <w:pPr>
                    <w:pStyle w:val="68"/>
                    <w:rPr>
                      <w:color w:val="auto"/>
                    </w:rPr>
                  </w:pPr>
                  <w:r>
                    <w:rPr>
                      <w:rFonts w:hint="eastAsia"/>
                      <w:color w:val="auto"/>
                      <w:lang w:val="en-US" w:eastAsia="zh-CN"/>
                    </w:rPr>
                    <w:t>(</w:t>
                  </w:r>
                  <w:r>
                    <w:rPr>
                      <w:color w:val="auto"/>
                      <w:lang w:val="en-US"/>
                    </w:rPr>
                    <w:t>GB14554-93</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278" w:type="pct"/>
                  <w:vAlign w:val="center"/>
                </w:tcPr>
                <w:p>
                  <w:pPr>
                    <w:pStyle w:val="68"/>
                    <w:rPr>
                      <w:color w:val="auto"/>
                      <w:lang w:eastAsia="zh-CN"/>
                    </w:rPr>
                  </w:pPr>
                  <w:r>
                    <w:rPr>
                      <w:rFonts w:hint="eastAsia"/>
                      <w:color w:val="auto"/>
                      <w:lang w:eastAsia="zh-CN"/>
                    </w:rPr>
                    <w:t>D</w:t>
                  </w:r>
                  <w:r>
                    <w:rPr>
                      <w:color w:val="auto"/>
                      <w:lang w:eastAsia="zh-CN"/>
                    </w:rPr>
                    <w:t>A002</w:t>
                  </w:r>
                </w:p>
              </w:tc>
              <w:tc>
                <w:tcPr>
                  <w:tcW w:w="364" w:type="pct"/>
                  <w:vAlign w:val="center"/>
                </w:tcPr>
                <w:p>
                  <w:pPr>
                    <w:pStyle w:val="68"/>
                    <w:rPr>
                      <w:color w:val="auto"/>
                    </w:rPr>
                  </w:pPr>
                  <w:r>
                    <w:rPr>
                      <w:rFonts w:hint="eastAsia"/>
                      <w:color w:val="auto"/>
                      <w:lang w:eastAsia="zh-CN"/>
                    </w:rPr>
                    <w:t>生物质锅炉</w:t>
                  </w:r>
                </w:p>
              </w:tc>
              <w:tc>
                <w:tcPr>
                  <w:tcW w:w="421" w:type="pct"/>
                  <w:vAlign w:val="center"/>
                </w:tcPr>
                <w:p>
                  <w:pPr>
                    <w:pStyle w:val="68"/>
                    <w:rPr>
                      <w:color w:val="auto"/>
                      <w:lang w:eastAsia="zh-CN"/>
                    </w:rPr>
                  </w:pPr>
                  <w:r>
                    <w:rPr>
                      <w:rFonts w:hint="eastAsia"/>
                      <w:color w:val="auto"/>
                      <w:lang w:val="en-US" w:eastAsia="zh-CN"/>
                    </w:rPr>
                    <w:t>611.52</w:t>
                  </w:r>
                  <w:r>
                    <w:rPr>
                      <w:rFonts w:hint="eastAsia"/>
                      <w:color w:val="auto"/>
                      <w:lang w:eastAsia="zh-CN"/>
                    </w:rPr>
                    <w:t>万</w:t>
                  </w:r>
                </w:p>
              </w:tc>
              <w:tc>
                <w:tcPr>
                  <w:tcW w:w="390" w:type="pct"/>
                  <w:vAlign w:val="center"/>
                </w:tcPr>
                <w:p>
                  <w:pPr>
                    <w:pStyle w:val="68"/>
                    <w:rPr>
                      <w:rFonts w:hint="default"/>
                      <w:color w:val="auto"/>
                      <w:lang w:val="en-US" w:eastAsia="zh-CN"/>
                    </w:rPr>
                  </w:pPr>
                  <w:r>
                    <w:rPr>
                      <w:rFonts w:hint="eastAsia"/>
                      <w:color w:val="auto"/>
                      <w:lang w:val="en-US" w:eastAsia="zh-CN"/>
                    </w:rPr>
                    <w:t>30</w:t>
                  </w:r>
                </w:p>
              </w:tc>
              <w:tc>
                <w:tcPr>
                  <w:tcW w:w="351" w:type="pct"/>
                  <w:vAlign w:val="center"/>
                </w:tcPr>
                <w:p>
                  <w:pPr>
                    <w:pStyle w:val="68"/>
                    <w:rPr>
                      <w:rFonts w:hint="default"/>
                      <w:color w:val="auto"/>
                      <w:lang w:val="en-US" w:eastAsia="zh-CN"/>
                    </w:rPr>
                  </w:pPr>
                  <w:r>
                    <w:rPr>
                      <w:rFonts w:hint="eastAsia"/>
                      <w:color w:val="auto"/>
                      <w:lang w:eastAsia="zh-CN"/>
                    </w:rPr>
                    <w:t>0</w:t>
                  </w:r>
                  <w:r>
                    <w:rPr>
                      <w:color w:val="auto"/>
                      <w:lang w:eastAsia="zh-CN"/>
                    </w:rPr>
                    <w:t>.</w:t>
                  </w:r>
                  <w:r>
                    <w:rPr>
                      <w:rFonts w:hint="eastAsia"/>
                      <w:color w:val="auto"/>
                      <w:lang w:val="en-US" w:eastAsia="zh-CN"/>
                    </w:rPr>
                    <w:t>3</w:t>
                  </w:r>
                </w:p>
              </w:tc>
              <w:tc>
                <w:tcPr>
                  <w:tcW w:w="316" w:type="pct"/>
                  <w:vAlign w:val="center"/>
                </w:tcPr>
                <w:p>
                  <w:pPr>
                    <w:pStyle w:val="68"/>
                    <w:rPr>
                      <w:color w:val="auto"/>
                      <w:lang w:eastAsia="zh-CN"/>
                    </w:rPr>
                  </w:pPr>
                  <w:r>
                    <w:rPr>
                      <w:color w:val="auto"/>
                      <w:lang w:eastAsia="zh-CN"/>
                    </w:rPr>
                    <w:t>85</w:t>
                  </w:r>
                </w:p>
              </w:tc>
              <w:tc>
                <w:tcPr>
                  <w:tcW w:w="363" w:type="pct"/>
                  <w:vMerge w:val="continue"/>
                  <w:vAlign w:val="center"/>
                </w:tcPr>
                <w:p>
                  <w:pPr>
                    <w:pStyle w:val="68"/>
                    <w:rPr>
                      <w:color w:val="auto"/>
                    </w:rPr>
                  </w:pPr>
                </w:p>
              </w:tc>
              <w:tc>
                <w:tcPr>
                  <w:tcW w:w="570" w:type="pct"/>
                  <w:vAlign w:val="center"/>
                </w:tcPr>
                <w:p>
                  <w:pPr>
                    <w:pStyle w:val="68"/>
                    <w:rPr>
                      <w:color w:val="auto"/>
                      <w:lang w:eastAsia="zh-CN"/>
                    </w:rPr>
                  </w:pPr>
                  <w:r>
                    <w:rPr>
                      <w:rFonts w:hint="eastAsia"/>
                      <w:color w:val="auto"/>
                      <w:lang w:eastAsia="zh-CN"/>
                    </w:rPr>
                    <w:t>颗粒物</w:t>
                  </w:r>
                </w:p>
                <w:p>
                  <w:pPr>
                    <w:pStyle w:val="68"/>
                    <w:rPr>
                      <w:color w:val="auto"/>
                      <w:lang w:eastAsia="zh-CN"/>
                    </w:rPr>
                  </w:pPr>
                  <w:r>
                    <w:rPr>
                      <w:rFonts w:hint="eastAsia"/>
                      <w:color w:val="auto"/>
                      <w:lang w:eastAsia="zh-CN"/>
                    </w:rPr>
                    <w:t>二氧化硫</w:t>
                  </w:r>
                </w:p>
                <w:p>
                  <w:pPr>
                    <w:pStyle w:val="68"/>
                    <w:rPr>
                      <w:color w:val="auto"/>
                      <w:lang w:eastAsia="zh-CN"/>
                    </w:rPr>
                  </w:pPr>
                  <w:r>
                    <w:rPr>
                      <w:rFonts w:hint="eastAsia"/>
                      <w:color w:val="auto"/>
                      <w:lang w:eastAsia="zh-CN"/>
                    </w:rPr>
                    <w:t>氮氧化物</w:t>
                  </w:r>
                </w:p>
              </w:tc>
              <w:tc>
                <w:tcPr>
                  <w:tcW w:w="654"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103°54′49.56278″</w:t>
                  </w:r>
                </w:p>
                <w:p>
                  <w:pPr>
                    <w:pStyle w:val="68"/>
                    <w:rPr>
                      <w:rFonts w:hint="default" w:ascii="Times New Roman" w:hAnsi="Times New Roman" w:cs="Times New Roman"/>
                      <w:color w:val="auto"/>
                    </w:rPr>
                  </w:pPr>
                  <w:r>
                    <w:rPr>
                      <w:rFonts w:hint="default" w:ascii="Times New Roman" w:hAnsi="Times New Roman" w:cs="Times New Roman"/>
                      <w:color w:val="auto"/>
                    </w:rPr>
                    <w:t>24°42′46.86530″</w:t>
                  </w:r>
                </w:p>
              </w:tc>
              <w:tc>
                <w:tcPr>
                  <w:tcW w:w="1290" w:type="pct"/>
                  <w:vAlign w:val="center"/>
                </w:tcPr>
                <w:p>
                  <w:pPr>
                    <w:pStyle w:val="68"/>
                    <w:rPr>
                      <w:color w:val="auto"/>
                      <w:lang w:val="en-US"/>
                    </w:rPr>
                  </w:pPr>
                  <w:r>
                    <w:rPr>
                      <w:color w:val="auto"/>
                      <w:lang w:val="en-US"/>
                    </w:rPr>
                    <w:t>《锅炉大气污染物排放标准》</w:t>
                  </w:r>
                </w:p>
                <w:p>
                  <w:pPr>
                    <w:pStyle w:val="68"/>
                    <w:rPr>
                      <w:color w:val="auto"/>
                      <w:lang w:val="en-US"/>
                    </w:rPr>
                  </w:pPr>
                  <w:r>
                    <w:rPr>
                      <w:rFonts w:hint="eastAsia"/>
                      <w:color w:val="auto"/>
                      <w:lang w:val="en-US" w:eastAsia="zh-CN"/>
                    </w:rPr>
                    <w:t>(</w:t>
                  </w:r>
                  <w:r>
                    <w:rPr>
                      <w:color w:val="auto"/>
                      <w:lang w:val="en-US"/>
                    </w:rPr>
                    <w:t>GB13271-2014</w:t>
                  </w:r>
                  <w:r>
                    <w:rPr>
                      <w:rFonts w:hint="eastAsia"/>
                      <w:color w:val="auto"/>
                      <w:lang w:val="en-US" w:eastAsia="zh-CN"/>
                    </w:rPr>
                    <w:t>)</w:t>
                  </w:r>
                </w:p>
              </w:tc>
            </w:tr>
          </w:tbl>
          <w:p>
            <w:pPr>
              <w:adjustRightInd w:val="0"/>
              <w:snapToGrid w:val="0"/>
              <w:ind w:firstLine="0" w:firstLineChars="0"/>
              <w:rPr>
                <w:rFonts w:ascii="宋体" w:cs="宋体"/>
                <w:b/>
                <w:color w:val="auto"/>
                <w:kern w:val="0"/>
                <w:sz w:val="28"/>
                <w:szCs w:val="28"/>
              </w:rPr>
            </w:pPr>
            <w:r>
              <w:rPr>
                <w:rFonts w:hint="eastAsia" w:ascii="宋体" w:cs="宋体"/>
                <w:b/>
                <w:color w:val="auto"/>
                <w:kern w:val="0"/>
                <w:sz w:val="28"/>
                <w:szCs w:val="28"/>
              </w:rPr>
              <w:t xml:space="preserve"> </w:t>
            </w:r>
            <w:r>
              <w:rPr>
                <w:rFonts w:ascii="宋体" w:cs="宋体"/>
                <w:b/>
                <w:color w:val="auto"/>
                <w:kern w:val="0"/>
                <w:sz w:val="28"/>
                <w:szCs w:val="28"/>
              </w:rPr>
              <w:t xml:space="preserve"> </w:t>
            </w: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r>
              <w:rPr>
                <w:rFonts w:hint="eastAsia" w:ascii="宋体" w:cs="宋体"/>
                <w:b/>
                <w:color w:val="auto"/>
                <w:kern w:val="0"/>
                <w:sz w:val="28"/>
                <w:szCs w:val="28"/>
              </w:rPr>
              <w:t xml:space="preserve"> </w:t>
            </w:r>
            <w:r>
              <w:rPr>
                <w:rFonts w:ascii="宋体" w:cs="宋体"/>
                <w:b/>
                <w:color w:val="auto"/>
                <w:kern w:val="0"/>
                <w:sz w:val="28"/>
                <w:szCs w:val="28"/>
              </w:rPr>
              <w:t xml:space="preserve"> </w:t>
            </w:r>
          </w:p>
        </w:tc>
      </w:tr>
    </w:tbl>
    <w:p>
      <w:pPr>
        <w:ind w:firstLine="560"/>
        <w:jc w:val="center"/>
        <w:rPr>
          <w:rFonts w:ascii="宋体" w:cs="宋体"/>
          <w:color w:val="auto"/>
          <w:sz w:val="28"/>
          <w:szCs w:val="28"/>
        </w:rPr>
      </w:pPr>
      <w:r>
        <w:rPr>
          <w:rFonts w:ascii="宋体" w:cs="宋体"/>
          <w:color w:val="auto"/>
          <w:sz w:val="28"/>
          <w:szCs w:val="28"/>
        </w:rPr>
        <w:br w:type="page"/>
      </w:r>
    </w:p>
    <w:p>
      <w:pPr>
        <w:ind w:firstLine="560"/>
        <w:rPr>
          <w:rFonts w:ascii="宋体" w:cs="宋体"/>
          <w:color w:val="auto"/>
          <w:sz w:val="28"/>
          <w:szCs w:val="28"/>
        </w:rPr>
        <w:sectPr>
          <w:pgSz w:w="16840" w:h="11907" w:orient="landscape"/>
          <w:pgMar w:top="1800" w:right="1440" w:bottom="1800" w:left="1440" w:header="737" w:footer="850" w:gutter="0"/>
          <w:cols w:space="720" w:num="1"/>
          <w:docGrid w:linePitch="326"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vAlign w:val="center"/>
          </w:tcPr>
          <w:p>
            <w:pPr>
              <w:adjustRightInd w:val="0"/>
              <w:snapToGrid w:val="0"/>
              <w:ind w:firstLine="0" w:firstLineChars="0"/>
              <w:jc w:val="center"/>
              <w:rPr>
                <w:rFonts w:ascii="宋体" w:cs="宋体"/>
                <w:b/>
                <w:color w:val="auto"/>
                <w:kern w:val="0"/>
                <w:sz w:val="28"/>
                <w:szCs w:val="28"/>
              </w:rPr>
            </w:pPr>
            <w:r>
              <w:rPr>
                <w:rFonts w:hint="eastAsia" w:ascii="宋体" w:hAnsi="宋体" w:cs="宋体"/>
                <w:bCs/>
                <w:color w:val="auto"/>
                <w:szCs w:val="21"/>
              </w:rPr>
              <w:t>运营期环境影响和保护措施</w:t>
            </w:r>
          </w:p>
        </w:tc>
        <w:tc>
          <w:tcPr>
            <w:tcW w:w="4769" w:type="pct"/>
          </w:tcPr>
          <w:p>
            <w:pPr>
              <w:pStyle w:val="75"/>
              <w:rPr>
                <w:color w:val="auto"/>
              </w:rPr>
            </w:pPr>
            <w:r>
              <w:rPr>
                <w:color w:val="auto"/>
              </w:rPr>
              <w:t>4.2.1.4废气监测计划</w:t>
            </w:r>
          </w:p>
          <w:p>
            <w:pPr>
              <w:ind w:firstLine="480"/>
              <w:rPr>
                <w:color w:val="auto"/>
              </w:rPr>
            </w:pPr>
            <w:r>
              <w:rPr>
                <w:rFonts w:hint="eastAsia"/>
                <w:color w:val="auto"/>
              </w:rPr>
              <w:t>根据《排污许可证申请与核发技术规范-环境卫生管理业》（H</w:t>
            </w:r>
            <w:r>
              <w:rPr>
                <w:color w:val="auto"/>
              </w:rPr>
              <w:t>J</w:t>
            </w:r>
            <w:r>
              <w:rPr>
                <w:rFonts w:hint="eastAsia"/>
                <w:color w:val="auto"/>
              </w:rPr>
              <w:t>11</w:t>
            </w:r>
            <w:r>
              <w:rPr>
                <w:color w:val="auto"/>
              </w:rPr>
              <w:t>06</w:t>
            </w:r>
            <w:r>
              <w:rPr>
                <w:rFonts w:hint="eastAsia"/>
                <w:color w:val="auto"/>
              </w:rPr>
              <w:t>-</w:t>
            </w:r>
            <w:r>
              <w:rPr>
                <w:color w:val="auto"/>
              </w:rPr>
              <w:t>2</w:t>
            </w:r>
            <w:r>
              <w:rPr>
                <w:rFonts w:hint="eastAsia"/>
                <w:color w:val="auto"/>
              </w:rPr>
              <w:t>020）、《</w:t>
            </w:r>
            <w:r>
              <w:rPr>
                <w:color w:val="auto"/>
              </w:rPr>
              <w:t>排污单位自行监测</w:t>
            </w:r>
            <w:r>
              <w:rPr>
                <w:rFonts w:hint="eastAsia"/>
                <w:color w:val="auto"/>
              </w:rPr>
              <w:t>技术指南 总则》（H</w:t>
            </w:r>
            <w:r>
              <w:rPr>
                <w:color w:val="auto"/>
              </w:rPr>
              <w:t>J819</w:t>
            </w:r>
            <w:r>
              <w:rPr>
                <w:rFonts w:hint="eastAsia"/>
                <w:color w:val="auto"/>
              </w:rPr>
              <w:t>-</w:t>
            </w:r>
            <w:r>
              <w:rPr>
                <w:color w:val="auto"/>
              </w:rPr>
              <w:t>2</w:t>
            </w:r>
            <w:r>
              <w:rPr>
                <w:rFonts w:hint="eastAsia"/>
                <w:color w:val="auto"/>
              </w:rPr>
              <w:t>02</w:t>
            </w:r>
            <w:r>
              <w:rPr>
                <w:color w:val="auto"/>
              </w:rPr>
              <w:t>7</w:t>
            </w:r>
            <w:r>
              <w:rPr>
                <w:rFonts w:hint="eastAsia"/>
                <w:color w:val="auto"/>
              </w:rPr>
              <w:t>），项目废气监测计划</w:t>
            </w:r>
            <w:r>
              <w:rPr>
                <w:color w:val="auto"/>
              </w:rPr>
              <w:t>见表4.2-</w:t>
            </w:r>
            <w:r>
              <w:rPr>
                <w:rFonts w:hint="eastAsia"/>
                <w:color w:val="auto"/>
                <w:lang w:val="en-US" w:eastAsia="zh-CN"/>
              </w:rPr>
              <w:t>4</w:t>
            </w:r>
            <w:r>
              <w:rPr>
                <w:rFonts w:hint="eastAsia"/>
                <w:color w:val="auto"/>
              </w:rPr>
              <w:t>所示</w:t>
            </w:r>
            <w:r>
              <w:rPr>
                <w:color w:val="auto"/>
              </w:rPr>
              <w:t>。</w:t>
            </w:r>
          </w:p>
          <w:p>
            <w:pPr>
              <w:pStyle w:val="71"/>
              <w:rPr>
                <w:color w:val="auto"/>
              </w:rPr>
            </w:pPr>
            <w:r>
              <w:rPr>
                <w:color w:val="auto"/>
              </w:rPr>
              <w:t>表4.2-</w:t>
            </w:r>
            <w:r>
              <w:rPr>
                <w:rFonts w:hint="eastAsia"/>
                <w:color w:val="auto"/>
                <w:lang w:val="en-US" w:eastAsia="zh-CN"/>
              </w:rPr>
              <w:t>4</w:t>
            </w:r>
            <w:r>
              <w:rPr>
                <w:rFonts w:hint="eastAsia"/>
                <w:color w:val="auto"/>
              </w:rPr>
              <w:t xml:space="preserve"> </w:t>
            </w:r>
            <w:r>
              <w:rPr>
                <w:rFonts w:hint="eastAsia"/>
                <w:color w:val="auto"/>
                <w:lang w:val="en-US" w:eastAsia="zh-CN"/>
              </w:rPr>
              <w:t xml:space="preserve"> </w:t>
            </w:r>
            <w:r>
              <w:rPr>
                <w:color w:val="auto"/>
              </w:rPr>
              <w:t>项目废气监测计划一览表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594"/>
              <w:gridCol w:w="831"/>
              <w:gridCol w:w="693"/>
              <w:gridCol w:w="1387"/>
              <w:gridCol w:w="831"/>
              <w:gridCol w:w="1388"/>
              <w:gridCol w:w="211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79" w:type="pct"/>
                  <w:tcBorders>
                    <w:tl2br w:val="nil"/>
                    <w:tr2bl w:val="nil"/>
                  </w:tcBorders>
                  <w:vAlign w:val="center"/>
                </w:tcPr>
                <w:p>
                  <w:pPr>
                    <w:pStyle w:val="68"/>
                    <w:rPr>
                      <w:b/>
                      <w:bCs/>
                      <w:color w:val="auto"/>
                    </w:rPr>
                  </w:pPr>
                  <w:r>
                    <w:rPr>
                      <w:b/>
                      <w:bCs/>
                      <w:color w:val="auto"/>
                    </w:rPr>
                    <w:t>监测时段</w:t>
                  </w:r>
                </w:p>
              </w:tc>
              <w:tc>
                <w:tcPr>
                  <w:tcW w:w="530" w:type="pct"/>
                  <w:tcBorders>
                    <w:tl2br w:val="nil"/>
                    <w:tr2bl w:val="nil"/>
                  </w:tcBorders>
                  <w:vAlign w:val="center"/>
                </w:tcPr>
                <w:p>
                  <w:pPr>
                    <w:pStyle w:val="68"/>
                    <w:rPr>
                      <w:b/>
                      <w:bCs/>
                      <w:color w:val="auto"/>
                    </w:rPr>
                  </w:pPr>
                  <w:r>
                    <w:rPr>
                      <w:b/>
                      <w:bCs/>
                      <w:color w:val="auto"/>
                    </w:rPr>
                    <w:t>监测点位</w:t>
                  </w:r>
                </w:p>
              </w:tc>
              <w:tc>
                <w:tcPr>
                  <w:tcW w:w="442" w:type="pct"/>
                  <w:tcBorders>
                    <w:tl2br w:val="nil"/>
                    <w:tr2bl w:val="nil"/>
                  </w:tcBorders>
                  <w:vAlign w:val="center"/>
                </w:tcPr>
                <w:p>
                  <w:pPr>
                    <w:pStyle w:val="68"/>
                    <w:rPr>
                      <w:b/>
                      <w:bCs/>
                      <w:color w:val="auto"/>
                    </w:rPr>
                  </w:pPr>
                  <w:r>
                    <w:rPr>
                      <w:b/>
                      <w:bCs/>
                      <w:color w:val="auto"/>
                    </w:rPr>
                    <w:t>污染源</w:t>
                  </w:r>
                </w:p>
              </w:tc>
              <w:tc>
                <w:tcPr>
                  <w:tcW w:w="884" w:type="pct"/>
                  <w:tcBorders>
                    <w:tl2br w:val="nil"/>
                    <w:tr2bl w:val="nil"/>
                  </w:tcBorders>
                  <w:vAlign w:val="center"/>
                </w:tcPr>
                <w:p>
                  <w:pPr>
                    <w:pStyle w:val="68"/>
                    <w:rPr>
                      <w:b/>
                      <w:bCs/>
                      <w:color w:val="auto"/>
                    </w:rPr>
                  </w:pPr>
                  <w:r>
                    <w:rPr>
                      <w:b/>
                      <w:bCs/>
                      <w:color w:val="auto"/>
                    </w:rPr>
                    <w:t>监测因子</w:t>
                  </w:r>
                </w:p>
              </w:tc>
              <w:tc>
                <w:tcPr>
                  <w:tcW w:w="530" w:type="pct"/>
                  <w:tcBorders>
                    <w:tl2br w:val="nil"/>
                    <w:tr2bl w:val="nil"/>
                  </w:tcBorders>
                  <w:vAlign w:val="center"/>
                </w:tcPr>
                <w:p>
                  <w:pPr>
                    <w:pStyle w:val="68"/>
                    <w:rPr>
                      <w:b/>
                      <w:bCs/>
                      <w:color w:val="auto"/>
                    </w:rPr>
                  </w:pPr>
                  <w:r>
                    <w:rPr>
                      <w:b/>
                      <w:bCs/>
                      <w:color w:val="auto"/>
                    </w:rPr>
                    <w:t>监测频率</w:t>
                  </w:r>
                </w:p>
              </w:tc>
              <w:tc>
                <w:tcPr>
                  <w:tcW w:w="885" w:type="pct"/>
                  <w:tcBorders>
                    <w:tl2br w:val="nil"/>
                    <w:tr2bl w:val="nil"/>
                  </w:tcBorders>
                  <w:vAlign w:val="center"/>
                </w:tcPr>
                <w:p>
                  <w:pPr>
                    <w:pStyle w:val="68"/>
                    <w:rPr>
                      <w:b/>
                      <w:bCs/>
                      <w:color w:val="auto"/>
                    </w:rPr>
                  </w:pPr>
                  <w:r>
                    <w:rPr>
                      <w:b/>
                      <w:bCs/>
                      <w:color w:val="auto"/>
                    </w:rPr>
                    <w:t>类型</w:t>
                  </w:r>
                </w:p>
              </w:tc>
              <w:tc>
                <w:tcPr>
                  <w:tcW w:w="1350" w:type="pct"/>
                  <w:tcBorders>
                    <w:tl2br w:val="nil"/>
                    <w:tr2bl w:val="nil"/>
                  </w:tcBorders>
                  <w:vAlign w:val="center"/>
                </w:tcPr>
                <w:p>
                  <w:pPr>
                    <w:pStyle w:val="68"/>
                    <w:rPr>
                      <w:b/>
                      <w:bCs/>
                      <w:color w:val="auto"/>
                    </w:rPr>
                  </w:pPr>
                  <w:r>
                    <w:rPr>
                      <w:rFonts w:hint="eastAsia"/>
                      <w:b/>
                      <w:bCs/>
                      <w:color w:val="auto"/>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restart"/>
                  <w:tcBorders>
                    <w:tl2br w:val="nil"/>
                    <w:tr2bl w:val="nil"/>
                  </w:tcBorders>
                  <w:vAlign w:val="center"/>
                </w:tcPr>
                <w:p>
                  <w:pPr>
                    <w:pStyle w:val="68"/>
                    <w:rPr>
                      <w:color w:val="auto"/>
                    </w:rPr>
                  </w:pPr>
                  <w:r>
                    <w:rPr>
                      <w:rFonts w:hint="eastAsia"/>
                      <w:color w:val="auto"/>
                    </w:rPr>
                    <w:t>运营期</w:t>
                  </w:r>
                </w:p>
              </w:tc>
              <w:tc>
                <w:tcPr>
                  <w:tcW w:w="530" w:type="pct"/>
                  <w:vMerge w:val="restart"/>
                  <w:tcBorders>
                    <w:tl2br w:val="nil"/>
                    <w:tr2bl w:val="nil"/>
                  </w:tcBorders>
                  <w:vAlign w:val="center"/>
                </w:tcPr>
                <w:p>
                  <w:pPr>
                    <w:pStyle w:val="68"/>
                    <w:rPr>
                      <w:color w:val="auto"/>
                      <w:lang w:eastAsia="zh-CN"/>
                    </w:rPr>
                  </w:pPr>
                  <w:r>
                    <w:rPr>
                      <w:rFonts w:hint="eastAsia"/>
                      <w:color w:val="auto"/>
                      <w:lang w:eastAsia="zh-CN"/>
                    </w:rPr>
                    <w:t>D</w:t>
                  </w:r>
                  <w:r>
                    <w:rPr>
                      <w:color w:val="auto"/>
                      <w:lang w:eastAsia="zh-CN"/>
                    </w:rPr>
                    <w:t>A001</w:t>
                  </w:r>
                </w:p>
              </w:tc>
              <w:tc>
                <w:tcPr>
                  <w:tcW w:w="442" w:type="pct"/>
                  <w:vMerge w:val="restart"/>
                  <w:tcBorders>
                    <w:tl2br w:val="nil"/>
                    <w:tr2bl w:val="nil"/>
                  </w:tcBorders>
                  <w:vAlign w:val="center"/>
                </w:tcPr>
                <w:p>
                  <w:pPr>
                    <w:pStyle w:val="68"/>
                    <w:rPr>
                      <w:color w:val="auto"/>
                    </w:rPr>
                  </w:pPr>
                  <w:r>
                    <w:rPr>
                      <w:rFonts w:hint="eastAsia"/>
                      <w:color w:val="auto"/>
                      <w:lang w:eastAsia="zh-CN"/>
                    </w:rPr>
                    <w:t>餐厨垃圾处置车间</w:t>
                  </w:r>
                </w:p>
              </w:tc>
              <w:tc>
                <w:tcPr>
                  <w:tcW w:w="884" w:type="pct"/>
                  <w:tcBorders>
                    <w:tl2br w:val="nil"/>
                    <w:tr2bl w:val="nil"/>
                  </w:tcBorders>
                  <w:vAlign w:val="center"/>
                </w:tcPr>
                <w:p>
                  <w:pPr>
                    <w:pStyle w:val="68"/>
                    <w:rPr>
                      <w:color w:val="auto"/>
                    </w:rPr>
                  </w:pPr>
                  <w:r>
                    <w:rPr>
                      <w:rFonts w:hint="eastAsia"/>
                      <w:color w:val="auto"/>
                      <w:lang w:eastAsia="zh-CN"/>
                    </w:rPr>
                    <w:t>硫化氢</w:t>
                  </w:r>
                </w:p>
              </w:tc>
              <w:tc>
                <w:tcPr>
                  <w:tcW w:w="530" w:type="pct"/>
                  <w:tcBorders>
                    <w:tl2br w:val="nil"/>
                    <w:tr2bl w:val="nil"/>
                  </w:tcBorders>
                  <w:vAlign w:val="center"/>
                </w:tcPr>
                <w:p>
                  <w:pPr>
                    <w:pStyle w:val="68"/>
                    <w:rPr>
                      <w:color w:val="auto"/>
                    </w:rPr>
                  </w:pPr>
                  <w:r>
                    <w:rPr>
                      <w:rFonts w:hint="eastAsia"/>
                      <w:color w:val="auto"/>
                      <w:lang w:eastAsia="zh-CN"/>
                    </w:rPr>
                    <w:t>半</w:t>
                  </w:r>
                  <w:r>
                    <w:rPr>
                      <w:rFonts w:hint="eastAsia"/>
                      <w:color w:val="auto"/>
                    </w:rPr>
                    <w:t>年</w:t>
                  </w:r>
                </w:p>
              </w:tc>
              <w:tc>
                <w:tcPr>
                  <w:tcW w:w="885"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restart"/>
                  <w:tcBorders>
                    <w:tl2br w:val="nil"/>
                    <w:tr2bl w:val="nil"/>
                  </w:tcBorders>
                  <w:vAlign w:val="center"/>
                </w:tcPr>
                <w:p>
                  <w:pPr>
                    <w:pStyle w:val="68"/>
                    <w:rPr>
                      <w:color w:val="auto"/>
                    </w:rPr>
                  </w:pPr>
                  <w:r>
                    <w:rPr>
                      <w:rFonts w:hint="eastAsia"/>
                      <w:bCs/>
                      <w:color w:val="auto"/>
                      <w:lang w:val="en-US"/>
                    </w:rPr>
                    <w:t>《恶臭污染物排放标准》（GB14554-93）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continue"/>
                  <w:tcBorders>
                    <w:tl2br w:val="nil"/>
                    <w:tr2bl w:val="nil"/>
                  </w:tcBorders>
                  <w:vAlign w:val="center"/>
                </w:tcPr>
                <w:p>
                  <w:pPr>
                    <w:pStyle w:val="68"/>
                    <w:rPr>
                      <w:color w:val="auto"/>
                    </w:rPr>
                  </w:pPr>
                </w:p>
              </w:tc>
              <w:tc>
                <w:tcPr>
                  <w:tcW w:w="530" w:type="pct"/>
                  <w:vMerge w:val="continue"/>
                  <w:tcBorders>
                    <w:tl2br w:val="nil"/>
                    <w:tr2bl w:val="nil"/>
                  </w:tcBorders>
                  <w:vAlign w:val="center"/>
                </w:tcPr>
                <w:p>
                  <w:pPr>
                    <w:pStyle w:val="68"/>
                    <w:rPr>
                      <w:color w:val="auto"/>
                      <w:lang w:eastAsia="zh-CN"/>
                    </w:rPr>
                  </w:pPr>
                </w:p>
              </w:tc>
              <w:tc>
                <w:tcPr>
                  <w:tcW w:w="442" w:type="pct"/>
                  <w:vMerge w:val="continue"/>
                  <w:tcBorders>
                    <w:tl2br w:val="nil"/>
                    <w:tr2bl w:val="nil"/>
                  </w:tcBorders>
                  <w:vAlign w:val="center"/>
                </w:tcPr>
                <w:p>
                  <w:pPr>
                    <w:pStyle w:val="68"/>
                    <w:rPr>
                      <w:color w:val="auto"/>
                      <w:lang w:eastAsia="zh-CN"/>
                    </w:rPr>
                  </w:pPr>
                </w:p>
              </w:tc>
              <w:tc>
                <w:tcPr>
                  <w:tcW w:w="884" w:type="pct"/>
                  <w:tcBorders>
                    <w:tl2br w:val="nil"/>
                    <w:tr2bl w:val="nil"/>
                  </w:tcBorders>
                  <w:vAlign w:val="center"/>
                </w:tcPr>
                <w:p>
                  <w:pPr>
                    <w:pStyle w:val="68"/>
                    <w:rPr>
                      <w:color w:val="auto"/>
                      <w:lang w:eastAsia="zh-CN"/>
                    </w:rPr>
                  </w:pPr>
                  <w:r>
                    <w:rPr>
                      <w:rFonts w:hint="eastAsia"/>
                      <w:color w:val="auto"/>
                      <w:lang w:eastAsia="zh-CN"/>
                    </w:rPr>
                    <w:t>氨</w:t>
                  </w:r>
                </w:p>
              </w:tc>
              <w:tc>
                <w:tcPr>
                  <w:tcW w:w="530" w:type="pct"/>
                  <w:tcBorders>
                    <w:tl2br w:val="nil"/>
                    <w:tr2bl w:val="nil"/>
                  </w:tcBorders>
                  <w:vAlign w:val="center"/>
                </w:tcPr>
                <w:p>
                  <w:pPr>
                    <w:pStyle w:val="68"/>
                    <w:rPr>
                      <w:color w:val="auto"/>
                    </w:rPr>
                  </w:pPr>
                  <w:r>
                    <w:rPr>
                      <w:rFonts w:hint="eastAsia"/>
                      <w:color w:val="auto"/>
                      <w:lang w:eastAsia="zh-CN"/>
                    </w:rPr>
                    <w:t>半</w:t>
                  </w:r>
                  <w:r>
                    <w:rPr>
                      <w:rFonts w:hint="eastAsia"/>
                      <w:color w:val="auto"/>
                    </w:rPr>
                    <w:t>年</w:t>
                  </w:r>
                </w:p>
              </w:tc>
              <w:tc>
                <w:tcPr>
                  <w:tcW w:w="885"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continue"/>
                  <w:tcBorders>
                    <w:tl2br w:val="nil"/>
                    <w:tr2bl w:val="nil"/>
                  </w:tcBorders>
                  <w:vAlign w:val="center"/>
                </w:tcPr>
                <w:p>
                  <w:pPr>
                    <w:pStyle w:val="68"/>
                    <w:rPr>
                      <w:color w:val="auto"/>
                    </w:rPr>
                  </w:pPr>
                </w:p>
              </w:tc>
              <w:tc>
                <w:tcPr>
                  <w:tcW w:w="530" w:type="pct"/>
                  <w:vMerge w:val="continue"/>
                  <w:tcBorders>
                    <w:tl2br w:val="nil"/>
                    <w:tr2bl w:val="nil"/>
                  </w:tcBorders>
                  <w:vAlign w:val="center"/>
                </w:tcPr>
                <w:p>
                  <w:pPr>
                    <w:pStyle w:val="68"/>
                    <w:rPr>
                      <w:color w:val="auto"/>
                      <w:lang w:eastAsia="zh-CN"/>
                    </w:rPr>
                  </w:pPr>
                </w:p>
              </w:tc>
              <w:tc>
                <w:tcPr>
                  <w:tcW w:w="442" w:type="pct"/>
                  <w:vMerge w:val="continue"/>
                  <w:tcBorders>
                    <w:tl2br w:val="nil"/>
                    <w:tr2bl w:val="nil"/>
                  </w:tcBorders>
                  <w:vAlign w:val="center"/>
                </w:tcPr>
                <w:p>
                  <w:pPr>
                    <w:pStyle w:val="68"/>
                    <w:rPr>
                      <w:color w:val="auto"/>
                      <w:lang w:eastAsia="zh-CN"/>
                    </w:rPr>
                  </w:pPr>
                </w:p>
              </w:tc>
              <w:tc>
                <w:tcPr>
                  <w:tcW w:w="884" w:type="pct"/>
                  <w:tcBorders>
                    <w:tl2br w:val="nil"/>
                    <w:tr2bl w:val="nil"/>
                  </w:tcBorders>
                  <w:vAlign w:val="center"/>
                </w:tcPr>
                <w:p>
                  <w:pPr>
                    <w:pStyle w:val="68"/>
                    <w:rPr>
                      <w:color w:val="auto"/>
                      <w:lang w:eastAsia="zh-CN"/>
                    </w:rPr>
                  </w:pPr>
                  <w:r>
                    <w:rPr>
                      <w:rFonts w:hint="eastAsia"/>
                      <w:color w:val="auto"/>
                      <w:lang w:eastAsia="zh-CN"/>
                    </w:rPr>
                    <w:t>臭气浓度</w:t>
                  </w:r>
                </w:p>
              </w:tc>
              <w:tc>
                <w:tcPr>
                  <w:tcW w:w="530" w:type="pct"/>
                  <w:tcBorders>
                    <w:tl2br w:val="nil"/>
                    <w:tr2bl w:val="nil"/>
                  </w:tcBorders>
                  <w:vAlign w:val="center"/>
                </w:tcPr>
                <w:p>
                  <w:pPr>
                    <w:pStyle w:val="68"/>
                    <w:rPr>
                      <w:color w:val="auto"/>
                    </w:rPr>
                  </w:pPr>
                  <w:r>
                    <w:rPr>
                      <w:rFonts w:hint="eastAsia"/>
                      <w:color w:val="auto"/>
                      <w:lang w:eastAsia="zh-CN"/>
                    </w:rPr>
                    <w:t>半</w:t>
                  </w:r>
                  <w:r>
                    <w:rPr>
                      <w:rFonts w:hint="eastAsia"/>
                      <w:color w:val="auto"/>
                    </w:rPr>
                    <w:t>年</w:t>
                  </w:r>
                </w:p>
              </w:tc>
              <w:tc>
                <w:tcPr>
                  <w:tcW w:w="885"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continue"/>
                  <w:tcBorders>
                    <w:tl2br w:val="nil"/>
                    <w:tr2bl w:val="nil"/>
                  </w:tcBorders>
                  <w:vAlign w:val="center"/>
                </w:tcPr>
                <w:p>
                  <w:pPr>
                    <w:pStyle w:val="68"/>
                    <w:rPr>
                      <w:color w:val="auto"/>
                    </w:rPr>
                  </w:pPr>
                </w:p>
              </w:tc>
              <w:tc>
                <w:tcPr>
                  <w:tcW w:w="530" w:type="pct"/>
                  <w:vMerge w:val="restart"/>
                  <w:tcBorders>
                    <w:tl2br w:val="nil"/>
                    <w:tr2bl w:val="nil"/>
                  </w:tcBorders>
                  <w:vAlign w:val="center"/>
                </w:tcPr>
                <w:p>
                  <w:pPr>
                    <w:pStyle w:val="68"/>
                    <w:rPr>
                      <w:color w:val="auto"/>
                    </w:rPr>
                  </w:pPr>
                  <w:r>
                    <w:rPr>
                      <w:color w:val="auto"/>
                    </w:rPr>
                    <w:t>DA002</w:t>
                  </w:r>
                </w:p>
              </w:tc>
              <w:tc>
                <w:tcPr>
                  <w:tcW w:w="442" w:type="pct"/>
                  <w:vMerge w:val="restart"/>
                  <w:tcBorders>
                    <w:tl2br w:val="nil"/>
                    <w:tr2bl w:val="nil"/>
                  </w:tcBorders>
                  <w:vAlign w:val="center"/>
                </w:tcPr>
                <w:p>
                  <w:pPr>
                    <w:pStyle w:val="68"/>
                    <w:rPr>
                      <w:color w:val="auto"/>
                    </w:rPr>
                  </w:pPr>
                  <w:r>
                    <w:rPr>
                      <w:rFonts w:hint="eastAsia"/>
                      <w:color w:val="auto"/>
                      <w:lang w:eastAsia="zh-CN"/>
                    </w:rPr>
                    <w:t>生物质锅炉</w:t>
                  </w:r>
                </w:p>
              </w:tc>
              <w:tc>
                <w:tcPr>
                  <w:tcW w:w="884" w:type="pct"/>
                  <w:tcBorders>
                    <w:tl2br w:val="nil"/>
                    <w:tr2bl w:val="nil"/>
                  </w:tcBorders>
                  <w:vAlign w:val="center"/>
                </w:tcPr>
                <w:p>
                  <w:pPr>
                    <w:pStyle w:val="68"/>
                    <w:rPr>
                      <w:color w:val="auto"/>
                    </w:rPr>
                  </w:pPr>
                  <w:r>
                    <w:rPr>
                      <w:rFonts w:hint="eastAsia"/>
                      <w:color w:val="auto"/>
                      <w:lang w:eastAsia="zh-CN"/>
                    </w:rPr>
                    <w:t>颗粒物</w:t>
                  </w:r>
                </w:p>
              </w:tc>
              <w:tc>
                <w:tcPr>
                  <w:tcW w:w="530" w:type="pct"/>
                  <w:tcBorders>
                    <w:tl2br w:val="nil"/>
                    <w:tr2bl w:val="nil"/>
                  </w:tcBorders>
                  <w:vAlign w:val="center"/>
                </w:tcPr>
                <w:p>
                  <w:pPr>
                    <w:pStyle w:val="68"/>
                    <w:rPr>
                      <w:color w:val="auto"/>
                    </w:rPr>
                  </w:pPr>
                  <w:r>
                    <w:rPr>
                      <w:rFonts w:hint="eastAsia"/>
                      <w:color w:val="auto"/>
                      <w:lang w:eastAsia="zh-CN"/>
                    </w:rPr>
                    <w:t>月</w:t>
                  </w:r>
                </w:p>
              </w:tc>
              <w:tc>
                <w:tcPr>
                  <w:tcW w:w="885"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restart"/>
                  <w:tcBorders>
                    <w:tl2br w:val="nil"/>
                    <w:tr2bl w:val="nil"/>
                  </w:tcBorders>
                  <w:vAlign w:val="center"/>
                </w:tcPr>
                <w:p>
                  <w:pPr>
                    <w:pStyle w:val="68"/>
                    <w:rPr>
                      <w:bCs/>
                      <w:color w:val="auto"/>
                      <w:lang w:val="en-US"/>
                    </w:rPr>
                  </w:pPr>
                  <w:r>
                    <w:rPr>
                      <w:bCs/>
                      <w:color w:val="auto"/>
                      <w:lang w:val="en-US"/>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continue"/>
                  <w:tcBorders>
                    <w:tl2br w:val="nil"/>
                    <w:tr2bl w:val="nil"/>
                  </w:tcBorders>
                  <w:vAlign w:val="center"/>
                </w:tcPr>
                <w:p>
                  <w:pPr>
                    <w:pStyle w:val="68"/>
                    <w:rPr>
                      <w:color w:val="auto"/>
                    </w:rPr>
                  </w:pPr>
                </w:p>
              </w:tc>
              <w:tc>
                <w:tcPr>
                  <w:tcW w:w="530" w:type="pct"/>
                  <w:vMerge w:val="continue"/>
                  <w:tcBorders>
                    <w:tl2br w:val="nil"/>
                    <w:tr2bl w:val="nil"/>
                  </w:tcBorders>
                  <w:vAlign w:val="center"/>
                </w:tcPr>
                <w:p>
                  <w:pPr>
                    <w:pStyle w:val="68"/>
                    <w:rPr>
                      <w:color w:val="auto"/>
                    </w:rPr>
                  </w:pPr>
                </w:p>
              </w:tc>
              <w:tc>
                <w:tcPr>
                  <w:tcW w:w="442" w:type="pct"/>
                  <w:vMerge w:val="continue"/>
                  <w:tcBorders>
                    <w:tl2br w:val="nil"/>
                    <w:tr2bl w:val="nil"/>
                  </w:tcBorders>
                  <w:vAlign w:val="center"/>
                </w:tcPr>
                <w:p>
                  <w:pPr>
                    <w:pStyle w:val="68"/>
                    <w:rPr>
                      <w:color w:val="auto"/>
                      <w:lang w:eastAsia="zh-CN"/>
                    </w:rPr>
                  </w:pPr>
                </w:p>
              </w:tc>
              <w:tc>
                <w:tcPr>
                  <w:tcW w:w="884" w:type="pct"/>
                  <w:tcBorders>
                    <w:tl2br w:val="nil"/>
                    <w:tr2bl w:val="nil"/>
                  </w:tcBorders>
                  <w:vAlign w:val="center"/>
                </w:tcPr>
                <w:p>
                  <w:pPr>
                    <w:pStyle w:val="68"/>
                    <w:rPr>
                      <w:color w:val="auto"/>
                    </w:rPr>
                  </w:pPr>
                  <w:r>
                    <w:rPr>
                      <w:rFonts w:hint="eastAsia"/>
                      <w:color w:val="auto"/>
                      <w:lang w:eastAsia="zh-CN"/>
                    </w:rPr>
                    <w:t>二氧化硫</w:t>
                  </w:r>
                </w:p>
              </w:tc>
              <w:tc>
                <w:tcPr>
                  <w:tcW w:w="530" w:type="pct"/>
                  <w:tcBorders>
                    <w:tl2br w:val="nil"/>
                    <w:tr2bl w:val="nil"/>
                  </w:tcBorders>
                  <w:vAlign w:val="center"/>
                </w:tcPr>
                <w:p>
                  <w:pPr>
                    <w:pStyle w:val="68"/>
                    <w:rPr>
                      <w:color w:val="auto"/>
                    </w:rPr>
                  </w:pPr>
                  <w:r>
                    <w:rPr>
                      <w:rFonts w:hint="eastAsia"/>
                      <w:color w:val="auto"/>
                      <w:lang w:eastAsia="zh-CN"/>
                    </w:rPr>
                    <w:t>月</w:t>
                  </w:r>
                </w:p>
              </w:tc>
              <w:tc>
                <w:tcPr>
                  <w:tcW w:w="885"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9" w:type="pct"/>
                  <w:vMerge w:val="continue"/>
                  <w:tcBorders>
                    <w:tl2br w:val="nil"/>
                    <w:tr2bl w:val="nil"/>
                  </w:tcBorders>
                  <w:vAlign w:val="center"/>
                </w:tcPr>
                <w:p>
                  <w:pPr>
                    <w:pStyle w:val="68"/>
                    <w:rPr>
                      <w:color w:val="auto"/>
                    </w:rPr>
                  </w:pPr>
                </w:p>
              </w:tc>
              <w:tc>
                <w:tcPr>
                  <w:tcW w:w="530" w:type="pct"/>
                  <w:vMerge w:val="continue"/>
                  <w:tcBorders>
                    <w:tl2br w:val="nil"/>
                    <w:tr2bl w:val="nil"/>
                  </w:tcBorders>
                  <w:vAlign w:val="center"/>
                </w:tcPr>
                <w:p>
                  <w:pPr>
                    <w:pStyle w:val="68"/>
                    <w:rPr>
                      <w:color w:val="auto"/>
                    </w:rPr>
                  </w:pPr>
                </w:p>
              </w:tc>
              <w:tc>
                <w:tcPr>
                  <w:tcW w:w="442" w:type="pct"/>
                  <w:vMerge w:val="continue"/>
                  <w:tcBorders>
                    <w:tl2br w:val="nil"/>
                    <w:tr2bl w:val="nil"/>
                  </w:tcBorders>
                  <w:vAlign w:val="center"/>
                </w:tcPr>
                <w:p>
                  <w:pPr>
                    <w:pStyle w:val="68"/>
                    <w:rPr>
                      <w:color w:val="auto"/>
                      <w:lang w:val="en-US"/>
                    </w:rPr>
                  </w:pPr>
                </w:p>
              </w:tc>
              <w:tc>
                <w:tcPr>
                  <w:tcW w:w="884" w:type="pct"/>
                  <w:tcBorders>
                    <w:tl2br w:val="nil"/>
                    <w:tr2bl w:val="nil"/>
                  </w:tcBorders>
                  <w:vAlign w:val="center"/>
                </w:tcPr>
                <w:p>
                  <w:pPr>
                    <w:pStyle w:val="68"/>
                    <w:rPr>
                      <w:color w:val="auto"/>
                    </w:rPr>
                  </w:pPr>
                  <w:r>
                    <w:rPr>
                      <w:rFonts w:hint="eastAsia"/>
                      <w:color w:val="auto"/>
                      <w:lang w:eastAsia="zh-CN"/>
                    </w:rPr>
                    <w:t>氮氧化物</w:t>
                  </w:r>
                </w:p>
              </w:tc>
              <w:tc>
                <w:tcPr>
                  <w:tcW w:w="530" w:type="pct"/>
                  <w:tcBorders>
                    <w:tl2br w:val="nil"/>
                    <w:tr2bl w:val="nil"/>
                  </w:tcBorders>
                  <w:vAlign w:val="center"/>
                </w:tcPr>
                <w:p>
                  <w:pPr>
                    <w:pStyle w:val="68"/>
                    <w:rPr>
                      <w:color w:val="auto"/>
                    </w:rPr>
                  </w:pPr>
                  <w:r>
                    <w:rPr>
                      <w:rFonts w:hint="eastAsia"/>
                      <w:color w:val="auto"/>
                      <w:lang w:eastAsia="zh-CN"/>
                    </w:rPr>
                    <w:t>月</w:t>
                  </w:r>
                </w:p>
              </w:tc>
              <w:tc>
                <w:tcPr>
                  <w:tcW w:w="885"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350"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379" w:type="pct"/>
                  <w:vMerge w:val="continue"/>
                  <w:tcBorders>
                    <w:tl2br w:val="nil"/>
                    <w:tr2bl w:val="nil"/>
                  </w:tcBorders>
                  <w:vAlign w:val="center"/>
                </w:tcPr>
                <w:p>
                  <w:pPr>
                    <w:pStyle w:val="68"/>
                    <w:rPr>
                      <w:color w:val="auto"/>
                    </w:rPr>
                  </w:pPr>
                </w:p>
              </w:tc>
              <w:tc>
                <w:tcPr>
                  <w:tcW w:w="972" w:type="pct"/>
                  <w:gridSpan w:val="2"/>
                  <w:tcBorders>
                    <w:tl2br w:val="nil"/>
                    <w:tr2bl w:val="nil"/>
                  </w:tcBorders>
                  <w:vAlign w:val="center"/>
                </w:tcPr>
                <w:p>
                  <w:pPr>
                    <w:pStyle w:val="68"/>
                    <w:rPr>
                      <w:color w:val="auto"/>
                    </w:rPr>
                  </w:pPr>
                  <w:r>
                    <w:rPr>
                      <w:color w:val="auto"/>
                      <w:shd w:val="clear" w:fill="FFFFFF"/>
                    </w:rPr>
                    <w:t>厂界</w:t>
                  </w:r>
                </w:p>
              </w:tc>
              <w:tc>
                <w:tcPr>
                  <w:tcW w:w="884" w:type="pct"/>
                  <w:tcBorders>
                    <w:tl2br w:val="nil"/>
                    <w:tr2bl w:val="nil"/>
                  </w:tcBorders>
                  <w:vAlign w:val="center"/>
                </w:tcPr>
                <w:p>
                  <w:pPr>
                    <w:pStyle w:val="68"/>
                    <w:rPr>
                      <w:color w:val="auto"/>
                      <w:lang w:eastAsia="zh-CN"/>
                    </w:rPr>
                  </w:pPr>
                  <w:r>
                    <w:rPr>
                      <w:rFonts w:hint="eastAsia"/>
                      <w:color w:val="auto"/>
                      <w:lang w:eastAsia="zh-CN"/>
                    </w:rPr>
                    <w:t>硫化氢</w:t>
                  </w:r>
                </w:p>
                <w:p>
                  <w:pPr>
                    <w:pStyle w:val="68"/>
                    <w:rPr>
                      <w:color w:val="auto"/>
                    </w:rPr>
                  </w:pPr>
                  <w:r>
                    <w:rPr>
                      <w:rFonts w:hint="eastAsia"/>
                      <w:color w:val="auto"/>
                      <w:lang w:eastAsia="zh-CN"/>
                    </w:rPr>
                    <w:t>氨</w:t>
                  </w:r>
                </w:p>
                <w:p>
                  <w:pPr>
                    <w:pStyle w:val="68"/>
                    <w:rPr>
                      <w:color w:val="auto"/>
                    </w:rPr>
                  </w:pPr>
                  <w:r>
                    <w:rPr>
                      <w:rFonts w:hint="eastAsia"/>
                      <w:color w:val="auto"/>
                      <w:lang w:eastAsia="zh-CN"/>
                    </w:rPr>
                    <w:t>臭气浓度</w:t>
                  </w:r>
                </w:p>
              </w:tc>
              <w:tc>
                <w:tcPr>
                  <w:tcW w:w="530" w:type="pct"/>
                  <w:tcBorders>
                    <w:tl2br w:val="nil"/>
                    <w:tr2bl w:val="nil"/>
                  </w:tcBorders>
                  <w:vAlign w:val="center"/>
                </w:tcPr>
                <w:p>
                  <w:pPr>
                    <w:pStyle w:val="68"/>
                    <w:rPr>
                      <w:color w:val="auto"/>
                    </w:rPr>
                  </w:pPr>
                  <w:r>
                    <w:rPr>
                      <w:rFonts w:hint="eastAsia"/>
                      <w:color w:val="auto"/>
                      <w:lang w:val="en-US" w:eastAsia="zh-CN"/>
                    </w:rPr>
                    <w:t>月/</w:t>
                  </w:r>
                  <w:r>
                    <w:rPr>
                      <w:rFonts w:hint="eastAsia"/>
                      <w:color w:val="auto"/>
                      <w:lang w:eastAsia="zh-CN"/>
                    </w:rPr>
                    <w:t>季度</w:t>
                  </w:r>
                </w:p>
              </w:tc>
              <w:tc>
                <w:tcPr>
                  <w:tcW w:w="885" w:type="pct"/>
                  <w:tcBorders>
                    <w:tl2br w:val="nil"/>
                    <w:tr2bl w:val="nil"/>
                  </w:tcBorders>
                  <w:vAlign w:val="center"/>
                </w:tcPr>
                <w:p>
                  <w:pPr>
                    <w:pStyle w:val="68"/>
                    <w:rPr>
                      <w:color w:val="auto"/>
                    </w:rPr>
                  </w:pPr>
                  <w:r>
                    <w:rPr>
                      <w:color w:val="auto"/>
                    </w:rPr>
                    <w:sym w:font="Wingdings 2" w:char="00A3"/>
                  </w:r>
                  <w:r>
                    <w:rPr>
                      <w:color w:val="auto"/>
                    </w:rPr>
                    <w:t>自动</w:t>
                  </w:r>
                  <w:r>
                    <w:rPr>
                      <w:color w:val="auto"/>
                      <w:shd w:val="clear" w:fill="FFFFFF"/>
                    </w:rPr>
                    <w:sym w:font="Wingdings 2" w:char="0052"/>
                  </w:r>
                  <w:r>
                    <w:rPr>
                      <w:color w:val="auto"/>
                    </w:rPr>
                    <w:t>手工</w:t>
                  </w:r>
                </w:p>
              </w:tc>
              <w:tc>
                <w:tcPr>
                  <w:tcW w:w="1350" w:type="pct"/>
                  <w:tcBorders>
                    <w:tl2br w:val="nil"/>
                    <w:tr2bl w:val="nil"/>
                  </w:tcBorders>
                  <w:vAlign w:val="center"/>
                </w:tcPr>
                <w:p>
                  <w:pPr>
                    <w:pStyle w:val="68"/>
                    <w:rPr>
                      <w:color w:val="auto"/>
                    </w:rPr>
                  </w:pPr>
                  <w:r>
                    <w:rPr>
                      <w:rFonts w:hint="eastAsia"/>
                      <w:bCs/>
                      <w:color w:val="auto"/>
                      <w:lang w:val="en-US"/>
                    </w:rPr>
                    <w:t>《恶臭污染物排放标准》（GB14554-93）</w:t>
                  </w:r>
                </w:p>
              </w:tc>
            </w:tr>
          </w:tbl>
          <w:p>
            <w:pPr>
              <w:pStyle w:val="68"/>
              <w:rPr>
                <w:color w:val="auto"/>
              </w:rPr>
            </w:pPr>
          </w:p>
          <w:p>
            <w:pPr>
              <w:pStyle w:val="75"/>
              <w:rPr>
                <w:color w:val="auto"/>
              </w:rPr>
            </w:pPr>
            <w:r>
              <w:rPr>
                <w:rFonts w:hint="eastAsia"/>
                <w:color w:val="auto"/>
              </w:rPr>
              <w:t>4.2.1.</w:t>
            </w:r>
            <w:r>
              <w:rPr>
                <w:color w:val="auto"/>
              </w:rPr>
              <w:t>5</w:t>
            </w:r>
            <w:r>
              <w:rPr>
                <w:rFonts w:hint="eastAsia"/>
                <w:color w:val="auto"/>
              </w:rPr>
              <w:t>源强核算过程</w:t>
            </w:r>
          </w:p>
          <w:p>
            <w:pPr>
              <w:pStyle w:val="84"/>
              <w:ind w:firstLine="482"/>
              <w:rPr>
                <w:color w:val="auto"/>
              </w:rPr>
            </w:pPr>
            <w:r>
              <w:rPr>
                <w:rFonts w:hint="eastAsia"/>
                <w:color w:val="auto"/>
              </w:rPr>
              <w:t>1.除臭系统风量核算</w:t>
            </w:r>
          </w:p>
          <w:p>
            <w:pPr>
              <w:ind w:firstLine="480"/>
              <w:rPr>
                <w:color w:val="auto"/>
              </w:rPr>
            </w:pPr>
            <w:r>
              <w:rPr>
                <w:rFonts w:hint="eastAsia"/>
                <w:color w:val="auto"/>
              </w:rPr>
              <w:t>本项目设置1</w:t>
            </w:r>
            <w:r>
              <w:rPr>
                <w:rFonts w:hint="eastAsia"/>
                <w:color w:val="auto"/>
                <w:lang w:val="en-US" w:eastAsia="zh-CN"/>
              </w:rPr>
              <w:t>间</w:t>
            </w:r>
            <w:r>
              <w:rPr>
                <w:rFonts w:hint="eastAsia"/>
                <w:color w:val="auto"/>
              </w:rPr>
              <w:t>处置车间，采用全封闭式，建筑面积2</w:t>
            </w:r>
            <w:r>
              <w:rPr>
                <w:color w:val="auto"/>
              </w:rPr>
              <w:t>48</w:t>
            </w:r>
            <w:r>
              <w:rPr>
                <w:rFonts w:hint="eastAsia"/>
                <w:color w:val="auto"/>
              </w:rPr>
              <w:t>㎡，车间维持微负压状态，设备定点微负压收集至除臭系统处理。微负压车间是指在车间内采用高效净化设备，能够控制室内的气流方向，将车间内的废气通过收集净化后通过1</w:t>
            </w:r>
            <w:r>
              <w:rPr>
                <w:color w:val="auto"/>
              </w:rPr>
              <w:t>5</w:t>
            </w:r>
            <w:r>
              <w:rPr>
                <w:rFonts w:hint="eastAsia"/>
                <w:color w:val="auto"/>
              </w:rPr>
              <w:t>m高排气筒</w:t>
            </w:r>
            <w:r>
              <w:rPr>
                <w:rFonts w:hint="eastAsia"/>
                <w:color w:val="auto"/>
                <w:lang w:eastAsia="zh-CN"/>
              </w:rPr>
              <w:t>（</w:t>
            </w:r>
            <w:r>
              <w:rPr>
                <w:rFonts w:hint="eastAsia"/>
                <w:color w:val="auto"/>
                <w:lang w:val="en-US" w:eastAsia="zh-CN"/>
              </w:rPr>
              <w:t>编号：DA001</w:t>
            </w:r>
            <w:r>
              <w:rPr>
                <w:rFonts w:hint="eastAsia"/>
                <w:color w:val="auto"/>
                <w:lang w:eastAsia="zh-CN"/>
              </w:rPr>
              <w:t>）</w:t>
            </w:r>
            <w:r>
              <w:rPr>
                <w:rFonts w:hint="eastAsia"/>
                <w:color w:val="auto"/>
              </w:rPr>
              <w:t>排放，微负压车间内形成一个低负压区域，降低有害气体逸散至厂区外对周边环境敏感目标造成的影响。一般来说，将微负压车间的换气次数控制在6</w:t>
            </w:r>
            <w:r>
              <w:rPr>
                <w:rFonts w:hint="eastAsia"/>
                <w:color w:val="auto"/>
                <w:lang w:eastAsia="zh-CN"/>
              </w:rPr>
              <w:t>—</w:t>
            </w:r>
            <w:r>
              <w:rPr>
                <w:rFonts w:hint="eastAsia"/>
                <w:color w:val="auto"/>
              </w:rPr>
              <w:t>8次/小时左右是适宜的。</w:t>
            </w:r>
          </w:p>
          <w:p>
            <w:pPr>
              <w:pStyle w:val="71"/>
              <w:rPr>
                <w:rFonts w:hint="default" w:ascii="Times New Roman" w:hAnsi="Times New Roman" w:cs="Times New Roman"/>
                <w:color w:val="auto"/>
              </w:rPr>
            </w:pPr>
            <w:r>
              <w:rPr>
                <w:rFonts w:hint="default" w:ascii="Times New Roman" w:hAnsi="Times New Roman" w:cs="Times New Roman"/>
                <w:color w:val="auto"/>
              </w:rPr>
              <w:t>表4.2-</w:t>
            </w:r>
            <w:r>
              <w:rPr>
                <w:rFonts w:hint="default" w:ascii="Times New Roman" w:hAnsi="Times New Roman" w:cs="Times New Roman"/>
                <w:color w:val="auto"/>
                <w:lang w:val="en-US" w:eastAsia="zh-CN"/>
              </w:rPr>
              <w:t xml:space="preserve">5 </w:t>
            </w:r>
            <w:r>
              <w:rPr>
                <w:rFonts w:hint="default" w:ascii="Times New Roman" w:hAnsi="Times New Roman" w:cs="Times New Roman"/>
                <w:color w:val="auto"/>
              </w:rPr>
              <w:t xml:space="preserve"> 除臭系统风量核算表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568"/>
              <w:gridCol w:w="1569"/>
              <w:gridCol w:w="156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收集点</w:t>
                  </w:r>
                </w:p>
              </w:tc>
              <w:tc>
                <w:tcPr>
                  <w:tcW w:w="1000"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面积</w:t>
                  </w:r>
                </w:p>
              </w:tc>
              <w:tc>
                <w:tcPr>
                  <w:tcW w:w="1000"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抽风高度</w:t>
                  </w:r>
                </w:p>
              </w:tc>
              <w:tc>
                <w:tcPr>
                  <w:tcW w:w="1000"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rPr>
                    <w:t>换气次数</w:t>
                  </w:r>
                </w:p>
              </w:tc>
              <w:tc>
                <w:tcPr>
                  <w:tcW w:w="1000" w:type="pct"/>
                  <w:vAlign w:val="center"/>
                </w:tcPr>
                <w:p>
                  <w:pPr>
                    <w:pStyle w:val="68"/>
                    <w:rPr>
                      <w:rFonts w:hint="default" w:ascii="Times New Roman" w:hAnsi="Times New Roman" w:cs="Times New Roman"/>
                      <w:b/>
                      <w:bCs/>
                      <w:color w:val="auto"/>
                    </w:rPr>
                  </w:pPr>
                  <w:r>
                    <w:rPr>
                      <w:rFonts w:hint="default" w:ascii="Times New Roman" w:hAnsi="Times New Roman" w:cs="Times New Roman"/>
                      <w:b/>
                      <w:bCs/>
                      <w:color w:val="auto"/>
                      <w:lang w:eastAsia="zh-CN"/>
                    </w:rPr>
                    <w:t>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lang w:eastAsia="zh-CN"/>
                    </w:rPr>
                    <w:t>处置车间</w:t>
                  </w:r>
                </w:p>
              </w:tc>
              <w:tc>
                <w:tcPr>
                  <w:tcW w:w="1000" w:type="pct"/>
                  <w:vAlign w:val="center"/>
                </w:tcPr>
                <w:p>
                  <w:pPr>
                    <w:pStyle w:val="68"/>
                    <w:rPr>
                      <w:rFonts w:hint="default" w:ascii="Times New Roman" w:hAnsi="Times New Roman" w:eastAsia="宋体" w:cs="Times New Roman"/>
                      <w:color w:val="auto"/>
                      <w:lang w:val="en-US" w:eastAsia="zh-CN"/>
                    </w:rPr>
                  </w:pPr>
                  <w:r>
                    <w:rPr>
                      <w:rFonts w:hint="default" w:ascii="Times New Roman" w:hAnsi="Times New Roman" w:cs="Times New Roman"/>
                      <w:color w:val="auto"/>
                    </w:rPr>
                    <w:t>248</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p>
              </w:tc>
              <w:tc>
                <w:tcPr>
                  <w:tcW w:w="100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4m</w:t>
                  </w:r>
                </w:p>
              </w:tc>
              <w:tc>
                <w:tcPr>
                  <w:tcW w:w="1000" w:type="pct"/>
                  <w:vAlign w:val="center"/>
                </w:tcPr>
                <w:p>
                  <w:pPr>
                    <w:pStyle w:val="68"/>
                    <w:rPr>
                      <w:rFonts w:hint="default" w:ascii="Times New Roman" w:hAnsi="Times New Roman" w:cs="Times New Roman"/>
                      <w:color w:val="auto"/>
                    </w:rPr>
                  </w:pPr>
                  <w:r>
                    <w:rPr>
                      <w:rFonts w:hint="default" w:ascii="Times New Roman" w:hAnsi="Times New Roman" w:cs="Times New Roman"/>
                      <w:color w:val="auto"/>
                    </w:rPr>
                    <w:t>6次/小时</w:t>
                  </w:r>
                </w:p>
              </w:tc>
              <w:tc>
                <w:tcPr>
                  <w:tcW w:w="1000" w:type="pct"/>
                  <w:vAlign w:val="center"/>
                </w:tcPr>
                <w:p>
                  <w:pPr>
                    <w:pStyle w:val="68"/>
                    <w:rPr>
                      <w:rFonts w:hint="default" w:ascii="Times New Roman" w:hAnsi="Times New Roman" w:cs="Times New Roman"/>
                      <w:color w:val="auto"/>
                      <w:lang w:eastAsia="zh-CN"/>
                    </w:rPr>
                  </w:pPr>
                  <w:r>
                    <w:rPr>
                      <w:rFonts w:hint="default" w:ascii="Times New Roman" w:hAnsi="Times New Roman" w:cs="Times New Roman"/>
                      <w:color w:val="auto"/>
                      <w:lang w:eastAsia="zh-CN"/>
                    </w:rPr>
                    <w:t>5952m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/h</w:t>
                  </w:r>
                </w:p>
              </w:tc>
            </w:tr>
          </w:tbl>
          <w:p>
            <w:pPr>
              <w:ind w:firstLine="480"/>
              <w:rPr>
                <w:color w:val="auto"/>
              </w:rPr>
            </w:pPr>
            <w:r>
              <w:rPr>
                <w:rFonts w:hint="eastAsia"/>
                <w:color w:val="auto"/>
              </w:rPr>
              <w:t>综上，本项目微负压车间风量取值6</w:t>
            </w:r>
            <w:r>
              <w:rPr>
                <w:color w:val="auto"/>
              </w:rPr>
              <w:t>000m</w:t>
            </w:r>
            <w:r>
              <w:rPr>
                <w:color w:val="auto"/>
                <w:vertAlign w:val="superscript"/>
              </w:rPr>
              <w:t>3</w:t>
            </w:r>
            <w:r>
              <w:rPr>
                <w:color w:val="auto"/>
              </w:rPr>
              <w:t>/h</w:t>
            </w:r>
            <w:r>
              <w:rPr>
                <w:rFonts w:hint="eastAsia"/>
                <w:color w:val="auto"/>
              </w:rPr>
              <w:t>。</w:t>
            </w:r>
          </w:p>
          <w:p>
            <w:pPr>
              <w:pStyle w:val="84"/>
              <w:ind w:firstLine="482"/>
              <w:rPr>
                <w:color w:val="auto"/>
              </w:rPr>
            </w:pPr>
            <w:r>
              <w:rPr>
                <w:color w:val="auto"/>
              </w:rPr>
              <w:t>2.</w:t>
            </w:r>
            <w:r>
              <w:rPr>
                <w:rFonts w:hint="eastAsia"/>
                <w:color w:val="auto"/>
              </w:rPr>
              <w:t>餐厨垃圾处理恶臭</w:t>
            </w:r>
          </w:p>
          <w:p>
            <w:pPr>
              <w:ind w:firstLine="480"/>
              <w:rPr>
                <w:color w:val="auto"/>
              </w:rPr>
            </w:pPr>
            <w:r>
              <w:rPr>
                <w:rFonts w:hint="eastAsia"/>
                <w:color w:val="auto"/>
              </w:rPr>
              <w:t>经调查，国内餐厨垃圾处理厂为近几年兴起的，目前该类企业投运的项目较少，积累的运行数据有限，国家暂未发布该行业相关的产排污系数，因此本次环评采用类比法，参考广州市白云区江</w:t>
            </w:r>
            <w:r>
              <w:rPr>
                <w:color w:val="auto"/>
              </w:rPr>
              <w:t>的“</w:t>
            </w:r>
            <w:r>
              <w:rPr>
                <w:rFonts w:hint="eastAsia"/>
                <w:color w:val="auto"/>
              </w:rPr>
              <w:t>江高镇餐厨垃圾处理站</w:t>
            </w:r>
            <w:r>
              <w:rPr>
                <w:rFonts w:hint="eastAsia"/>
                <w:color w:val="auto"/>
                <w:shd w:val="clear" w:fill="FFFFFF"/>
              </w:rPr>
              <w:t>塘贝</w:t>
            </w:r>
            <w:r>
              <w:rPr>
                <w:rFonts w:hint="eastAsia"/>
                <w:color w:val="auto"/>
              </w:rPr>
              <w:t>站点建设项目</w:t>
            </w:r>
            <w:r>
              <w:rPr>
                <w:color w:val="auto"/>
              </w:rPr>
              <w:t>”竣工环境保护验收监测数据进行类比，类比可行性分析详见表4.2-</w:t>
            </w:r>
            <w:r>
              <w:rPr>
                <w:rFonts w:hint="eastAsia"/>
                <w:color w:val="auto"/>
                <w:lang w:val="en-US" w:eastAsia="zh-CN"/>
              </w:rPr>
              <w:t>6</w:t>
            </w:r>
            <w:r>
              <w:rPr>
                <w:color w:val="auto"/>
              </w:rPr>
              <w:t>。</w:t>
            </w:r>
          </w:p>
          <w:p>
            <w:pPr>
              <w:ind w:firstLine="480"/>
              <w:rPr>
                <w:color w:val="auto"/>
              </w:rPr>
            </w:pPr>
            <w:r>
              <w:rPr>
                <w:color w:val="auto"/>
              </w:rPr>
              <w:t>该厂餐厨垃圾处理工艺与本项目一致，餐厨垃圾的成分相似，主要恶臭产生环节均为餐厨垃圾收集料仓、</w:t>
            </w:r>
            <w:r>
              <w:rPr>
                <w:rFonts w:hint="eastAsia"/>
                <w:color w:val="auto"/>
              </w:rPr>
              <w:t>固液分离</w:t>
            </w:r>
            <w:r>
              <w:rPr>
                <w:color w:val="auto"/>
              </w:rPr>
              <w:t>、油水</w:t>
            </w:r>
            <w:r>
              <w:rPr>
                <w:color w:val="auto"/>
                <w:shd w:val="clear" w:fill="FFFFFF"/>
              </w:rPr>
              <w:t>渣</w:t>
            </w:r>
            <w:r>
              <w:rPr>
                <w:color w:val="auto"/>
              </w:rPr>
              <w:t>三相分离</w:t>
            </w:r>
            <w:r>
              <w:rPr>
                <w:rFonts w:hint="eastAsia"/>
                <w:color w:val="auto"/>
              </w:rPr>
              <w:t>、好氧发酵等</w:t>
            </w:r>
            <w:r>
              <w:rPr>
                <w:color w:val="auto"/>
              </w:rPr>
              <w:t>过程产生的臭气。本项目将餐厨垃圾收集料仓、</w:t>
            </w:r>
            <w:r>
              <w:rPr>
                <w:rFonts w:hint="eastAsia"/>
                <w:color w:val="auto"/>
              </w:rPr>
              <w:t>固液分离</w:t>
            </w:r>
            <w:r>
              <w:rPr>
                <w:color w:val="auto"/>
              </w:rPr>
              <w:t>、油水</w:t>
            </w:r>
            <w:r>
              <w:rPr>
                <w:color w:val="auto"/>
                <w:shd w:val="clear" w:fill="FFFFFF"/>
              </w:rPr>
              <w:t>渣</w:t>
            </w:r>
            <w:r>
              <w:rPr>
                <w:color w:val="auto"/>
              </w:rPr>
              <w:t>三相分离</w:t>
            </w:r>
            <w:r>
              <w:rPr>
                <w:rFonts w:hint="eastAsia"/>
                <w:color w:val="auto"/>
              </w:rPr>
              <w:t>、好氧发酵</w:t>
            </w:r>
            <w:r>
              <w:rPr>
                <w:color w:val="auto"/>
              </w:rPr>
              <w:t>产生的臭气经</w:t>
            </w:r>
            <w:r>
              <w:rPr>
                <w:rFonts w:hint="eastAsia"/>
                <w:color w:val="auto"/>
              </w:rPr>
              <w:t>集气罩</w:t>
            </w:r>
            <w:r>
              <w:rPr>
                <w:color w:val="auto"/>
              </w:rPr>
              <w:t>收集后作为高浓度臭气处理，车间内外逸的恶臭气体作为低浓度臭气处理。故本项目餐厨垃圾</w:t>
            </w:r>
            <w:r>
              <w:rPr>
                <w:rFonts w:hint="eastAsia"/>
                <w:color w:val="auto"/>
              </w:rPr>
              <w:t>处置</w:t>
            </w:r>
            <w:r>
              <w:rPr>
                <w:color w:val="auto"/>
              </w:rPr>
              <w:t>恶臭气体的产生源</w:t>
            </w:r>
            <w:r>
              <w:rPr>
                <w:color w:val="auto"/>
                <w:shd w:val="clear" w:fill="FFFFFF"/>
              </w:rPr>
              <w:t>强</w:t>
            </w:r>
            <w:r>
              <w:rPr>
                <w:color w:val="auto"/>
              </w:rPr>
              <w:t>可类比</w:t>
            </w:r>
            <w:r>
              <w:rPr>
                <w:color w:val="auto"/>
                <w:shd w:val="clear" w:fill="FFFFFF"/>
              </w:rPr>
              <w:t>该</w:t>
            </w:r>
            <w:r>
              <w:rPr>
                <w:color w:val="auto"/>
              </w:rPr>
              <w:t>餐厨垃圾</w:t>
            </w:r>
            <w:r>
              <w:rPr>
                <w:rFonts w:hint="eastAsia"/>
                <w:color w:val="auto"/>
              </w:rPr>
              <w:t>处置项目恶臭气体</w:t>
            </w:r>
            <w:r>
              <w:rPr>
                <w:color w:val="auto"/>
              </w:rPr>
              <w:t>的产生源强。</w:t>
            </w:r>
          </w:p>
          <w:p>
            <w:pPr>
              <w:pStyle w:val="71"/>
              <w:rPr>
                <w:color w:val="auto"/>
              </w:rPr>
            </w:pPr>
            <w:r>
              <w:rPr>
                <w:rFonts w:hint="eastAsia"/>
                <w:color w:val="auto"/>
              </w:rPr>
              <w:t>表</w:t>
            </w:r>
            <w:r>
              <w:rPr>
                <w:color w:val="auto"/>
              </w:rPr>
              <w:t>4.2-</w:t>
            </w:r>
            <w:r>
              <w:rPr>
                <w:rFonts w:hint="eastAsia"/>
                <w:color w:val="auto"/>
                <w:lang w:val="en-US" w:eastAsia="zh-CN"/>
              </w:rPr>
              <w:t xml:space="preserve">6 </w:t>
            </w:r>
            <w:r>
              <w:rPr>
                <w:rFonts w:hint="eastAsia"/>
                <w:color w:val="auto"/>
              </w:rPr>
              <w:t xml:space="preserve"> 项目类比情况一览表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2436"/>
              <w:gridCol w:w="1660"/>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pPr>
                    <w:pStyle w:val="68"/>
                    <w:rPr>
                      <w:b/>
                      <w:bCs/>
                      <w:color w:val="auto"/>
                    </w:rPr>
                  </w:pPr>
                  <w:r>
                    <w:rPr>
                      <w:rFonts w:hint="eastAsia"/>
                      <w:b/>
                      <w:bCs/>
                      <w:color w:val="auto"/>
                    </w:rPr>
                    <w:t>指标</w:t>
                  </w:r>
                </w:p>
              </w:tc>
              <w:tc>
                <w:tcPr>
                  <w:tcW w:w="1553" w:type="pct"/>
                  <w:vAlign w:val="center"/>
                </w:tcPr>
                <w:p>
                  <w:pPr>
                    <w:pStyle w:val="68"/>
                    <w:rPr>
                      <w:b/>
                      <w:bCs/>
                      <w:color w:val="auto"/>
                    </w:rPr>
                  </w:pPr>
                  <w:r>
                    <w:rPr>
                      <w:rFonts w:hint="eastAsia"/>
                      <w:b/>
                      <w:bCs/>
                      <w:color w:val="auto"/>
                    </w:rPr>
                    <w:t>江高镇餐厨垃圾处理站</w:t>
                  </w:r>
                  <w:r>
                    <w:rPr>
                      <w:rFonts w:hint="eastAsia"/>
                      <w:b/>
                      <w:bCs/>
                      <w:color w:val="auto"/>
                      <w:shd w:val="clear" w:fill="FFFFFF"/>
                    </w:rPr>
                    <w:t>塘贝</w:t>
                  </w:r>
                  <w:r>
                    <w:rPr>
                      <w:rFonts w:hint="eastAsia"/>
                      <w:b/>
                      <w:bCs/>
                      <w:color w:val="auto"/>
                    </w:rPr>
                    <w:t>站点建设项目</w:t>
                  </w:r>
                </w:p>
              </w:tc>
              <w:tc>
                <w:tcPr>
                  <w:tcW w:w="1058" w:type="pct"/>
                  <w:vAlign w:val="center"/>
                </w:tcPr>
                <w:p>
                  <w:pPr>
                    <w:pStyle w:val="68"/>
                    <w:rPr>
                      <w:b/>
                      <w:bCs/>
                      <w:color w:val="auto"/>
                    </w:rPr>
                  </w:pPr>
                  <w:r>
                    <w:rPr>
                      <w:rFonts w:hint="eastAsia"/>
                      <w:b/>
                      <w:bCs/>
                      <w:color w:val="auto"/>
                    </w:rPr>
                    <w:t>本项目</w:t>
                  </w:r>
                </w:p>
              </w:tc>
              <w:tc>
                <w:tcPr>
                  <w:tcW w:w="1586" w:type="pct"/>
                  <w:vAlign w:val="center"/>
                </w:tcPr>
                <w:p>
                  <w:pPr>
                    <w:pStyle w:val="68"/>
                    <w:rPr>
                      <w:b/>
                      <w:bCs/>
                      <w:color w:val="auto"/>
                    </w:rPr>
                  </w:pPr>
                  <w:r>
                    <w:rPr>
                      <w:rFonts w:hint="eastAsia"/>
                      <w:b/>
                      <w:bCs/>
                      <w:color w:val="auto"/>
                    </w:rPr>
                    <w:t>可类比性分析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pPr>
                    <w:pStyle w:val="68"/>
                    <w:rPr>
                      <w:color w:val="auto"/>
                    </w:rPr>
                  </w:pPr>
                  <w:r>
                    <w:rPr>
                      <w:rFonts w:hint="eastAsia"/>
                      <w:color w:val="auto"/>
                    </w:rPr>
                    <w:t>建设内容</w:t>
                  </w:r>
                </w:p>
              </w:tc>
              <w:tc>
                <w:tcPr>
                  <w:tcW w:w="1553" w:type="pct"/>
                  <w:vAlign w:val="center"/>
                </w:tcPr>
                <w:p>
                  <w:pPr>
                    <w:pStyle w:val="68"/>
                    <w:rPr>
                      <w:color w:val="auto"/>
                      <w:lang w:eastAsia="zh-CN"/>
                    </w:rPr>
                  </w:pPr>
                  <w:r>
                    <w:rPr>
                      <w:color w:val="auto"/>
                    </w:rPr>
                    <w:t>设有餐厨</w:t>
                  </w:r>
                  <w:r>
                    <w:rPr>
                      <w:rFonts w:hint="eastAsia"/>
                      <w:color w:val="auto"/>
                    </w:rPr>
                    <w:t>垃圾分选</w:t>
                  </w:r>
                  <w:r>
                    <w:rPr>
                      <w:rFonts w:hint="eastAsia"/>
                      <w:color w:val="auto"/>
                      <w:lang w:eastAsia="zh-CN"/>
                    </w:rPr>
                    <w:t>破碎</w:t>
                  </w:r>
                  <w:r>
                    <w:rPr>
                      <w:rFonts w:hint="eastAsia"/>
                      <w:color w:val="auto"/>
                    </w:rPr>
                    <w:t>、</w:t>
                  </w:r>
                  <w:r>
                    <w:rPr>
                      <w:rFonts w:hint="eastAsia"/>
                      <w:color w:val="auto"/>
                      <w:lang w:eastAsia="zh-CN"/>
                    </w:rPr>
                    <w:t>脱水</w:t>
                  </w:r>
                  <w:r>
                    <w:rPr>
                      <w:rFonts w:hint="eastAsia"/>
                      <w:color w:val="auto"/>
                    </w:rPr>
                    <w:t>、三相分离</w:t>
                  </w:r>
                  <w:r>
                    <w:rPr>
                      <w:color w:val="auto"/>
                    </w:rPr>
                    <w:t>、好氧发酵处理</w:t>
                  </w:r>
                  <w:r>
                    <w:rPr>
                      <w:rFonts w:hint="eastAsia"/>
                      <w:color w:val="auto"/>
                      <w:lang w:eastAsia="zh-CN"/>
                    </w:rPr>
                    <w:t>、烘干</w:t>
                  </w:r>
                </w:p>
              </w:tc>
              <w:tc>
                <w:tcPr>
                  <w:tcW w:w="1058" w:type="pct"/>
                  <w:vAlign w:val="center"/>
                </w:tcPr>
                <w:p>
                  <w:pPr>
                    <w:pStyle w:val="68"/>
                    <w:rPr>
                      <w:color w:val="auto"/>
                    </w:rPr>
                  </w:pPr>
                  <w:r>
                    <w:rPr>
                      <w:color w:val="auto"/>
                    </w:rPr>
                    <w:t>设有餐厨垃圾</w:t>
                  </w:r>
                  <w:r>
                    <w:rPr>
                      <w:rFonts w:hint="eastAsia"/>
                      <w:color w:val="auto"/>
                      <w:lang w:eastAsia="zh-CN"/>
                    </w:rPr>
                    <w:t>加热、脱水</w:t>
                  </w:r>
                  <w:r>
                    <w:rPr>
                      <w:rFonts w:hint="eastAsia"/>
                      <w:color w:val="auto"/>
                    </w:rPr>
                    <w:t>、三相分离</w:t>
                  </w:r>
                  <w:r>
                    <w:rPr>
                      <w:rFonts w:hint="eastAsia"/>
                      <w:color w:val="auto"/>
                      <w:lang w:eastAsia="zh-CN"/>
                    </w:rPr>
                    <w:t>、好氧发酵</w:t>
                  </w:r>
                  <w:r>
                    <w:rPr>
                      <w:rFonts w:hint="eastAsia"/>
                      <w:color w:val="auto"/>
                    </w:rPr>
                    <w:t>等</w:t>
                  </w:r>
                  <w:r>
                    <w:rPr>
                      <w:color w:val="auto"/>
                    </w:rPr>
                    <w:t>处理</w:t>
                  </w:r>
                  <w:r>
                    <w:rPr>
                      <w:rFonts w:hint="eastAsia"/>
                      <w:color w:val="auto"/>
                    </w:rPr>
                    <w:t>设施</w:t>
                  </w:r>
                </w:p>
              </w:tc>
              <w:tc>
                <w:tcPr>
                  <w:tcW w:w="1586" w:type="pct"/>
                  <w:vAlign w:val="center"/>
                </w:tcPr>
                <w:p>
                  <w:pPr>
                    <w:pStyle w:val="68"/>
                    <w:rPr>
                      <w:color w:val="auto"/>
                    </w:rPr>
                  </w:pPr>
                  <w:r>
                    <w:rPr>
                      <w:rFonts w:hint="eastAsia"/>
                      <w:color w:val="auto"/>
                      <w:lang w:eastAsia="zh-CN"/>
                    </w:rPr>
                    <w:t>垃圾预处理</w:t>
                  </w:r>
                  <w:r>
                    <w:rPr>
                      <w:rFonts w:hint="eastAsia"/>
                      <w:color w:val="auto"/>
                    </w:rPr>
                    <w:t>工艺</w:t>
                  </w:r>
                  <w:r>
                    <w:rPr>
                      <w:rFonts w:hint="eastAsia"/>
                      <w:color w:val="auto"/>
                      <w:lang w:eastAsia="zh-CN"/>
                    </w:rPr>
                    <w:t>基本一致</w:t>
                  </w:r>
                  <w:r>
                    <w:rPr>
                      <w:rFonts w:hint="eastAsia"/>
                      <w:color w:val="auto"/>
                    </w:rPr>
                    <w:t>，具有可类比性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pPr>
                    <w:pStyle w:val="68"/>
                    <w:rPr>
                      <w:color w:val="auto"/>
                    </w:rPr>
                  </w:pPr>
                  <w:r>
                    <w:rPr>
                      <w:rFonts w:hint="eastAsia"/>
                      <w:color w:val="auto"/>
                    </w:rPr>
                    <w:t>规模</w:t>
                  </w:r>
                </w:p>
              </w:tc>
              <w:tc>
                <w:tcPr>
                  <w:tcW w:w="1553" w:type="pct"/>
                  <w:vAlign w:val="center"/>
                </w:tcPr>
                <w:p>
                  <w:pPr>
                    <w:pStyle w:val="68"/>
                    <w:rPr>
                      <w:color w:val="auto"/>
                    </w:rPr>
                  </w:pPr>
                  <w:r>
                    <w:rPr>
                      <w:rFonts w:hint="eastAsia"/>
                      <w:color w:val="auto"/>
                    </w:rPr>
                    <w:t>餐厨垃圾处理规模20t/d</w:t>
                  </w:r>
                </w:p>
              </w:tc>
              <w:tc>
                <w:tcPr>
                  <w:tcW w:w="1058" w:type="pct"/>
                  <w:vAlign w:val="center"/>
                </w:tcPr>
                <w:p>
                  <w:pPr>
                    <w:pStyle w:val="68"/>
                    <w:rPr>
                      <w:color w:val="auto"/>
                    </w:rPr>
                  </w:pPr>
                  <w:r>
                    <w:rPr>
                      <w:rFonts w:hint="eastAsia"/>
                      <w:color w:val="auto"/>
                    </w:rPr>
                    <w:t>餐厨垃圾处理规模30t/d</w:t>
                  </w:r>
                </w:p>
              </w:tc>
              <w:tc>
                <w:tcPr>
                  <w:tcW w:w="1586" w:type="pct"/>
                  <w:vAlign w:val="center"/>
                </w:tcPr>
                <w:p>
                  <w:pPr>
                    <w:pStyle w:val="68"/>
                    <w:rPr>
                      <w:color w:val="auto"/>
                    </w:rPr>
                  </w:pPr>
                  <w:r>
                    <w:rPr>
                      <w:rFonts w:hint="eastAsia"/>
                      <w:color w:val="auto"/>
                    </w:rPr>
                    <w:t>规模类似，具有可类比性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pPr>
                    <w:pStyle w:val="68"/>
                    <w:rPr>
                      <w:color w:val="auto"/>
                    </w:rPr>
                  </w:pPr>
                  <w:r>
                    <w:rPr>
                      <w:rFonts w:hint="eastAsia"/>
                      <w:color w:val="auto"/>
                    </w:rPr>
                    <w:t>原材料</w:t>
                  </w:r>
                </w:p>
              </w:tc>
              <w:tc>
                <w:tcPr>
                  <w:tcW w:w="1553" w:type="pct"/>
                  <w:vAlign w:val="center"/>
                </w:tcPr>
                <w:p>
                  <w:pPr>
                    <w:pStyle w:val="68"/>
                    <w:rPr>
                      <w:color w:val="auto"/>
                    </w:rPr>
                  </w:pPr>
                  <w:r>
                    <w:rPr>
                      <w:color w:val="auto"/>
                    </w:rPr>
                    <w:t>餐饮垃圾、厨余垃圾</w:t>
                  </w:r>
                </w:p>
              </w:tc>
              <w:tc>
                <w:tcPr>
                  <w:tcW w:w="1058" w:type="pct"/>
                  <w:vAlign w:val="center"/>
                </w:tcPr>
                <w:p>
                  <w:pPr>
                    <w:pStyle w:val="68"/>
                    <w:rPr>
                      <w:color w:val="auto"/>
                    </w:rPr>
                  </w:pPr>
                  <w:r>
                    <w:rPr>
                      <w:color w:val="auto"/>
                    </w:rPr>
                    <w:t>餐饮垃圾、厨余垃圾</w:t>
                  </w:r>
                </w:p>
              </w:tc>
              <w:tc>
                <w:tcPr>
                  <w:tcW w:w="1586" w:type="pct"/>
                  <w:vAlign w:val="center"/>
                </w:tcPr>
                <w:p>
                  <w:pPr>
                    <w:pStyle w:val="68"/>
                    <w:rPr>
                      <w:color w:val="auto"/>
                    </w:rPr>
                  </w:pPr>
                  <w:r>
                    <w:rPr>
                      <w:color w:val="auto"/>
                    </w:rPr>
                    <w:t>餐厨垃圾处理的原料来源一致，具有可类比性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pPr>
                    <w:pStyle w:val="68"/>
                    <w:rPr>
                      <w:color w:val="auto"/>
                    </w:rPr>
                  </w:pPr>
                  <w:r>
                    <w:rPr>
                      <w:rFonts w:hint="eastAsia"/>
                      <w:color w:val="auto"/>
                    </w:rPr>
                    <w:t>卸料过程</w:t>
                  </w:r>
                </w:p>
              </w:tc>
              <w:tc>
                <w:tcPr>
                  <w:tcW w:w="1553" w:type="pct"/>
                  <w:vAlign w:val="center"/>
                </w:tcPr>
                <w:p>
                  <w:pPr>
                    <w:pStyle w:val="68"/>
                    <w:rPr>
                      <w:color w:val="auto"/>
                    </w:rPr>
                  </w:pPr>
                  <w:r>
                    <w:rPr>
                      <w:color w:val="auto"/>
                    </w:rPr>
                    <w:t>餐厨垃圾运输车卸料</w:t>
                  </w:r>
                </w:p>
              </w:tc>
              <w:tc>
                <w:tcPr>
                  <w:tcW w:w="1058" w:type="pct"/>
                  <w:vAlign w:val="center"/>
                </w:tcPr>
                <w:p>
                  <w:pPr>
                    <w:pStyle w:val="68"/>
                    <w:rPr>
                      <w:color w:val="auto"/>
                    </w:rPr>
                  </w:pPr>
                  <w:r>
                    <w:rPr>
                      <w:color w:val="auto"/>
                    </w:rPr>
                    <w:t>餐厨垃圾运输车卸料</w:t>
                  </w:r>
                </w:p>
              </w:tc>
              <w:tc>
                <w:tcPr>
                  <w:tcW w:w="1586" w:type="pct"/>
                  <w:vAlign w:val="center"/>
                </w:tcPr>
                <w:p>
                  <w:pPr>
                    <w:pStyle w:val="68"/>
                    <w:rPr>
                      <w:color w:val="auto"/>
                    </w:rPr>
                  </w:pPr>
                  <w:r>
                    <w:rPr>
                      <w:color w:val="auto"/>
                    </w:rPr>
                    <w:t>卸料过程</w:t>
                  </w:r>
                  <w:r>
                    <w:rPr>
                      <w:rFonts w:hint="eastAsia"/>
                      <w:color w:val="auto"/>
                      <w:lang w:eastAsia="zh-CN"/>
                    </w:rPr>
                    <w:t>一致</w:t>
                  </w:r>
                  <w:r>
                    <w:rPr>
                      <w:color w:val="auto"/>
                    </w:rPr>
                    <w:t>，具有可类比性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03" w:type="pct"/>
                  <w:vAlign w:val="center"/>
                </w:tcPr>
                <w:p>
                  <w:pPr>
                    <w:pStyle w:val="68"/>
                    <w:rPr>
                      <w:color w:val="auto"/>
                    </w:rPr>
                  </w:pPr>
                  <w:r>
                    <w:rPr>
                      <w:rFonts w:hint="eastAsia"/>
                      <w:color w:val="auto"/>
                    </w:rPr>
                    <w:t>生产</w:t>
                  </w:r>
                  <w:r>
                    <w:rPr>
                      <w:rFonts w:hint="eastAsia"/>
                      <w:color w:val="auto"/>
                      <w:lang w:eastAsia="zh-CN"/>
                    </w:rPr>
                    <w:t>工艺</w:t>
                  </w:r>
                </w:p>
              </w:tc>
              <w:tc>
                <w:tcPr>
                  <w:tcW w:w="1553" w:type="pct"/>
                  <w:vAlign w:val="center"/>
                </w:tcPr>
                <w:p>
                  <w:pPr>
                    <w:pStyle w:val="68"/>
                    <w:rPr>
                      <w:color w:val="auto"/>
                    </w:rPr>
                  </w:pPr>
                  <w:r>
                    <w:rPr>
                      <w:rFonts w:hint="eastAsia"/>
                      <w:color w:val="auto"/>
                      <w:lang w:eastAsia="zh-CN"/>
                    </w:rPr>
                    <w:t>车辆运输→卸料分拣→破碎、脱水→好氧发酵→脱水→烘干</w:t>
                  </w:r>
                </w:p>
              </w:tc>
              <w:tc>
                <w:tcPr>
                  <w:tcW w:w="1058" w:type="pct"/>
                  <w:vAlign w:val="center"/>
                </w:tcPr>
                <w:p>
                  <w:pPr>
                    <w:pStyle w:val="68"/>
                    <w:rPr>
                      <w:color w:val="auto"/>
                    </w:rPr>
                  </w:pPr>
                  <w:r>
                    <w:rPr>
                      <w:rFonts w:hint="eastAsia"/>
                      <w:color w:val="auto"/>
                      <w:lang w:eastAsia="zh-CN"/>
                    </w:rPr>
                    <w:t>车辆运输→卸料→加热→固液分离→三相分离→好氧发酵</w:t>
                  </w:r>
                </w:p>
              </w:tc>
              <w:tc>
                <w:tcPr>
                  <w:tcW w:w="1586" w:type="pct"/>
                  <w:vAlign w:val="center"/>
                </w:tcPr>
                <w:p>
                  <w:pPr>
                    <w:pStyle w:val="68"/>
                    <w:rPr>
                      <w:color w:val="auto"/>
                    </w:rPr>
                  </w:pPr>
                  <w:r>
                    <w:rPr>
                      <w:color w:val="auto"/>
                    </w:rPr>
                    <w:t>工艺原理</w:t>
                  </w:r>
                  <w:r>
                    <w:rPr>
                      <w:rFonts w:hint="eastAsia"/>
                      <w:color w:val="auto"/>
                      <w:lang w:eastAsia="zh-CN"/>
                    </w:rPr>
                    <w:t>基本</w:t>
                  </w:r>
                  <w:r>
                    <w:rPr>
                      <w:color w:val="auto"/>
                    </w:rPr>
                    <w:t>一致，</w:t>
                  </w:r>
                  <w:r>
                    <w:rPr>
                      <w:rFonts w:hint="eastAsia"/>
                      <w:color w:val="auto"/>
                      <w:lang w:eastAsia="zh-CN"/>
                    </w:rPr>
                    <w:t>类比项目具有烘干工艺，主要对发酵后的有机肥进行烘干，烘干设施与餐厨垃圾预处理设施独立分开，验收期间分别对预处理和烘干进行了监测，本次引用预处理车间的监测数据</w:t>
                  </w:r>
                  <w:r>
                    <w:rPr>
                      <w:color w:val="auto"/>
                    </w:rPr>
                    <w:t>，具有可类比性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03" w:type="pct"/>
                  <w:vAlign w:val="center"/>
                </w:tcPr>
                <w:p>
                  <w:pPr>
                    <w:pStyle w:val="68"/>
                    <w:rPr>
                      <w:color w:val="auto"/>
                      <w:lang w:eastAsia="zh-CN"/>
                    </w:rPr>
                  </w:pPr>
                  <w:r>
                    <w:rPr>
                      <w:rFonts w:hint="eastAsia"/>
                      <w:color w:val="auto"/>
                      <w:lang w:eastAsia="zh-CN"/>
                    </w:rPr>
                    <w:t>废气收集设施</w:t>
                  </w:r>
                </w:p>
              </w:tc>
              <w:tc>
                <w:tcPr>
                  <w:tcW w:w="1553" w:type="pct"/>
                  <w:vAlign w:val="center"/>
                </w:tcPr>
                <w:p>
                  <w:pPr>
                    <w:pStyle w:val="68"/>
                    <w:rPr>
                      <w:color w:val="auto"/>
                      <w:lang w:eastAsia="zh-CN"/>
                    </w:rPr>
                  </w:pPr>
                  <w:r>
                    <w:rPr>
                      <w:rFonts w:hint="eastAsia"/>
                      <w:color w:val="auto"/>
                      <w:lang w:eastAsia="zh-CN"/>
                    </w:rPr>
                    <w:t>车间采用全封闭，采用微负压收集方式</w:t>
                  </w:r>
                </w:p>
              </w:tc>
              <w:tc>
                <w:tcPr>
                  <w:tcW w:w="1058" w:type="pct"/>
                  <w:vAlign w:val="center"/>
                </w:tcPr>
                <w:p>
                  <w:pPr>
                    <w:pStyle w:val="68"/>
                    <w:rPr>
                      <w:color w:val="auto"/>
                      <w:lang w:eastAsia="zh-CN"/>
                    </w:rPr>
                  </w:pPr>
                  <w:r>
                    <w:rPr>
                      <w:rFonts w:hint="eastAsia"/>
                      <w:color w:val="auto"/>
                      <w:lang w:eastAsia="zh-CN"/>
                    </w:rPr>
                    <w:t>车间采用全封闭，只留车辆进出口，车辆进出口设置自动卷帘门，采用微负压收集方式</w:t>
                  </w:r>
                </w:p>
              </w:tc>
              <w:tc>
                <w:tcPr>
                  <w:tcW w:w="1586" w:type="pct"/>
                  <w:vAlign w:val="center"/>
                </w:tcPr>
                <w:p>
                  <w:pPr>
                    <w:pStyle w:val="68"/>
                    <w:rPr>
                      <w:color w:val="auto"/>
                    </w:rPr>
                  </w:pPr>
                  <w:r>
                    <w:rPr>
                      <w:rFonts w:hint="eastAsia"/>
                      <w:color w:val="auto"/>
                      <w:lang w:eastAsia="zh-CN"/>
                    </w:rPr>
                    <w:t>均采用密封车间和微负压方式进行收集，具有可类比性</w:t>
                  </w:r>
                </w:p>
              </w:tc>
            </w:tr>
          </w:tbl>
          <w:p>
            <w:pPr>
              <w:ind w:firstLine="480"/>
              <w:rPr>
                <w:color w:val="auto"/>
              </w:rPr>
            </w:pPr>
            <w:r>
              <w:rPr>
                <w:rFonts w:hint="eastAsia"/>
                <w:color w:val="auto"/>
              </w:rPr>
              <w:t>根据《江高镇餐厨垃圾处理站</w:t>
            </w:r>
            <w:r>
              <w:rPr>
                <w:rFonts w:hint="eastAsia"/>
                <w:color w:val="auto"/>
                <w:shd w:val="clear" w:fill="FFFFFF"/>
              </w:rPr>
              <w:t>塘贝</w:t>
            </w:r>
            <w:r>
              <w:rPr>
                <w:rFonts w:hint="eastAsia"/>
                <w:color w:val="auto"/>
              </w:rPr>
              <w:t>站点建设项目竣工环境保护验收监测报告》（2</w:t>
            </w:r>
            <w:r>
              <w:rPr>
                <w:color w:val="auto"/>
              </w:rPr>
              <w:t>022</w:t>
            </w:r>
            <w:r>
              <w:rPr>
                <w:rFonts w:hint="eastAsia"/>
                <w:color w:val="auto"/>
              </w:rPr>
              <w:t>年1</w:t>
            </w:r>
            <w:r>
              <w:rPr>
                <w:color w:val="auto"/>
              </w:rPr>
              <w:t>1</w:t>
            </w:r>
            <w:r>
              <w:rPr>
                <w:rFonts w:hint="eastAsia"/>
                <w:color w:val="auto"/>
              </w:rPr>
              <w:t>月），</w:t>
            </w:r>
            <w:r>
              <w:rPr>
                <w:rFonts w:hint="eastAsia"/>
                <w:color w:val="auto"/>
                <w:lang w:val="en-US" w:eastAsia="zh-CN"/>
              </w:rPr>
              <w:t>类别项目监测期间</w:t>
            </w:r>
            <w:r>
              <w:rPr>
                <w:rFonts w:hint="eastAsia"/>
                <w:color w:val="auto"/>
              </w:rPr>
              <w:t>餐厨垃圾处理规模</w:t>
            </w:r>
            <w:r>
              <w:rPr>
                <w:rFonts w:hint="eastAsia"/>
                <w:color w:val="auto"/>
                <w:lang w:val="en-US" w:eastAsia="zh-CN"/>
              </w:rPr>
              <w:t>达到</w:t>
            </w:r>
            <w:r>
              <w:rPr>
                <w:rFonts w:hint="eastAsia"/>
                <w:color w:val="auto"/>
              </w:rPr>
              <w:t>20t/d</w:t>
            </w:r>
            <w:r>
              <w:rPr>
                <w:rFonts w:hint="eastAsia"/>
                <w:color w:val="auto"/>
                <w:lang w:eastAsia="zh-CN"/>
              </w:rPr>
              <w:t>；</w:t>
            </w:r>
            <w:r>
              <w:rPr>
                <w:rFonts w:hint="eastAsia"/>
                <w:color w:val="auto"/>
                <w:lang w:val="en-US" w:eastAsia="zh-CN"/>
              </w:rPr>
              <w:t>类别项目</w:t>
            </w:r>
            <w:r>
              <w:rPr>
                <w:rFonts w:hint="eastAsia"/>
                <w:color w:val="auto"/>
                <w:lang w:eastAsia="zh-CN"/>
              </w:rPr>
              <w:t>车间采用全封闭，采用微负压收集方式</w:t>
            </w:r>
            <w:r>
              <w:rPr>
                <w:rFonts w:hint="eastAsia"/>
                <w:color w:val="auto"/>
              </w:rPr>
              <w:t>后进入“生物洗涤塔”处理装置处理后通过15m高排气筒有组织排放</w:t>
            </w:r>
            <w:r>
              <w:rPr>
                <w:rFonts w:hint="eastAsia"/>
                <w:color w:val="auto"/>
                <w:lang w:eastAsia="zh-CN"/>
              </w:rPr>
              <w:t>，</w:t>
            </w:r>
            <w:r>
              <w:rPr>
                <w:rFonts w:hint="eastAsia"/>
                <w:color w:val="auto"/>
                <w:lang w:val="en-US" w:eastAsia="zh-CN"/>
              </w:rPr>
              <w:t>类比</w:t>
            </w:r>
            <w:r>
              <w:rPr>
                <w:rFonts w:hint="eastAsia"/>
                <w:color w:val="auto"/>
              </w:rPr>
              <w:t>项目验收监测期间（2022年6月6日）对集气罩进口恶臭产生浓度、产生速率进行了监测，</w:t>
            </w:r>
            <w:r>
              <w:rPr>
                <w:color w:val="auto"/>
              </w:rPr>
              <w:t>餐厨垃圾恶臭污染物处理前的浓度监测数据详见表4.2-</w:t>
            </w:r>
            <w:r>
              <w:rPr>
                <w:rFonts w:hint="eastAsia"/>
                <w:color w:val="auto"/>
                <w:lang w:val="en-US" w:eastAsia="zh-CN"/>
              </w:rPr>
              <w:t>7所示</w:t>
            </w:r>
            <w:r>
              <w:rPr>
                <w:color w:val="auto"/>
              </w:rPr>
              <w:t>。</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color w:val="auto"/>
              </w:rPr>
            </w:pPr>
            <w:r>
              <w:rPr>
                <w:rFonts w:hint="eastAsia" w:ascii="Times New Roman" w:hAnsi="Times New Roman" w:eastAsia="宋体" w:cs="Times New Roman"/>
                <w:b/>
                <w:color w:val="auto"/>
                <w:kern w:val="2"/>
                <w:sz w:val="21"/>
                <w:szCs w:val="24"/>
                <w:lang w:val="en-US" w:eastAsia="zh-CN" w:bidi="ar-SA"/>
              </w:rPr>
              <w:t>表4.2-7  类比项目餐厨垃圾车间集气罩进气口恶臭污染物监测数据</w:t>
            </w:r>
          </w:p>
          <w:tbl>
            <w:tblPr>
              <w:tblStyle w:val="30"/>
              <w:tblW w:w="7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426"/>
              <w:gridCol w:w="674"/>
              <w:gridCol w:w="799"/>
              <w:gridCol w:w="1050"/>
              <w:gridCol w:w="1050"/>
              <w:gridCol w:w="1050"/>
              <w:gridCol w:w="9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Merge w:val="restart"/>
                  <w:vAlign w:val="center"/>
                </w:tcPr>
                <w:p>
                  <w:pPr>
                    <w:pStyle w:val="68"/>
                    <w:rPr>
                      <w:b/>
                      <w:bCs/>
                      <w:color w:val="auto"/>
                    </w:rPr>
                  </w:pPr>
                  <w:r>
                    <w:rPr>
                      <w:rFonts w:hint="eastAsia"/>
                      <w:b/>
                      <w:bCs/>
                      <w:color w:val="auto"/>
                      <w:lang w:eastAsia="zh-CN"/>
                    </w:rPr>
                    <w:t>点位</w:t>
                  </w:r>
                </w:p>
              </w:tc>
              <w:tc>
                <w:tcPr>
                  <w:tcW w:w="1100" w:type="dxa"/>
                  <w:gridSpan w:val="2"/>
                  <w:vMerge w:val="restart"/>
                  <w:vAlign w:val="center"/>
                </w:tcPr>
                <w:p>
                  <w:pPr>
                    <w:pStyle w:val="68"/>
                    <w:rPr>
                      <w:b/>
                      <w:bCs/>
                      <w:color w:val="auto"/>
                    </w:rPr>
                  </w:pPr>
                  <w:r>
                    <w:rPr>
                      <w:rFonts w:hint="eastAsia"/>
                      <w:b/>
                      <w:bCs/>
                      <w:color w:val="auto"/>
                      <w:lang w:eastAsia="zh-CN"/>
                    </w:rPr>
                    <w:t>检测项目</w:t>
                  </w:r>
                </w:p>
              </w:tc>
              <w:tc>
                <w:tcPr>
                  <w:tcW w:w="799" w:type="dxa"/>
                  <w:vMerge w:val="restart"/>
                  <w:vAlign w:val="center"/>
                </w:tcPr>
                <w:p>
                  <w:pPr>
                    <w:pStyle w:val="68"/>
                    <w:rPr>
                      <w:b/>
                      <w:bCs/>
                      <w:color w:val="auto"/>
                    </w:rPr>
                  </w:pPr>
                  <w:r>
                    <w:rPr>
                      <w:rFonts w:hint="eastAsia"/>
                      <w:b/>
                      <w:bCs/>
                      <w:color w:val="auto"/>
                      <w:lang w:eastAsia="zh-CN"/>
                    </w:rPr>
                    <w:t>单位</w:t>
                  </w:r>
                </w:p>
              </w:tc>
              <w:tc>
                <w:tcPr>
                  <w:tcW w:w="4105" w:type="dxa"/>
                  <w:gridSpan w:val="4"/>
                  <w:vAlign w:val="center"/>
                </w:tcPr>
                <w:p>
                  <w:pPr>
                    <w:pStyle w:val="68"/>
                    <w:rPr>
                      <w:b/>
                      <w:bCs/>
                      <w:color w:val="auto"/>
                    </w:rPr>
                  </w:pPr>
                  <w:r>
                    <w:rPr>
                      <w:rFonts w:hint="eastAsia"/>
                      <w:b/>
                      <w:bCs/>
                      <w:color w:val="auto"/>
                      <w:lang w:eastAsia="zh-CN"/>
                    </w:rPr>
                    <w:t>检测结果</w:t>
                  </w:r>
                </w:p>
              </w:tc>
              <w:tc>
                <w:tcPr>
                  <w:tcW w:w="1134" w:type="dxa"/>
                  <w:vMerge w:val="restart"/>
                  <w:vAlign w:val="center"/>
                </w:tcPr>
                <w:p>
                  <w:pPr>
                    <w:pStyle w:val="68"/>
                    <w:rPr>
                      <w:b/>
                      <w:bCs/>
                      <w:color w:val="auto"/>
                    </w:rPr>
                  </w:pPr>
                  <w:r>
                    <w:rPr>
                      <w:rFonts w:hint="eastAsia"/>
                      <w:b/>
                      <w:bCs/>
                      <w:color w:val="auto"/>
                      <w:lang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Merge w:val="continue"/>
                  <w:vAlign w:val="center"/>
                </w:tcPr>
                <w:p>
                  <w:pPr>
                    <w:pStyle w:val="68"/>
                    <w:rPr>
                      <w:color w:val="auto"/>
                      <w:lang w:eastAsia="zh-CN"/>
                    </w:rPr>
                  </w:pPr>
                </w:p>
              </w:tc>
              <w:tc>
                <w:tcPr>
                  <w:tcW w:w="1100" w:type="dxa"/>
                  <w:gridSpan w:val="2"/>
                  <w:vMerge w:val="continue"/>
                  <w:vAlign w:val="center"/>
                </w:tcPr>
                <w:p>
                  <w:pPr>
                    <w:pStyle w:val="68"/>
                    <w:rPr>
                      <w:color w:val="auto"/>
                      <w:lang w:eastAsia="zh-CN"/>
                    </w:rPr>
                  </w:pPr>
                </w:p>
              </w:tc>
              <w:tc>
                <w:tcPr>
                  <w:tcW w:w="799" w:type="dxa"/>
                  <w:vMerge w:val="continue"/>
                  <w:vAlign w:val="center"/>
                </w:tcPr>
                <w:p>
                  <w:pPr>
                    <w:pStyle w:val="68"/>
                    <w:rPr>
                      <w:color w:val="auto"/>
                      <w:lang w:eastAsia="zh-CN"/>
                    </w:rPr>
                  </w:pPr>
                </w:p>
              </w:tc>
              <w:tc>
                <w:tcPr>
                  <w:tcW w:w="1050" w:type="dxa"/>
                  <w:vAlign w:val="center"/>
                </w:tcPr>
                <w:p>
                  <w:pPr>
                    <w:pStyle w:val="68"/>
                    <w:rPr>
                      <w:b/>
                      <w:bCs/>
                      <w:color w:val="auto"/>
                    </w:rPr>
                  </w:pPr>
                  <w:r>
                    <w:rPr>
                      <w:rFonts w:hint="eastAsia"/>
                      <w:b/>
                      <w:bCs/>
                      <w:color w:val="auto"/>
                      <w:lang w:eastAsia="zh-CN"/>
                    </w:rPr>
                    <w:t>第一次</w:t>
                  </w:r>
                </w:p>
              </w:tc>
              <w:tc>
                <w:tcPr>
                  <w:tcW w:w="1050" w:type="dxa"/>
                  <w:vAlign w:val="center"/>
                </w:tcPr>
                <w:p>
                  <w:pPr>
                    <w:pStyle w:val="68"/>
                    <w:rPr>
                      <w:b/>
                      <w:bCs/>
                      <w:color w:val="auto"/>
                    </w:rPr>
                  </w:pPr>
                  <w:r>
                    <w:rPr>
                      <w:rFonts w:hint="eastAsia"/>
                      <w:b/>
                      <w:bCs/>
                      <w:color w:val="auto"/>
                      <w:lang w:eastAsia="zh-CN"/>
                    </w:rPr>
                    <w:t>第二次</w:t>
                  </w:r>
                </w:p>
              </w:tc>
              <w:tc>
                <w:tcPr>
                  <w:tcW w:w="1050" w:type="dxa"/>
                  <w:vAlign w:val="center"/>
                </w:tcPr>
                <w:p>
                  <w:pPr>
                    <w:pStyle w:val="68"/>
                    <w:rPr>
                      <w:b/>
                      <w:bCs/>
                      <w:color w:val="auto"/>
                    </w:rPr>
                  </w:pPr>
                  <w:r>
                    <w:rPr>
                      <w:rFonts w:hint="eastAsia"/>
                      <w:b/>
                      <w:bCs/>
                      <w:color w:val="auto"/>
                      <w:lang w:eastAsia="zh-CN"/>
                    </w:rPr>
                    <w:t>第三次</w:t>
                  </w:r>
                </w:p>
              </w:tc>
              <w:tc>
                <w:tcPr>
                  <w:tcW w:w="955" w:type="dxa"/>
                  <w:vAlign w:val="center"/>
                </w:tcPr>
                <w:p>
                  <w:pPr>
                    <w:pStyle w:val="68"/>
                    <w:rPr>
                      <w:b/>
                      <w:bCs/>
                      <w:color w:val="auto"/>
                    </w:rPr>
                  </w:pPr>
                  <w:r>
                    <w:rPr>
                      <w:rFonts w:hint="eastAsia"/>
                      <w:b/>
                      <w:bCs/>
                      <w:color w:val="auto"/>
                      <w:lang w:eastAsia="zh-CN"/>
                    </w:rPr>
                    <w:t>第四次</w:t>
                  </w:r>
                </w:p>
              </w:tc>
              <w:tc>
                <w:tcPr>
                  <w:tcW w:w="1134" w:type="dxa"/>
                  <w:vMerge w:val="continue"/>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Merge w:val="restart"/>
                  <w:vAlign w:val="center"/>
                </w:tcPr>
                <w:p>
                  <w:pPr>
                    <w:pStyle w:val="68"/>
                    <w:rPr>
                      <w:color w:val="auto"/>
                    </w:rPr>
                  </w:pPr>
                  <w:r>
                    <w:rPr>
                      <w:rFonts w:hint="eastAsia"/>
                      <w:color w:val="auto"/>
                    </w:rPr>
                    <w:t>处理前监测</w:t>
                  </w:r>
                  <w:r>
                    <w:rPr>
                      <w:rFonts w:hint="eastAsia"/>
                      <w:color w:val="auto"/>
                      <w:shd w:val="clear" w:fill="FFFFFF"/>
                    </w:rPr>
                    <w:t>口</w:t>
                  </w:r>
                </w:p>
              </w:tc>
              <w:tc>
                <w:tcPr>
                  <w:tcW w:w="426" w:type="dxa"/>
                  <w:vMerge w:val="restart"/>
                  <w:vAlign w:val="center"/>
                </w:tcPr>
                <w:p>
                  <w:pPr>
                    <w:pStyle w:val="68"/>
                    <w:rPr>
                      <w:color w:val="auto"/>
                    </w:rPr>
                  </w:pPr>
                  <w:r>
                    <w:rPr>
                      <w:rFonts w:hint="eastAsia"/>
                      <w:color w:val="auto"/>
                      <w:lang w:eastAsia="zh-CN"/>
                    </w:rPr>
                    <w:t>硫化氢</w:t>
                  </w:r>
                </w:p>
              </w:tc>
              <w:tc>
                <w:tcPr>
                  <w:tcW w:w="674" w:type="dxa"/>
                  <w:vAlign w:val="center"/>
                </w:tcPr>
                <w:p>
                  <w:pPr>
                    <w:pStyle w:val="68"/>
                    <w:rPr>
                      <w:color w:val="auto"/>
                    </w:rPr>
                  </w:pPr>
                  <w:r>
                    <w:rPr>
                      <w:rFonts w:hint="eastAsia"/>
                      <w:color w:val="auto"/>
                      <w:lang w:eastAsia="zh-CN"/>
                    </w:rPr>
                    <w:t>产生</w:t>
                  </w:r>
                  <w:r>
                    <w:rPr>
                      <w:rFonts w:hint="eastAsia"/>
                      <w:color w:val="auto"/>
                    </w:rPr>
                    <w:t>浓度</w:t>
                  </w:r>
                </w:p>
              </w:tc>
              <w:tc>
                <w:tcPr>
                  <w:tcW w:w="799" w:type="dxa"/>
                  <w:vAlign w:val="center"/>
                </w:tcPr>
                <w:p>
                  <w:pPr>
                    <w:pStyle w:val="68"/>
                    <w:rPr>
                      <w:color w:val="auto"/>
                    </w:rPr>
                  </w:pPr>
                  <w:r>
                    <w:rPr>
                      <w:color w:val="auto"/>
                    </w:rPr>
                    <w:t>mg/m</w:t>
                  </w:r>
                  <w:r>
                    <w:rPr>
                      <w:color w:val="auto"/>
                      <w:vertAlign w:val="superscript"/>
                    </w:rPr>
                    <w:t>3</w:t>
                  </w:r>
                </w:p>
              </w:tc>
              <w:tc>
                <w:tcPr>
                  <w:tcW w:w="1050" w:type="dxa"/>
                  <w:vAlign w:val="center"/>
                </w:tcPr>
                <w:p>
                  <w:pPr>
                    <w:pStyle w:val="68"/>
                    <w:rPr>
                      <w:color w:val="auto"/>
                      <w:lang w:eastAsia="zh-CN"/>
                    </w:rPr>
                  </w:pPr>
                  <w:r>
                    <w:rPr>
                      <w:rFonts w:hint="eastAsia"/>
                      <w:color w:val="auto"/>
                      <w:lang w:eastAsia="zh-CN"/>
                    </w:rPr>
                    <w:t>0</w:t>
                  </w:r>
                  <w:r>
                    <w:rPr>
                      <w:color w:val="auto"/>
                      <w:lang w:eastAsia="zh-CN"/>
                    </w:rPr>
                    <w:t>.912</w:t>
                  </w:r>
                </w:p>
              </w:tc>
              <w:tc>
                <w:tcPr>
                  <w:tcW w:w="1050" w:type="dxa"/>
                  <w:vAlign w:val="center"/>
                </w:tcPr>
                <w:p>
                  <w:pPr>
                    <w:pStyle w:val="68"/>
                    <w:rPr>
                      <w:color w:val="auto"/>
                      <w:lang w:eastAsia="zh-CN"/>
                    </w:rPr>
                  </w:pPr>
                  <w:r>
                    <w:rPr>
                      <w:rFonts w:hint="eastAsia"/>
                      <w:color w:val="auto"/>
                      <w:lang w:eastAsia="zh-CN"/>
                    </w:rPr>
                    <w:t>0</w:t>
                  </w:r>
                  <w:r>
                    <w:rPr>
                      <w:color w:val="auto"/>
                      <w:lang w:eastAsia="zh-CN"/>
                    </w:rPr>
                    <w:t>.895</w:t>
                  </w:r>
                </w:p>
              </w:tc>
              <w:tc>
                <w:tcPr>
                  <w:tcW w:w="1050" w:type="dxa"/>
                  <w:vAlign w:val="center"/>
                </w:tcPr>
                <w:p>
                  <w:pPr>
                    <w:pStyle w:val="68"/>
                    <w:rPr>
                      <w:color w:val="auto"/>
                      <w:lang w:eastAsia="zh-CN"/>
                    </w:rPr>
                  </w:pPr>
                  <w:r>
                    <w:rPr>
                      <w:rFonts w:hint="eastAsia"/>
                      <w:color w:val="auto"/>
                      <w:lang w:eastAsia="zh-CN"/>
                    </w:rPr>
                    <w:t>0</w:t>
                  </w:r>
                  <w:r>
                    <w:rPr>
                      <w:color w:val="auto"/>
                      <w:lang w:eastAsia="zh-CN"/>
                    </w:rPr>
                    <w:t>.905</w:t>
                  </w:r>
                </w:p>
              </w:tc>
              <w:tc>
                <w:tcPr>
                  <w:tcW w:w="955" w:type="dxa"/>
                  <w:vAlign w:val="center"/>
                </w:tcPr>
                <w:p>
                  <w:pPr>
                    <w:pStyle w:val="68"/>
                    <w:rPr>
                      <w:color w:val="auto"/>
                      <w:lang w:eastAsia="zh-CN"/>
                    </w:rPr>
                  </w:pPr>
                  <w:r>
                    <w:rPr>
                      <w:rFonts w:hint="eastAsia"/>
                      <w:color w:val="auto"/>
                      <w:lang w:eastAsia="zh-CN"/>
                    </w:rPr>
                    <w:t>0</w:t>
                  </w:r>
                  <w:r>
                    <w:rPr>
                      <w:color w:val="auto"/>
                      <w:lang w:eastAsia="zh-CN"/>
                    </w:rPr>
                    <w:t>.934</w:t>
                  </w:r>
                </w:p>
              </w:tc>
              <w:tc>
                <w:tcPr>
                  <w:tcW w:w="1134" w:type="dxa"/>
                  <w:vAlign w:val="center"/>
                </w:tcPr>
                <w:p>
                  <w:pPr>
                    <w:pStyle w:val="68"/>
                    <w:rPr>
                      <w:color w:val="auto"/>
                      <w:lang w:eastAsia="zh-CN"/>
                    </w:rPr>
                  </w:pPr>
                  <w:r>
                    <w:rPr>
                      <w:rFonts w:hint="eastAsia"/>
                      <w:color w:val="auto"/>
                      <w:lang w:eastAsia="zh-CN"/>
                    </w:rPr>
                    <w:t>0</w:t>
                  </w:r>
                  <w:r>
                    <w:rPr>
                      <w:color w:val="auto"/>
                      <w:lang w:eastAsia="zh-CN"/>
                    </w:rPr>
                    <w:t>.934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Merge w:val="continue"/>
                  <w:vAlign w:val="center"/>
                </w:tcPr>
                <w:p>
                  <w:pPr>
                    <w:pStyle w:val="68"/>
                    <w:rPr>
                      <w:color w:val="auto"/>
                    </w:rPr>
                  </w:pPr>
                </w:p>
              </w:tc>
              <w:tc>
                <w:tcPr>
                  <w:tcW w:w="426" w:type="dxa"/>
                  <w:vMerge w:val="continue"/>
                  <w:vAlign w:val="center"/>
                </w:tcPr>
                <w:p>
                  <w:pPr>
                    <w:pStyle w:val="68"/>
                    <w:rPr>
                      <w:color w:val="auto"/>
                    </w:rPr>
                  </w:pPr>
                </w:p>
              </w:tc>
              <w:tc>
                <w:tcPr>
                  <w:tcW w:w="674" w:type="dxa"/>
                  <w:vAlign w:val="center"/>
                </w:tcPr>
                <w:p>
                  <w:pPr>
                    <w:pStyle w:val="68"/>
                    <w:rPr>
                      <w:color w:val="auto"/>
                    </w:rPr>
                  </w:pPr>
                  <w:r>
                    <w:rPr>
                      <w:rFonts w:hint="eastAsia"/>
                      <w:color w:val="auto"/>
                      <w:lang w:eastAsia="zh-CN"/>
                    </w:rPr>
                    <w:t>产生速率</w:t>
                  </w:r>
                </w:p>
              </w:tc>
              <w:tc>
                <w:tcPr>
                  <w:tcW w:w="799" w:type="dxa"/>
                  <w:vAlign w:val="center"/>
                </w:tcPr>
                <w:p>
                  <w:pPr>
                    <w:pStyle w:val="68"/>
                    <w:rPr>
                      <w:color w:val="auto"/>
                    </w:rPr>
                  </w:pPr>
                  <w:r>
                    <w:rPr>
                      <w:rFonts w:hint="eastAsia"/>
                      <w:color w:val="auto"/>
                      <w:lang w:eastAsia="zh-CN"/>
                    </w:rPr>
                    <w:t>k</w:t>
                  </w:r>
                  <w:r>
                    <w:rPr>
                      <w:color w:val="auto"/>
                    </w:rPr>
                    <w:t>g/</w:t>
                  </w:r>
                  <w:r>
                    <w:rPr>
                      <w:rFonts w:hint="eastAsia"/>
                      <w:color w:val="auto"/>
                      <w:lang w:eastAsia="zh-CN"/>
                    </w:rPr>
                    <w:t>h</w:t>
                  </w:r>
                </w:p>
              </w:tc>
              <w:tc>
                <w:tcPr>
                  <w:tcW w:w="1050" w:type="dxa"/>
                  <w:vAlign w:val="center"/>
                </w:tcPr>
                <w:p>
                  <w:pPr>
                    <w:pStyle w:val="68"/>
                    <w:rPr>
                      <w:color w:val="auto"/>
                    </w:rPr>
                  </w:pPr>
                  <w:r>
                    <w:rPr>
                      <w:color w:val="auto"/>
                    </w:rPr>
                    <w:t>1.52×10</w:t>
                  </w:r>
                  <w:r>
                    <w:rPr>
                      <w:color w:val="auto"/>
                      <w:vertAlign w:val="superscript"/>
                    </w:rPr>
                    <w:t>-3</w:t>
                  </w:r>
                </w:p>
              </w:tc>
              <w:tc>
                <w:tcPr>
                  <w:tcW w:w="1050" w:type="dxa"/>
                  <w:vAlign w:val="center"/>
                </w:tcPr>
                <w:p>
                  <w:pPr>
                    <w:pStyle w:val="68"/>
                    <w:rPr>
                      <w:color w:val="auto"/>
                    </w:rPr>
                  </w:pPr>
                  <w:r>
                    <w:rPr>
                      <w:color w:val="auto"/>
                    </w:rPr>
                    <w:t>1.6×10</w:t>
                  </w:r>
                  <w:r>
                    <w:rPr>
                      <w:color w:val="auto"/>
                      <w:vertAlign w:val="superscript"/>
                    </w:rPr>
                    <w:t>-3</w:t>
                  </w:r>
                </w:p>
              </w:tc>
              <w:tc>
                <w:tcPr>
                  <w:tcW w:w="1050" w:type="dxa"/>
                  <w:vAlign w:val="center"/>
                </w:tcPr>
                <w:p>
                  <w:pPr>
                    <w:pStyle w:val="68"/>
                    <w:rPr>
                      <w:color w:val="auto"/>
                    </w:rPr>
                  </w:pPr>
                  <w:r>
                    <w:rPr>
                      <w:color w:val="auto"/>
                    </w:rPr>
                    <w:t>1.6×10</w:t>
                  </w:r>
                  <w:r>
                    <w:rPr>
                      <w:color w:val="auto"/>
                      <w:vertAlign w:val="superscript"/>
                    </w:rPr>
                    <w:t>-3</w:t>
                  </w:r>
                </w:p>
              </w:tc>
              <w:tc>
                <w:tcPr>
                  <w:tcW w:w="955" w:type="dxa"/>
                  <w:vAlign w:val="center"/>
                </w:tcPr>
                <w:p>
                  <w:pPr>
                    <w:pStyle w:val="68"/>
                    <w:rPr>
                      <w:color w:val="auto"/>
                    </w:rPr>
                  </w:pPr>
                  <w:r>
                    <w:rPr>
                      <w:color w:val="auto"/>
                    </w:rPr>
                    <w:t>1.5×10</w:t>
                  </w:r>
                  <w:r>
                    <w:rPr>
                      <w:color w:val="auto"/>
                      <w:vertAlign w:val="superscript"/>
                    </w:rPr>
                    <w:t>-3</w:t>
                  </w:r>
                </w:p>
              </w:tc>
              <w:tc>
                <w:tcPr>
                  <w:tcW w:w="1134" w:type="dxa"/>
                  <w:vAlign w:val="center"/>
                </w:tcPr>
                <w:p>
                  <w:pPr>
                    <w:pStyle w:val="68"/>
                    <w:rPr>
                      <w:color w:val="auto"/>
                    </w:rPr>
                  </w:pPr>
                  <w:r>
                    <w:rPr>
                      <w:color w:val="auto"/>
                    </w:rPr>
                    <w:t>1.6×10</w:t>
                  </w:r>
                  <w:r>
                    <w:rPr>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Merge w:val="continue"/>
                  <w:vAlign w:val="center"/>
                </w:tcPr>
                <w:p>
                  <w:pPr>
                    <w:pStyle w:val="68"/>
                    <w:rPr>
                      <w:color w:val="auto"/>
                    </w:rPr>
                  </w:pPr>
                </w:p>
              </w:tc>
              <w:tc>
                <w:tcPr>
                  <w:tcW w:w="426" w:type="dxa"/>
                  <w:vMerge w:val="restart"/>
                  <w:vAlign w:val="center"/>
                </w:tcPr>
                <w:p>
                  <w:pPr>
                    <w:pStyle w:val="68"/>
                    <w:rPr>
                      <w:color w:val="auto"/>
                    </w:rPr>
                  </w:pPr>
                  <w:r>
                    <w:rPr>
                      <w:rFonts w:hint="eastAsia"/>
                      <w:color w:val="auto"/>
                      <w:lang w:eastAsia="zh-CN"/>
                    </w:rPr>
                    <w:t>氨</w:t>
                  </w:r>
                </w:p>
              </w:tc>
              <w:tc>
                <w:tcPr>
                  <w:tcW w:w="674" w:type="dxa"/>
                  <w:vAlign w:val="center"/>
                </w:tcPr>
                <w:p>
                  <w:pPr>
                    <w:pStyle w:val="68"/>
                    <w:rPr>
                      <w:color w:val="auto"/>
                    </w:rPr>
                  </w:pPr>
                  <w:r>
                    <w:rPr>
                      <w:rFonts w:hint="eastAsia"/>
                      <w:color w:val="auto"/>
                      <w:lang w:eastAsia="zh-CN"/>
                    </w:rPr>
                    <w:t>产生</w:t>
                  </w:r>
                  <w:r>
                    <w:rPr>
                      <w:rFonts w:hint="eastAsia"/>
                      <w:color w:val="auto"/>
                    </w:rPr>
                    <w:t>浓度</w:t>
                  </w:r>
                </w:p>
              </w:tc>
              <w:tc>
                <w:tcPr>
                  <w:tcW w:w="799" w:type="dxa"/>
                  <w:vAlign w:val="center"/>
                </w:tcPr>
                <w:p>
                  <w:pPr>
                    <w:pStyle w:val="68"/>
                    <w:rPr>
                      <w:color w:val="auto"/>
                    </w:rPr>
                  </w:pPr>
                  <w:r>
                    <w:rPr>
                      <w:color w:val="auto"/>
                    </w:rPr>
                    <w:t>mg/m</w:t>
                  </w:r>
                  <w:r>
                    <w:rPr>
                      <w:color w:val="auto"/>
                      <w:vertAlign w:val="superscript"/>
                    </w:rPr>
                    <w:t>3</w:t>
                  </w:r>
                </w:p>
              </w:tc>
              <w:tc>
                <w:tcPr>
                  <w:tcW w:w="1050" w:type="dxa"/>
                  <w:vAlign w:val="center"/>
                </w:tcPr>
                <w:p>
                  <w:pPr>
                    <w:pStyle w:val="68"/>
                    <w:rPr>
                      <w:color w:val="auto"/>
                      <w:lang w:eastAsia="zh-CN"/>
                    </w:rPr>
                  </w:pPr>
                  <w:r>
                    <w:rPr>
                      <w:rFonts w:hint="eastAsia"/>
                      <w:color w:val="auto"/>
                      <w:lang w:eastAsia="zh-CN"/>
                    </w:rPr>
                    <w:t>6</w:t>
                  </w:r>
                  <w:r>
                    <w:rPr>
                      <w:color w:val="auto"/>
                      <w:lang w:eastAsia="zh-CN"/>
                    </w:rPr>
                    <w:t>.07</w:t>
                  </w:r>
                </w:p>
              </w:tc>
              <w:tc>
                <w:tcPr>
                  <w:tcW w:w="1050" w:type="dxa"/>
                  <w:vAlign w:val="center"/>
                </w:tcPr>
                <w:p>
                  <w:pPr>
                    <w:pStyle w:val="68"/>
                    <w:rPr>
                      <w:color w:val="auto"/>
                      <w:lang w:eastAsia="zh-CN"/>
                    </w:rPr>
                  </w:pPr>
                  <w:r>
                    <w:rPr>
                      <w:rFonts w:hint="eastAsia"/>
                      <w:color w:val="auto"/>
                      <w:lang w:eastAsia="zh-CN"/>
                    </w:rPr>
                    <w:t>5</w:t>
                  </w:r>
                  <w:r>
                    <w:rPr>
                      <w:color w:val="auto"/>
                      <w:lang w:eastAsia="zh-CN"/>
                    </w:rPr>
                    <w:t>.85</w:t>
                  </w:r>
                </w:p>
              </w:tc>
              <w:tc>
                <w:tcPr>
                  <w:tcW w:w="1050" w:type="dxa"/>
                  <w:vAlign w:val="center"/>
                </w:tcPr>
                <w:p>
                  <w:pPr>
                    <w:pStyle w:val="68"/>
                    <w:rPr>
                      <w:color w:val="auto"/>
                      <w:lang w:eastAsia="zh-CN"/>
                    </w:rPr>
                  </w:pPr>
                  <w:r>
                    <w:rPr>
                      <w:rFonts w:hint="eastAsia"/>
                      <w:color w:val="auto"/>
                      <w:lang w:eastAsia="zh-CN"/>
                    </w:rPr>
                    <w:t>5</w:t>
                  </w:r>
                  <w:r>
                    <w:rPr>
                      <w:color w:val="auto"/>
                      <w:lang w:eastAsia="zh-CN"/>
                    </w:rPr>
                    <w:t>.94</w:t>
                  </w:r>
                </w:p>
              </w:tc>
              <w:tc>
                <w:tcPr>
                  <w:tcW w:w="955" w:type="dxa"/>
                  <w:vAlign w:val="center"/>
                </w:tcPr>
                <w:p>
                  <w:pPr>
                    <w:pStyle w:val="68"/>
                    <w:rPr>
                      <w:color w:val="auto"/>
                      <w:lang w:eastAsia="zh-CN"/>
                    </w:rPr>
                  </w:pPr>
                  <w:r>
                    <w:rPr>
                      <w:rFonts w:hint="eastAsia"/>
                      <w:color w:val="auto"/>
                      <w:lang w:eastAsia="zh-CN"/>
                    </w:rPr>
                    <w:t>5</w:t>
                  </w:r>
                  <w:r>
                    <w:rPr>
                      <w:color w:val="auto"/>
                      <w:lang w:eastAsia="zh-CN"/>
                    </w:rPr>
                    <w:t>.79</w:t>
                  </w:r>
                </w:p>
              </w:tc>
              <w:tc>
                <w:tcPr>
                  <w:tcW w:w="1134" w:type="dxa"/>
                  <w:vAlign w:val="center"/>
                </w:tcPr>
                <w:p>
                  <w:pPr>
                    <w:pStyle w:val="68"/>
                    <w:rPr>
                      <w:color w:val="auto"/>
                      <w:lang w:eastAsia="zh-CN"/>
                    </w:rPr>
                  </w:pPr>
                  <w:r>
                    <w:rPr>
                      <w:rFonts w:hint="eastAsia"/>
                      <w:color w:val="auto"/>
                      <w:lang w:eastAsia="zh-CN"/>
                    </w:rPr>
                    <w:t>6</w:t>
                  </w:r>
                  <w:r>
                    <w:rPr>
                      <w:color w:val="auto"/>
                      <w:lang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Merge w:val="continue"/>
                  <w:vAlign w:val="center"/>
                </w:tcPr>
                <w:p>
                  <w:pPr>
                    <w:pStyle w:val="68"/>
                    <w:rPr>
                      <w:color w:val="auto"/>
                    </w:rPr>
                  </w:pPr>
                </w:p>
              </w:tc>
              <w:tc>
                <w:tcPr>
                  <w:tcW w:w="426" w:type="dxa"/>
                  <w:vMerge w:val="continue"/>
                  <w:vAlign w:val="center"/>
                </w:tcPr>
                <w:p>
                  <w:pPr>
                    <w:pStyle w:val="68"/>
                    <w:rPr>
                      <w:color w:val="auto"/>
                    </w:rPr>
                  </w:pPr>
                </w:p>
              </w:tc>
              <w:tc>
                <w:tcPr>
                  <w:tcW w:w="674" w:type="dxa"/>
                  <w:vAlign w:val="center"/>
                </w:tcPr>
                <w:p>
                  <w:pPr>
                    <w:pStyle w:val="68"/>
                    <w:rPr>
                      <w:color w:val="auto"/>
                    </w:rPr>
                  </w:pPr>
                  <w:r>
                    <w:rPr>
                      <w:rFonts w:hint="eastAsia"/>
                      <w:color w:val="auto"/>
                      <w:lang w:eastAsia="zh-CN"/>
                    </w:rPr>
                    <w:t>产生速率</w:t>
                  </w:r>
                </w:p>
              </w:tc>
              <w:tc>
                <w:tcPr>
                  <w:tcW w:w="799" w:type="dxa"/>
                  <w:vAlign w:val="center"/>
                </w:tcPr>
                <w:p>
                  <w:pPr>
                    <w:pStyle w:val="68"/>
                    <w:rPr>
                      <w:color w:val="auto"/>
                    </w:rPr>
                  </w:pPr>
                  <w:r>
                    <w:rPr>
                      <w:rFonts w:hint="eastAsia"/>
                      <w:color w:val="auto"/>
                      <w:lang w:eastAsia="zh-CN"/>
                    </w:rPr>
                    <w:t>k</w:t>
                  </w:r>
                  <w:r>
                    <w:rPr>
                      <w:color w:val="auto"/>
                    </w:rPr>
                    <w:t>g/</w:t>
                  </w:r>
                  <w:r>
                    <w:rPr>
                      <w:rFonts w:hint="eastAsia"/>
                      <w:color w:val="auto"/>
                      <w:lang w:eastAsia="zh-CN"/>
                    </w:rPr>
                    <w:t>h</w:t>
                  </w:r>
                </w:p>
              </w:tc>
              <w:tc>
                <w:tcPr>
                  <w:tcW w:w="1050" w:type="dxa"/>
                  <w:vAlign w:val="center"/>
                </w:tcPr>
                <w:p>
                  <w:pPr>
                    <w:pStyle w:val="68"/>
                    <w:rPr>
                      <w:color w:val="auto"/>
                      <w:lang w:eastAsia="zh-CN"/>
                    </w:rPr>
                  </w:pPr>
                  <w:r>
                    <w:rPr>
                      <w:color w:val="auto"/>
                    </w:rPr>
                    <w:t>1.01×10</w:t>
                  </w:r>
                  <w:r>
                    <w:rPr>
                      <w:color w:val="auto"/>
                      <w:vertAlign w:val="superscript"/>
                    </w:rPr>
                    <w:t>-2</w:t>
                  </w:r>
                </w:p>
              </w:tc>
              <w:tc>
                <w:tcPr>
                  <w:tcW w:w="1050" w:type="dxa"/>
                  <w:vAlign w:val="center"/>
                </w:tcPr>
                <w:p>
                  <w:pPr>
                    <w:pStyle w:val="68"/>
                    <w:rPr>
                      <w:color w:val="auto"/>
                      <w:lang w:eastAsia="zh-CN"/>
                    </w:rPr>
                  </w:pPr>
                  <w:r>
                    <w:rPr>
                      <w:color w:val="auto"/>
                    </w:rPr>
                    <w:t>1.05×10</w:t>
                  </w:r>
                  <w:r>
                    <w:rPr>
                      <w:color w:val="auto"/>
                      <w:vertAlign w:val="superscript"/>
                    </w:rPr>
                    <w:t>-2</w:t>
                  </w:r>
                </w:p>
              </w:tc>
              <w:tc>
                <w:tcPr>
                  <w:tcW w:w="1050" w:type="dxa"/>
                  <w:vAlign w:val="center"/>
                </w:tcPr>
                <w:p>
                  <w:pPr>
                    <w:pStyle w:val="68"/>
                    <w:rPr>
                      <w:color w:val="auto"/>
                    </w:rPr>
                  </w:pPr>
                  <w:r>
                    <w:rPr>
                      <w:color w:val="auto"/>
                    </w:rPr>
                    <w:t>1.07×10</w:t>
                  </w:r>
                  <w:r>
                    <w:rPr>
                      <w:color w:val="auto"/>
                      <w:vertAlign w:val="superscript"/>
                    </w:rPr>
                    <w:t>-2</w:t>
                  </w:r>
                </w:p>
              </w:tc>
              <w:tc>
                <w:tcPr>
                  <w:tcW w:w="955" w:type="dxa"/>
                  <w:vAlign w:val="center"/>
                </w:tcPr>
                <w:p>
                  <w:pPr>
                    <w:pStyle w:val="68"/>
                    <w:rPr>
                      <w:color w:val="auto"/>
                    </w:rPr>
                  </w:pPr>
                  <w:r>
                    <w:rPr>
                      <w:color w:val="auto"/>
                    </w:rPr>
                    <w:t>9.3×10</w:t>
                  </w:r>
                  <w:r>
                    <w:rPr>
                      <w:color w:val="auto"/>
                      <w:vertAlign w:val="superscript"/>
                    </w:rPr>
                    <w:t>-3</w:t>
                  </w:r>
                </w:p>
              </w:tc>
              <w:tc>
                <w:tcPr>
                  <w:tcW w:w="1134" w:type="dxa"/>
                  <w:vAlign w:val="center"/>
                </w:tcPr>
                <w:p>
                  <w:pPr>
                    <w:pStyle w:val="68"/>
                    <w:rPr>
                      <w:color w:val="auto"/>
                    </w:rPr>
                  </w:pPr>
                  <w:r>
                    <w:rPr>
                      <w:color w:val="auto"/>
                    </w:rPr>
                    <w:t>1.07×10</w:t>
                  </w:r>
                  <w:r>
                    <w:rPr>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Merge w:val="continue"/>
                  <w:vAlign w:val="center"/>
                </w:tcPr>
                <w:p>
                  <w:pPr>
                    <w:pStyle w:val="68"/>
                    <w:rPr>
                      <w:color w:val="auto"/>
                    </w:rPr>
                  </w:pPr>
                </w:p>
              </w:tc>
              <w:tc>
                <w:tcPr>
                  <w:tcW w:w="1100" w:type="dxa"/>
                  <w:gridSpan w:val="2"/>
                  <w:vAlign w:val="center"/>
                </w:tcPr>
                <w:p>
                  <w:pPr>
                    <w:pStyle w:val="68"/>
                    <w:rPr>
                      <w:color w:val="auto"/>
                      <w:lang w:eastAsia="zh-CN"/>
                    </w:rPr>
                  </w:pPr>
                  <w:r>
                    <w:rPr>
                      <w:rFonts w:hint="eastAsia"/>
                      <w:color w:val="auto"/>
                      <w:lang w:eastAsia="zh-CN"/>
                    </w:rPr>
                    <w:t>臭气浓度</w:t>
                  </w:r>
                </w:p>
              </w:tc>
              <w:tc>
                <w:tcPr>
                  <w:tcW w:w="799" w:type="dxa"/>
                  <w:vAlign w:val="center"/>
                </w:tcPr>
                <w:p>
                  <w:pPr>
                    <w:pStyle w:val="68"/>
                    <w:rPr>
                      <w:color w:val="auto"/>
                      <w:lang w:eastAsia="zh-CN"/>
                    </w:rPr>
                  </w:pPr>
                  <w:r>
                    <w:rPr>
                      <w:rFonts w:hint="eastAsia"/>
                      <w:color w:val="auto"/>
                      <w:lang w:eastAsia="zh-CN"/>
                    </w:rPr>
                    <w:t>无量纲</w:t>
                  </w:r>
                </w:p>
              </w:tc>
              <w:tc>
                <w:tcPr>
                  <w:tcW w:w="1050" w:type="dxa"/>
                  <w:vAlign w:val="center"/>
                </w:tcPr>
                <w:p>
                  <w:pPr>
                    <w:pStyle w:val="68"/>
                    <w:rPr>
                      <w:color w:val="auto"/>
                      <w:lang w:eastAsia="zh-CN"/>
                    </w:rPr>
                  </w:pPr>
                  <w:r>
                    <w:rPr>
                      <w:rFonts w:hint="eastAsia"/>
                      <w:color w:val="auto"/>
                      <w:lang w:eastAsia="zh-CN"/>
                    </w:rPr>
                    <w:t>2</w:t>
                  </w:r>
                  <w:r>
                    <w:rPr>
                      <w:color w:val="auto"/>
                      <w:lang w:eastAsia="zh-CN"/>
                    </w:rPr>
                    <w:t>317</w:t>
                  </w:r>
                </w:p>
              </w:tc>
              <w:tc>
                <w:tcPr>
                  <w:tcW w:w="1050" w:type="dxa"/>
                  <w:vAlign w:val="center"/>
                </w:tcPr>
                <w:p>
                  <w:pPr>
                    <w:pStyle w:val="68"/>
                    <w:rPr>
                      <w:color w:val="auto"/>
                      <w:lang w:eastAsia="zh-CN"/>
                    </w:rPr>
                  </w:pPr>
                  <w:r>
                    <w:rPr>
                      <w:rFonts w:hint="eastAsia"/>
                      <w:color w:val="auto"/>
                      <w:lang w:eastAsia="zh-CN"/>
                    </w:rPr>
                    <w:t>4</w:t>
                  </w:r>
                  <w:r>
                    <w:rPr>
                      <w:color w:val="auto"/>
                      <w:lang w:eastAsia="zh-CN"/>
                    </w:rPr>
                    <w:t>121</w:t>
                  </w:r>
                </w:p>
              </w:tc>
              <w:tc>
                <w:tcPr>
                  <w:tcW w:w="1050" w:type="dxa"/>
                  <w:vAlign w:val="center"/>
                </w:tcPr>
                <w:p>
                  <w:pPr>
                    <w:pStyle w:val="68"/>
                    <w:rPr>
                      <w:color w:val="auto"/>
                      <w:lang w:eastAsia="zh-CN"/>
                    </w:rPr>
                  </w:pPr>
                  <w:r>
                    <w:rPr>
                      <w:rFonts w:hint="eastAsia"/>
                      <w:color w:val="auto"/>
                      <w:lang w:eastAsia="zh-CN"/>
                    </w:rPr>
                    <w:t>3</w:t>
                  </w:r>
                  <w:r>
                    <w:rPr>
                      <w:color w:val="auto"/>
                      <w:lang w:eastAsia="zh-CN"/>
                    </w:rPr>
                    <w:t>090</w:t>
                  </w:r>
                </w:p>
              </w:tc>
              <w:tc>
                <w:tcPr>
                  <w:tcW w:w="955" w:type="dxa"/>
                  <w:vAlign w:val="center"/>
                </w:tcPr>
                <w:p>
                  <w:pPr>
                    <w:pStyle w:val="68"/>
                    <w:rPr>
                      <w:color w:val="auto"/>
                      <w:lang w:eastAsia="zh-CN"/>
                    </w:rPr>
                  </w:pPr>
                  <w:r>
                    <w:rPr>
                      <w:rFonts w:hint="eastAsia"/>
                      <w:color w:val="auto"/>
                      <w:lang w:eastAsia="zh-CN"/>
                    </w:rPr>
                    <w:t>1</w:t>
                  </w:r>
                  <w:r>
                    <w:rPr>
                      <w:color w:val="auto"/>
                      <w:lang w:eastAsia="zh-CN"/>
                    </w:rPr>
                    <w:t>738</w:t>
                  </w:r>
                </w:p>
              </w:tc>
              <w:tc>
                <w:tcPr>
                  <w:tcW w:w="1134" w:type="dxa"/>
                  <w:vAlign w:val="center"/>
                </w:tcPr>
                <w:p>
                  <w:pPr>
                    <w:pStyle w:val="68"/>
                    <w:rPr>
                      <w:color w:val="auto"/>
                      <w:lang w:eastAsia="zh-CN"/>
                    </w:rPr>
                  </w:pPr>
                  <w:r>
                    <w:rPr>
                      <w:rFonts w:hint="eastAsia"/>
                      <w:color w:val="auto"/>
                      <w:lang w:eastAsia="zh-CN"/>
                    </w:rPr>
                    <w:t>4</w:t>
                  </w:r>
                  <w:r>
                    <w:rPr>
                      <w:color w:val="auto"/>
                      <w:lang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1" w:type="dxa"/>
                  <w:vAlign w:val="center"/>
                </w:tcPr>
                <w:p>
                  <w:pPr>
                    <w:pStyle w:val="68"/>
                    <w:rPr>
                      <w:color w:val="auto"/>
                    </w:rPr>
                  </w:pPr>
                  <w:r>
                    <w:rPr>
                      <w:rFonts w:hint="eastAsia"/>
                      <w:color w:val="auto"/>
                      <w:shd w:val="clear" w:fill="FFFFFF"/>
                      <w:lang w:eastAsia="zh-CN"/>
                    </w:rPr>
                    <w:t>厂界</w:t>
                  </w:r>
                  <w:r>
                    <w:rPr>
                      <w:rFonts w:hint="eastAsia"/>
                      <w:color w:val="auto"/>
                      <w:lang w:eastAsia="zh-CN"/>
                    </w:rPr>
                    <w:t>下风向</w:t>
                  </w:r>
                </w:p>
              </w:tc>
              <w:tc>
                <w:tcPr>
                  <w:tcW w:w="1100" w:type="dxa"/>
                  <w:gridSpan w:val="2"/>
                  <w:vAlign w:val="center"/>
                </w:tcPr>
                <w:p>
                  <w:pPr>
                    <w:pStyle w:val="68"/>
                    <w:rPr>
                      <w:color w:val="auto"/>
                      <w:lang w:eastAsia="zh-CN"/>
                    </w:rPr>
                  </w:pPr>
                  <w:r>
                    <w:rPr>
                      <w:rFonts w:hint="eastAsia"/>
                      <w:color w:val="auto"/>
                      <w:lang w:eastAsia="zh-CN"/>
                    </w:rPr>
                    <w:t>臭气浓度</w:t>
                  </w:r>
                </w:p>
              </w:tc>
              <w:tc>
                <w:tcPr>
                  <w:tcW w:w="799" w:type="dxa"/>
                  <w:vAlign w:val="center"/>
                </w:tcPr>
                <w:p>
                  <w:pPr>
                    <w:pStyle w:val="68"/>
                    <w:rPr>
                      <w:color w:val="auto"/>
                      <w:lang w:eastAsia="zh-CN"/>
                    </w:rPr>
                  </w:pPr>
                  <w:r>
                    <w:rPr>
                      <w:rFonts w:hint="eastAsia"/>
                      <w:color w:val="auto"/>
                      <w:lang w:eastAsia="zh-CN"/>
                    </w:rPr>
                    <w:t>无量纲</w:t>
                  </w:r>
                </w:p>
              </w:tc>
              <w:tc>
                <w:tcPr>
                  <w:tcW w:w="5239" w:type="dxa"/>
                  <w:gridSpan w:val="5"/>
                  <w:vAlign w:val="center"/>
                </w:tcPr>
                <w:p>
                  <w:pPr>
                    <w:pStyle w:val="68"/>
                    <w:rPr>
                      <w:color w:val="auto"/>
                      <w:lang w:eastAsia="zh-CN"/>
                    </w:rPr>
                  </w:pPr>
                  <w:r>
                    <w:rPr>
                      <w:rFonts w:hint="eastAsia"/>
                      <w:color w:val="auto"/>
                      <w:shd w:val="clear" w:fill="FFFFFF"/>
                      <w:lang w:eastAsia="zh-CN"/>
                    </w:rPr>
                    <w:t>厂界</w:t>
                  </w:r>
                  <w:r>
                    <w:rPr>
                      <w:rFonts w:hint="eastAsia"/>
                      <w:color w:val="auto"/>
                      <w:lang w:eastAsia="zh-CN"/>
                    </w:rPr>
                    <w:t>下风向最大值1</w:t>
                  </w:r>
                  <w:r>
                    <w:rPr>
                      <w:color w:val="auto"/>
                      <w:lang w:eastAsia="zh-CN"/>
                    </w:rPr>
                    <w:t>7</w:t>
                  </w:r>
                </w:p>
              </w:tc>
            </w:tr>
          </w:tbl>
          <w:p>
            <w:pPr>
              <w:ind w:firstLine="480"/>
              <w:rPr>
                <w:color w:val="auto"/>
              </w:rPr>
            </w:pPr>
            <w:r>
              <w:rPr>
                <w:rFonts w:hint="eastAsia"/>
                <w:color w:val="auto"/>
              </w:rPr>
              <w:t>本次环评按照类比项目监测数据最大值进行取值，根据生产规模类比项目：本项=</w:t>
            </w:r>
            <w:r>
              <w:rPr>
                <w:color w:val="auto"/>
              </w:rPr>
              <w:t>20</w:t>
            </w:r>
            <w:r>
              <w:rPr>
                <w:rFonts w:hint="eastAsia"/>
                <w:color w:val="auto"/>
              </w:rPr>
              <w:t>:3</w:t>
            </w:r>
            <w:r>
              <w:rPr>
                <w:color w:val="auto"/>
              </w:rPr>
              <w:t>0</w:t>
            </w:r>
            <w:r>
              <w:rPr>
                <w:rFonts w:hint="eastAsia"/>
                <w:color w:val="auto"/>
              </w:rPr>
              <w:t>比例进行折算。</w:t>
            </w:r>
          </w:p>
          <w:p>
            <w:pPr>
              <w:ind w:firstLine="480"/>
              <w:rPr>
                <w:color w:val="auto"/>
              </w:rPr>
            </w:pPr>
            <w:r>
              <w:rPr>
                <w:rFonts w:hint="eastAsia"/>
                <w:color w:val="auto"/>
              </w:rPr>
              <w:t>本项目恶臭气体采用微负压收集后进入“生物洗涤塔”处理装置处理后通过15m高DA001号排气筒有组织排放，采用微负压收集，一般废气收集效率不低于8</w:t>
            </w:r>
            <w:r>
              <w:rPr>
                <w:color w:val="auto"/>
              </w:rPr>
              <w:t>5%</w:t>
            </w:r>
            <w:r>
              <w:rPr>
                <w:rFonts w:hint="eastAsia"/>
                <w:color w:val="auto"/>
              </w:rPr>
              <w:t>，本次废气收集效率按</w:t>
            </w:r>
            <w:r>
              <w:rPr>
                <w:color w:val="auto"/>
              </w:rPr>
              <w:t>85</w:t>
            </w:r>
            <w:r>
              <w:rPr>
                <w:rFonts w:hint="eastAsia"/>
                <w:color w:val="auto"/>
              </w:rPr>
              <w:t>%计，好氧发酵仓运行时间为24h</w:t>
            </w:r>
            <w:r>
              <w:rPr>
                <w:color w:val="auto"/>
              </w:rPr>
              <w:t>/</w:t>
            </w:r>
            <w:r>
              <w:rPr>
                <w:rFonts w:hint="eastAsia"/>
                <w:color w:val="auto"/>
              </w:rPr>
              <w:t>d，其他处置设备运行时间</w:t>
            </w:r>
            <w:r>
              <w:rPr>
                <w:color w:val="auto"/>
              </w:rPr>
              <w:t>8</w:t>
            </w:r>
            <w:r>
              <w:rPr>
                <w:rFonts w:hint="eastAsia"/>
                <w:color w:val="auto"/>
              </w:rPr>
              <w:t>h</w:t>
            </w:r>
            <w:r>
              <w:rPr>
                <w:color w:val="auto"/>
              </w:rPr>
              <w:t>/</w:t>
            </w:r>
            <w:r>
              <w:rPr>
                <w:rFonts w:hint="eastAsia"/>
                <w:color w:val="auto"/>
              </w:rPr>
              <w:t>d，为了保证好氧发酵恶臭有效去除，本项目生物洗涤塔2</w:t>
            </w:r>
            <w:r>
              <w:rPr>
                <w:color w:val="auto"/>
              </w:rPr>
              <w:t>4</w:t>
            </w:r>
            <w:r>
              <w:rPr>
                <w:rFonts w:hint="eastAsia"/>
                <w:color w:val="auto"/>
              </w:rPr>
              <w:t>h运转。</w:t>
            </w:r>
            <w:r>
              <w:rPr>
                <w:color w:val="auto"/>
              </w:rPr>
              <w:t>根据</w:t>
            </w:r>
            <w:r>
              <w:rPr>
                <w:rFonts w:hint="eastAsia"/>
                <w:color w:val="auto"/>
              </w:rPr>
              <w:t>《生物洗涤和化学吸收组合工艺处理污水厂臭气工程试验研究》（环境工程，2016年），使用生物洗涤塔</w:t>
            </w:r>
            <w:r>
              <w:rPr>
                <w:rFonts w:hint="eastAsia"/>
                <w:color w:val="auto"/>
                <w:shd w:val="clear" w:fill="FFFFFF"/>
              </w:rPr>
              <w:t>对</w:t>
            </w:r>
            <w:r>
              <w:rPr>
                <w:color w:val="auto"/>
              </w:rPr>
              <w:t>NH</w:t>
            </w:r>
            <w:r>
              <w:rPr>
                <w:color w:val="auto"/>
                <w:vertAlign w:val="subscript"/>
              </w:rPr>
              <w:t>3</w:t>
            </w:r>
            <w:r>
              <w:rPr>
                <w:color w:val="auto"/>
              </w:rPr>
              <w:t>的平均去除效率为</w:t>
            </w:r>
            <w:r>
              <w:rPr>
                <w:rFonts w:hint="eastAsia"/>
                <w:color w:val="auto"/>
              </w:rPr>
              <w:t>92.3%，对</w:t>
            </w:r>
            <w:r>
              <w:rPr>
                <w:color w:val="auto"/>
              </w:rPr>
              <w:t>H</w:t>
            </w:r>
            <w:r>
              <w:rPr>
                <w:color w:val="auto"/>
                <w:vertAlign w:val="subscript"/>
              </w:rPr>
              <w:t>2</w:t>
            </w:r>
            <w:r>
              <w:rPr>
                <w:color w:val="auto"/>
              </w:rPr>
              <w:t>S的平均去除效率为</w:t>
            </w:r>
            <w:r>
              <w:rPr>
                <w:rFonts w:hint="eastAsia"/>
                <w:color w:val="auto"/>
              </w:rPr>
              <w:t>69.2%，废气</w:t>
            </w:r>
            <w:r>
              <w:rPr>
                <w:rFonts w:hint="eastAsia"/>
                <w:color w:val="auto"/>
                <w:shd w:val="clear" w:fill="FFFFFF"/>
              </w:rPr>
              <w:t>产排</w:t>
            </w:r>
            <w:r>
              <w:rPr>
                <w:rFonts w:hint="eastAsia"/>
                <w:color w:val="auto"/>
              </w:rPr>
              <w:t>情况见下表</w:t>
            </w:r>
            <w:r>
              <w:rPr>
                <w:rFonts w:hint="eastAsia"/>
                <w:color w:val="auto"/>
                <w:lang w:val="en-US" w:eastAsia="zh-CN"/>
              </w:rPr>
              <w:t>4.2-8所示</w:t>
            </w:r>
            <w:r>
              <w:rPr>
                <w:rFonts w:hint="eastAsia"/>
                <w:color w:val="auto"/>
              </w:rPr>
              <w:t>。</w:t>
            </w:r>
          </w:p>
          <w:p>
            <w:pPr>
              <w:pStyle w:val="71"/>
              <w:rPr>
                <w:color w:val="auto"/>
              </w:rPr>
            </w:pPr>
            <w:r>
              <w:rPr>
                <w:rFonts w:hint="eastAsia"/>
                <w:color w:val="auto"/>
              </w:rPr>
              <w:t>表</w:t>
            </w:r>
            <w:r>
              <w:rPr>
                <w:color w:val="auto"/>
              </w:rPr>
              <w:t>4.</w:t>
            </w:r>
            <w:r>
              <w:rPr>
                <w:rFonts w:hint="eastAsia"/>
                <w:color w:val="auto"/>
                <w:lang w:val="en-US" w:eastAsia="zh-CN"/>
              </w:rPr>
              <w:t>2</w:t>
            </w:r>
            <w:r>
              <w:rPr>
                <w:color w:val="auto"/>
              </w:rPr>
              <w:t>-</w:t>
            </w:r>
            <w:r>
              <w:rPr>
                <w:rFonts w:hint="eastAsia"/>
                <w:color w:val="auto"/>
                <w:lang w:val="en-US" w:eastAsia="zh-CN"/>
              </w:rPr>
              <w:t xml:space="preserve">8  </w:t>
            </w:r>
            <w:r>
              <w:rPr>
                <w:rFonts w:hint="eastAsia"/>
                <w:color w:val="auto"/>
              </w:rPr>
              <w:t>本项目废气</w:t>
            </w:r>
            <w:r>
              <w:rPr>
                <w:rFonts w:hint="eastAsia"/>
                <w:color w:val="auto"/>
                <w:shd w:val="clear" w:fill="FFFFFF"/>
              </w:rPr>
              <w:t>产排</w:t>
            </w:r>
            <w:r>
              <w:rPr>
                <w:rFonts w:hint="eastAsia"/>
                <w:color w:val="auto"/>
              </w:rPr>
              <w:t>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662"/>
              <w:gridCol w:w="877"/>
              <w:gridCol w:w="1112"/>
              <w:gridCol w:w="1060"/>
              <w:gridCol w:w="1192"/>
              <w:gridCol w:w="1060"/>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vAlign w:val="center"/>
                </w:tcPr>
                <w:p>
                  <w:pPr>
                    <w:pStyle w:val="68"/>
                    <w:rPr>
                      <w:b/>
                      <w:bCs/>
                      <w:color w:val="auto"/>
                    </w:rPr>
                  </w:pPr>
                  <w:r>
                    <w:rPr>
                      <w:b/>
                      <w:bCs/>
                      <w:color w:val="auto"/>
                    </w:rPr>
                    <w:t>污染物</w:t>
                  </w:r>
                </w:p>
              </w:tc>
              <w:tc>
                <w:tcPr>
                  <w:tcW w:w="422" w:type="pct"/>
                  <w:vAlign w:val="center"/>
                </w:tcPr>
                <w:p>
                  <w:pPr>
                    <w:pStyle w:val="68"/>
                    <w:rPr>
                      <w:b/>
                      <w:bCs/>
                      <w:color w:val="auto"/>
                    </w:rPr>
                  </w:pPr>
                  <w:r>
                    <w:rPr>
                      <w:rFonts w:hint="eastAsia"/>
                      <w:b/>
                      <w:bCs/>
                      <w:color w:val="auto"/>
                    </w:rPr>
                    <w:t>排放方式</w:t>
                  </w:r>
                </w:p>
              </w:tc>
              <w:tc>
                <w:tcPr>
                  <w:tcW w:w="559" w:type="pct"/>
                  <w:vAlign w:val="center"/>
                </w:tcPr>
                <w:p>
                  <w:pPr>
                    <w:pStyle w:val="68"/>
                    <w:rPr>
                      <w:b/>
                      <w:bCs/>
                      <w:color w:val="auto"/>
                    </w:rPr>
                  </w:pPr>
                  <w:r>
                    <w:rPr>
                      <w:b/>
                      <w:bCs/>
                      <w:color w:val="auto"/>
                    </w:rPr>
                    <w:t>产生量</w:t>
                  </w:r>
                  <w:r>
                    <w:rPr>
                      <w:rFonts w:hint="eastAsia"/>
                      <w:b/>
                      <w:bCs/>
                      <w:color w:val="auto"/>
                      <w:lang w:eastAsia="zh-CN"/>
                    </w:rPr>
                    <w:t>（</w:t>
                  </w:r>
                  <w:r>
                    <w:rPr>
                      <w:b/>
                      <w:bCs/>
                      <w:color w:val="auto"/>
                    </w:rPr>
                    <w:t>t/a</w:t>
                  </w:r>
                  <w:r>
                    <w:rPr>
                      <w:rFonts w:hint="eastAsia"/>
                      <w:b/>
                      <w:bCs/>
                      <w:color w:val="auto"/>
                      <w:lang w:eastAsia="zh-CN"/>
                    </w:rPr>
                    <w:t>）</w:t>
                  </w:r>
                </w:p>
              </w:tc>
              <w:tc>
                <w:tcPr>
                  <w:tcW w:w="709" w:type="pct"/>
                  <w:vAlign w:val="center"/>
                </w:tcPr>
                <w:p>
                  <w:pPr>
                    <w:pStyle w:val="68"/>
                    <w:rPr>
                      <w:b/>
                      <w:bCs/>
                      <w:color w:val="auto"/>
                    </w:rPr>
                  </w:pPr>
                  <w:r>
                    <w:rPr>
                      <w:rFonts w:hint="eastAsia"/>
                      <w:b/>
                      <w:bCs/>
                      <w:color w:val="auto"/>
                      <w:lang w:eastAsia="zh-CN"/>
                    </w:rPr>
                    <w:t>产生</w:t>
                  </w:r>
                  <w:r>
                    <w:rPr>
                      <w:b/>
                      <w:bCs/>
                      <w:color w:val="auto"/>
                    </w:rPr>
                    <w:t>速率</w:t>
                  </w:r>
                </w:p>
                <w:p>
                  <w:pPr>
                    <w:pStyle w:val="68"/>
                    <w:rPr>
                      <w:b/>
                      <w:bCs/>
                      <w:color w:val="auto"/>
                    </w:rPr>
                  </w:pPr>
                  <w:r>
                    <w:rPr>
                      <w:rFonts w:hint="eastAsia"/>
                      <w:b/>
                      <w:bCs/>
                      <w:color w:val="auto"/>
                      <w:lang w:eastAsia="zh-CN"/>
                    </w:rPr>
                    <w:t>(</w:t>
                  </w:r>
                  <w:r>
                    <w:rPr>
                      <w:b/>
                      <w:bCs/>
                      <w:color w:val="auto"/>
                    </w:rPr>
                    <w:t>kg/h</w:t>
                  </w:r>
                  <w:r>
                    <w:rPr>
                      <w:rFonts w:hint="eastAsia"/>
                      <w:b/>
                      <w:bCs/>
                      <w:color w:val="auto"/>
                      <w:lang w:eastAsia="zh-CN"/>
                    </w:rPr>
                    <w:t>)</w:t>
                  </w:r>
                </w:p>
              </w:tc>
              <w:tc>
                <w:tcPr>
                  <w:tcW w:w="676" w:type="pct"/>
                  <w:vAlign w:val="center"/>
                </w:tcPr>
                <w:p>
                  <w:pPr>
                    <w:pStyle w:val="68"/>
                    <w:rPr>
                      <w:b/>
                      <w:bCs/>
                      <w:color w:val="auto"/>
                    </w:rPr>
                  </w:pPr>
                  <w:r>
                    <w:rPr>
                      <w:rFonts w:hint="eastAsia"/>
                      <w:b/>
                      <w:bCs/>
                      <w:color w:val="auto"/>
                      <w:lang w:eastAsia="zh-CN"/>
                    </w:rPr>
                    <w:t>产生</w:t>
                  </w:r>
                  <w:r>
                    <w:rPr>
                      <w:b/>
                      <w:bCs/>
                      <w:color w:val="auto"/>
                    </w:rPr>
                    <w:t>浓度</w:t>
                  </w:r>
                </w:p>
                <w:p>
                  <w:pPr>
                    <w:pStyle w:val="68"/>
                    <w:rPr>
                      <w:b/>
                      <w:bCs/>
                      <w:color w:val="auto"/>
                    </w:rPr>
                  </w:pPr>
                  <w:r>
                    <w:rPr>
                      <w:rFonts w:hint="eastAsia"/>
                      <w:b/>
                      <w:bCs/>
                      <w:color w:val="auto"/>
                      <w:lang w:eastAsia="zh-CN"/>
                    </w:rPr>
                    <w:t>(</w:t>
                  </w:r>
                  <w:r>
                    <w:rPr>
                      <w:b/>
                      <w:bCs/>
                      <w:color w:val="auto"/>
                    </w:rPr>
                    <w:t>mg/m</w:t>
                  </w:r>
                  <w:r>
                    <w:rPr>
                      <w:b/>
                      <w:bCs/>
                      <w:color w:val="auto"/>
                      <w:vertAlign w:val="superscript"/>
                    </w:rPr>
                    <w:t>3</w:t>
                  </w:r>
                  <w:r>
                    <w:rPr>
                      <w:rFonts w:hint="eastAsia"/>
                      <w:b/>
                      <w:bCs/>
                      <w:color w:val="auto"/>
                      <w:lang w:eastAsia="zh-CN"/>
                    </w:rPr>
                    <w:t>)</w:t>
                  </w:r>
                </w:p>
              </w:tc>
              <w:tc>
                <w:tcPr>
                  <w:tcW w:w="760" w:type="pct"/>
                  <w:vAlign w:val="center"/>
                </w:tcPr>
                <w:p>
                  <w:pPr>
                    <w:pStyle w:val="68"/>
                    <w:rPr>
                      <w:b/>
                      <w:bCs/>
                      <w:color w:val="auto"/>
                    </w:rPr>
                  </w:pPr>
                  <w:r>
                    <w:rPr>
                      <w:b/>
                      <w:bCs/>
                      <w:color w:val="auto"/>
                    </w:rPr>
                    <w:t>排放量</w:t>
                  </w:r>
                </w:p>
                <w:p>
                  <w:pPr>
                    <w:pStyle w:val="68"/>
                    <w:rPr>
                      <w:b/>
                      <w:bCs/>
                      <w:color w:val="auto"/>
                    </w:rPr>
                  </w:pPr>
                  <w:r>
                    <w:rPr>
                      <w:rFonts w:hint="eastAsia"/>
                      <w:b/>
                      <w:bCs/>
                      <w:color w:val="auto"/>
                      <w:lang w:eastAsia="zh-CN"/>
                    </w:rPr>
                    <w:t>(</w:t>
                  </w:r>
                  <w:r>
                    <w:rPr>
                      <w:b/>
                      <w:bCs/>
                      <w:color w:val="auto"/>
                    </w:rPr>
                    <w:t>t/a</w:t>
                  </w:r>
                  <w:r>
                    <w:rPr>
                      <w:rFonts w:hint="eastAsia"/>
                      <w:b/>
                      <w:bCs/>
                      <w:color w:val="auto"/>
                      <w:lang w:eastAsia="zh-CN"/>
                    </w:rPr>
                    <w:t>)</w:t>
                  </w:r>
                </w:p>
              </w:tc>
              <w:tc>
                <w:tcPr>
                  <w:tcW w:w="676" w:type="pct"/>
                  <w:vAlign w:val="center"/>
                </w:tcPr>
                <w:p>
                  <w:pPr>
                    <w:pStyle w:val="68"/>
                    <w:rPr>
                      <w:b/>
                      <w:bCs/>
                      <w:color w:val="auto"/>
                    </w:rPr>
                  </w:pPr>
                  <w:r>
                    <w:rPr>
                      <w:b/>
                      <w:bCs/>
                      <w:color w:val="auto"/>
                    </w:rPr>
                    <w:t>排放速率</w:t>
                  </w:r>
                </w:p>
                <w:p>
                  <w:pPr>
                    <w:pStyle w:val="68"/>
                    <w:rPr>
                      <w:b/>
                      <w:bCs/>
                      <w:color w:val="auto"/>
                    </w:rPr>
                  </w:pPr>
                  <w:r>
                    <w:rPr>
                      <w:rFonts w:hint="eastAsia"/>
                      <w:b/>
                      <w:bCs/>
                      <w:color w:val="auto"/>
                      <w:lang w:eastAsia="zh-CN"/>
                    </w:rPr>
                    <w:t>(</w:t>
                  </w:r>
                  <w:r>
                    <w:rPr>
                      <w:b/>
                      <w:bCs/>
                      <w:color w:val="auto"/>
                    </w:rPr>
                    <w:t>kg/h</w:t>
                  </w:r>
                  <w:r>
                    <w:rPr>
                      <w:rFonts w:hint="eastAsia"/>
                      <w:b/>
                      <w:bCs/>
                      <w:color w:val="auto"/>
                      <w:lang w:eastAsia="zh-CN"/>
                    </w:rPr>
                    <w:t>)</w:t>
                  </w:r>
                </w:p>
              </w:tc>
              <w:tc>
                <w:tcPr>
                  <w:tcW w:w="710" w:type="pct"/>
                  <w:vAlign w:val="center"/>
                </w:tcPr>
                <w:p>
                  <w:pPr>
                    <w:pStyle w:val="68"/>
                    <w:rPr>
                      <w:b/>
                      <w:bCs/>
                      <w:color w:val="auto"/>
                    </w:rPr>
                  </w:pPr>
                  <w:r>
                    <w:rPr>
                      <w:b/>
                      <w:bCs/>
                      <w:color w:val="auto"/>
                    </w:rPr>
                    <w:t>排放浓度</w:t>
                  </w:r>
                </w:p>
                <w:p>
                  <w:pPr>
                    <w:pStyle w:val="68"/>
                    <w:rPr>
                      <w:b/>
                      <w:bCs/>
                      <w:color w:val="auto"/>
                    </w:rPr>
                  </w:pPr>
                  <w:r>
                    <w:rPr>
                      <w:rFonts w:hint="eastAsia"/>
                      <w:b/>
                      <w:bCs/>
                      <w:color w:val="auto"/>
                      <w:lang w:eastAsia="zh-CN"/>
                    </w:rPr>
                    <w:t>(</w:t>
                  </w:r>
                  <w:r>
                    <w:rPr>
                      <w:b/>
                      <w:bCs/>
                      <w:color w:val="auto"/>
                    </w:rPr>
                    <w:t>mg/m</w:t>
                  </w:r>
                  <w:r>
                    <w:rPr>
                      <w:b/>
                      <w:bCs/>
                      <w:color w:val="auto"/>
                      <w:vertAlign w:val="superscript"/>
                    </w:rPr>
                    <w:t>3</w:t>
                  </w:r>
                  <w:r>
                    <w:rPr>
                      <w:rFonts w:hint="eastAsia"/>
                      <w:b/>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88" w:type="pct"/>
                  <w:vAlign w:val="center"/>
                </w:tcPr>
                <w:p>
                  <w:pPr>
                    <w:pStyle w:val="68"/>
                    <w:rPr>
                      <w:color w:val="auto"/>
                    </w:rPr>
                  </w:pPr>
                  <w:r>
                    <w:rPr>
                      <w:rFonts w:hint="eastAsia"/>
                      <w:color w:val="auto"/>
                    </w:rPr>
                    <w:t>硫化氢</w:t>
                  </w:r>
                </w:p>
              </w:tc>
              <w:tc>
                <w:tcPr>
                  <w:tcW w:w="422" w:type="pct"/>
                  <w:vMerge w:val="restart"/>
                  <w:vAlign w:val="center"/>
                </w:tcPr>
                <w:p>
                  <w:pPr>
                    <w:pStyle w:val="68"/>
                    <w:rPr>
                      <w:color w:val="auto"/>
                    </w:rPr>
                  </w:pPr>
                  <w:r>
                    <w:rPr>
                      <w:rFonts w:hint="eastAsia"/>
                      <w:color w:val="auto"/>
                    </w:rPr>
                    <w:t>有组织</w:t>
                  </w:r>
                </w:p>
              </w:tc>
              <w:tc>
                <w:tcPr>
                  <w:tcW w:w="559" w:type="pct"/>
                  <w:vAlign w:val="center"/>
                </w:tcPr>
                <w:p>
                  <w:pPr>
                    <w:pStyle w:val="68"/>
                    <w:rPr>
                      <w:color w:val="auto"/>
                      <w:lang w:eastAsia="zh-CN"/>
                    </w:rPr>
                  </w:pPr>
                  <w:r>
                    <w:rPr>
                      <w:color w:val="auto"/>
                      <w:lang w:eastAsia="zh-CN"/>
                    </w:rPr>
                    <w:t>0.017</w:t>
                  </w:r>
                </w:p>
              </w:tc>
              <w:tc>
                <w:tcPr>
                  <w:tcW w:w="709" w:type="pct"/>
                  <w:vAlign w:val="center"/>
                </w:tcPr>
                <w:p>
                  <w:pPr>
                    <w:pStyle w:val="68"/>
                    <w:rPr>
                      <w:color w:val="auto"/>
                      <w:lang w:eastAsia="zh-CN"/>
                    </w:rPr>
                  </w:pPr>
                  <w:r>
                    <w:rPr>
                      <w:rFonts w:hint="eastAsia"/>
                      <w:color w:val="auto"/>
                      <w:lang w:eastAsia="zh-CN"/>
                    </w:rPr>
                    <w:t>0</w:t>
                  </w:r>
                  <w:r>
                    <w:rPr>
                      <w:color w:val="auto"/>
                      <w:lang w:eastAsia="zh-CN"/>
                    </w:rPr>
                    <w:t>.0024</w:t>
                  </w:r>
                </w:p>
              </w:tc>
              <w:tc>
                <w:tcPr>
                  <w:tcW w:w="676" w:type="pct"/>
                  <w:vAlign w:val="center"/>
                </w:tcPr>
                <w:p>
                  <w:pPr>
                    <w:pStyle w:val="68"/>
                    <w:rPr>
                      <w:color w:val="auto"/>
                      <w:lang w:eastAsia="zh-CN"/>
                    </w:rPr>
                  </w:pPr>
                  <w:r>
                    <w:rPr>
                      <w:color w:val="auto"/>
                      <w:lang w:eastAsia="zh-CN"/>
                    </w:rPr>
                    <w:t>0.4</w:t>
                  </w:r>
                </w:p>
              </w:tc>
              <w:tc>
                <w:tcPr>
                  <w:tcW w:w="760" w:type="pct"/>
                  <w:vAlign w:val="center"/>
                </w:tcPr>
                <w:p>
                  <w:pPr>
                    <w:pStyle w:val="68"/>
                    <w:rPr>
                      <w:color w:val="auto"/>
                      <w:lang w:eastAsia="zh-CN"/>
                    </w:rPr>
                  </w:pPr>
                  <w:r>
                    <w:rPr>
                      <w:rFonts w:hint="eastAsia"/>
                      <w:color w:val="auto"/>
                      <w:lang w:eastAsia="zh-CN"/>
                    </w:rPr>
                    <w:t>0</w:t>
                  </w:r>
                  <w:r>
                    <w:rPr>
                      <w:color w:val="auto"/>
                      <w:lang w:eastAsia="zh-CN"/>
                    </w:rPr>
                    <w:t>.0052</w:t>
                  </w:r>
                </w:p>
              </w:tc>
              <w:tc>
                <w:tcPr>
                  <w:tcW w:w="676" w:type="pct"/>
                  <w:vAlign w:val="center"/>
                </w:tcPr>
                <w:p>
                  <w:pPr>
                    <w:pStyle w:val="68"/>
                    <w:rPr>
                      <w:color w:val="auto"/>
                      <w:lang w:eastAsia="zh-CN"/>
                    </w:rPr>
                  </w:pPr>
                  <w:r>
                    <w:rPr>
                      <w:rFonts w:hint="eastAsia"/>
                      <w:color w:val="auto"/>
                      <w:lang w:eastAsia="zh-CN"/>
                    </w:rPr>
                    <w:t>0</w:t>
                  </w:r>
                  <w:r>
                    <w:rPr>
                      <w:color w:val="auto"/>
                      <w:lang w:eastAsia="zh-CN"/>
                    </w:rPr>
                    <w:t>.00074</w:t>
                  </w:r>
                </w:p>
              </w:tc>
              <w:tc>
                <w:tcPr>
                  <w:tcW w:w="710" w:type="pct"/>
                  <w:vAlign w:val="center"/>
                </w:tcPr>
                <w:p>
                  <w:pPr>
                    <w:pStyle w:val="68"/>
                    <w:rPr>
                      <w:color w:val="auto"/>
                      <w:lang w:eastAsia="zh-CN"/>
                    </w:rPr>
                  </w:pPr>
                  <w:r>
                    <w:rPr>
                      <w:rFonts w:hint="eastAsia"/>
                      <w:color w:val="auto"/>
                      <w:lang w:eastAsia="zh-CN"/>
                    </w:rPr>
                    <w:t>0</w:t>
                  </w:r>
                  <w:r>
                    <w:rPr>
                      <w:color w:val="auto"/>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8" w:type="pct"/>
                  <w:vAlign w:val="center"/>
                </w:tcPr>
                <w:p>
                  <w:pPr>
                    <w:pStyle w:val="68"/>
                    <w:rPr>
                      <w:color w:val="auto"/>
                    </w:rPr>
                  </w:pPr>
                  <w:r>
                    <w:rPr>
                      <w:rFonts w:hint="eastAsia"/>
                      <w:color w:val="auto"/>
                    </w:rPr>
                    <w:t>氨</w:t>
                  </w:r>
                </w:p>
              </w:tc>
              <w:tc>
                <w:tcPr>
                  <w:tcW w:w="422" w:type="pct"/>
                  <w:vMerge w:val="continue"/>
                  <w:vAlign w:val="center"/>
                </w:tcPr>
                <w:p>
                  <w:pPr>
                    <w:pStyle w:val="68"/>
                    <w:rPr>
                      <w:color w:val="auto"/>
                    </w:rPr>
                  </w:pPr>
                </w:p>
              </w:tc>
              <w:tc>
                <w:tcPr>
                  <w:tcW w:w="559" w:type="pct"/>
                  <w:vAlign w:val="center"/>
                </w:tcPr>
                <w:p>
                  <w:pPr>
                    <w:pStyle w:val="68"/>
                    <w:rPr>
                      <w:color w:val="auto"/>
                      <w:lang w:eastAsia="zh-CN"/>
                    </w:rPr>
                  </w:pPr>
                  <w:r>
                    <w:rPr>
                      <w:color w:val="auto"/>
                      <w:lang w:eastAsia="zh-CN"/>
                    </w:rPr>
                    <w:t>0.122</w:t>
                  </w:r>
                </w:p>
              </w:tc>
              <w:tc>
                <w:tcPr>
                  <w:tcW w:w="709" w:type="pct"/>
                  <w:vAlign w:val="center"/>
                </w:tcPr>
                <w:p>
                  <w:pPr>
                    <w:pStyle w:val="68"/>
                    <w:rPr>
                      <w:color w:val="auto"/>
                      <w:lang w:eastAsia="zh-CN"/>
                    </w:rPr>
                  </w:pPr>
                  <w:r>
                    <w:rPr>
                      <w:rFonts w:hint="eastAsia"/>
                      <w:color w:val="auto"/>
                      <w:lang w:eastAsia="zh-CN"/>
                    </w:rPr>
                    <w:t>0</w:t>
                  </w:r>
                  <w:r>
                    <w:rPr>
                      <w:color w:val="auto"/>
                      <w:lang w:eastAsia="zh-CN"/>
                    </w:rPr>
                    <w:t>.017</w:t>
                  </w:r>
                </w:p>
              </w:tc>
              <w:tc>
                <w:tcPr>
                  <w:tcW w:w="676" w:type="pct"/>
                  <w:vAlign w:val="center"/>
                </w:tcPr>
                <w:p>
                  <w:pPr>
                    <w:pStyle w:val="68"/>
                    <w:rPr>
                      <w:color w:val="auto"/>
                      <w:lang w:eastAsia="zh-CN"/>
                    </w:rPr>
                  </w:pPr>
                  <w:r>
                    <w:rPr>
                      <w:color w:val="auto"/>
                      <w:lang w:eastAsia="zh-CN"/>
                    </w:rPr>
                    <w:t>2.83</w:t>
                  </w:r>
                </w:p>
              </w:tc>
              <w:tc>
                <w:tcPr>
                  <w:tcW w:w="760" w:type="pct"/>
                  <w:vAlign w:val="center"/>
                </w:tcPr>
                <w:p>
                  <w:pPr>
                    <w:pStyle w:val="68"/>
                    <w:rPr>
                      <w:color w:val="auto"/>
                      <w:lang w:eastAsia="zh-CN"/>
                    </w:rPr>
                  </w:pPr>
                  <w:r>
                    <w:rPr>
                      <w:rFonts w:hint="eastAsia"/>
                      <w:color w:val="auto"/>
                      <w:lang w:eastAsia="zh-CN"/>
                    </w:rPr>
                    <w:t>0</w:t>
                  </w:r>
                  <w:r>
                    <w:rPr>
                      <w:color w:val="auto"/>
                      <w:lang w:eastAsia="zh-CN"/>
                    </w:rPr>
                    <w:t>.009</w:t>
                  </w:r>
                </w:p>
              </w:tc>
              <w:tc>
                <w:tcPr>
                  <w:tcW w:w="676" w:type="pct"/>
                  <w:vAlign w:val="center"/>
                </w:tcPr>
                <w:p>
                  <w:pPr>
                    <w:pStyle w:val="68"/>
                    <w:rPr>
                      <w:color w:val="auto"/>
                      <w:lang w:eastAsia="zh-CN"/>
                    </w:rPr>
                  </w:pPr>
                  <w:r>
                    <w:rPr>
                      <w:rFonts w:hint="eastAsia"/>
                      <w:color w:val="auto"/>
                      <w:lang w:eastAsia="zh-CN"/>
                    </w:rPr>
                    <w:t>0</w:t>
                  </w:r>
                  <w:r>
                    <w:rPr>
                      <w:color w:val="auto"/>
                      <w:lang w:eastAsia="zh-CN"/>
                    </w:rPr>
                    <w:t>.0012</w:t>
                  </w:r>
                </w:p>
              </w:tc>
              <w:tc>
                <w:tcPr>
                  <w:tcW w:w="710" w:type="pct"/>
                  <w:vAlign w:val="center"/>
                </w:tcPr>
                <w:p>
                  <w:pPr>
                    <w:pStyle w:val="68"/>
                    <w:rPr>
                      <w:color w:val="auto"/>
                      <w:lang w:eastAsia="zh-CN"/>
                    </w:rPr>
                  </w:pPr>
                  <w:r>
                    <w:rPr>
                      <w:rFonts w:hint="eastAsia"/>
                      <w:color w:val="auto"/>
                      <w:lang w:eastAsia="zh-CN"/>
                    </w:rPr>
                    <w:t>0</w:t>
                  </w:r>
                  <w:r>
                    <w:rPr>
                      <w:color w:val="auto"/>
                      <w:lang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88" w:type="pct"/>
                  <w:vAlign w:val="center"/>
                </w:tcPr>
                <w:p>
                  <w:pPr>
                    <w:pStyle w:val="68"/>
                    <w:rPr>
                      <w:color w:val="auto"/>
                    </w:rPr>
                  </w:pPr>
                  <w:r>
                    <w:rPr>
                      <w:rFonts w:hint="eastAsia"/>
                      <w:color w:val="auto"/>
                      <w:lang w:eastAsia="zh-CN"/>
                    </w:rPr>
                    <w:t>臭气浓度</w:t>
                  </w:r>
                </w:p>
              </w:tc>
              <w:tc>
                <w:tcPr>
                  <w:tcW w:w="422" w:type="pct"/>
                  <w:vMerge w:val="continue"/>
                  <w:vAlign w:val="center"/>
                </w:tcPr>
                <w:p>
                  <w:pPr>
                    <w:pStyle w:val="68"/>
                    <w:rPr>
                      <w:color w:val="auto"/>
                    </w:rPr>
                  </w:pPr>
                </w:p>
              </w:tc>
              <w:tc>
                <w:tcPr>
                  <w:tcW w:w="559" w:type="pct"/>
                  <w:vAlign w:val="center"/>
                </w:tcPr>
                <w:p>
                  <w:pPr>
                    <w:pStyle w:val="68"/>
                    <w:rPr>
                      <w:color w:val="auto"/>
                      <w:lang w:eastAsia="zh-CN"/>
                    </w:rPr>
                  </w:pPr>
                  <w:r>
                    <w:rPr>
                      <w:rFonts w:hint="eastAsia"/>
                      <w:color w:val="auto"/>
                      <w:lang w:eastAsia="zh-CN"/>
                    </w:rPr>
                    <w:t>/</w:t>
                  </w:r>
                </w:p>
              </w:tc>
              <w:tc>
                <w:tcPr>
                  <w:tcW w:w="709" w:type="pct"/>
                  <w:vAlign w:val="center"/>
                </w:tcPr>
                <w:p>
                  <w:pPr>
                    <w:pStyle w:val="68"/>
                    <w:rPr>
                      <w:color w:val="auto"/>
                      <w:lang w:eastAsia="zh-CN"/>
                    </w:rPr>
                  </w:pPr>
                  <w:r>
                    <w:rPr>
                      <w:rFonts w:hint="eastAsia"/>
                      <w:color w:val="auto"/>
                      <w:lang w:eastAsia="zh-CN"/>
                    </w:rPr>
                    <w:t>/</w:t>
                  </w:r>
                </w:p>
              </w:tc>
              <w:tc>
                <w:tcPr>
                  <w:tcW w:w="676" w:type="pct"/>
                  <w:vAlign w:val="center"/>
                </w:tcPr>
                <w:p>
                  <w:pPr>
                    <w:pStyle w:val="68"/>
                    <w:rPr>
                      <w:color w:val="auto"/>
                      <w:lang w:eastAsia="zh-CN"/>
                    </w:rPr>
                  </w:pPr>
                  <w:r>
                    <w:rPr>
                      <w:color w:val="auto"/>
                      <w:lang w:eastAsia="zh-CN"/>
                    </w:rPr>
                    <w:t>6182</w:t>
                  </w:r>
                  <w:r>
                    <w:rPr>
                      <w:rFonts w:hint="eastAsia"/>
                      <w:color w:val="auto"/>
                      <w:lang w:eastAsia="zh-CN"/>
                    </w:rPr>
                    <w:t>（无量纲）</w:t>
                  </w:r>
                </w:p>
              </w:tc>
              <w:tc>
                <w:tcPr>
                  <w:tcW w:w="760" w:type="pct"/>
                  <w:vAlign w:val="center"/>
                </w:tcPr>
                <w:p>
                  <w:pPr>
                    <w:pStyle w:val="68"/>
                    <w:rPr>
                      <w:color w:val="auto"/>
                      <w:lang w:eastAsia="zh-CN"/>
                    </w:rPr>
                  </w:pPr>
                  <w:r>
                    <w:rPr>
                      <w:rFonts w:hint="eastAsia"/>
                      <w:color w:val="auto"/>
                      <w:lang w:eastAsia="zh-CN"/>
                    </w:rPr>
                    <w:t>/</w:t>
                  </w:r>
                </w:p>
              </w:tc>
              <w:tc>
                <w:tcPr>
                  <w:tcW w:w="676" w:type="pct"/>
                  <w:vAlign w:val="center"/>
                </w:tcPr>
                <w:p>
                  <w:pPr>
                    <w:pStyle w:val="68"/>
                    <w:rPr>
                      <w:color w:val="auto"/>
                      <w:lang w:eastAsia="zh-CN"/>
                    </w:rPr>
                  </w:pPr>
                  <w:r>
                    <w:rPr>
                      <w:rFonts w:hint="eastAsia"/>
                      <w:color w:val="auto"/>
                      <w:lang w:eastAsia="zh-CN"/>
                    </w:rPr>
                    <w:t>/</w:t>
                  </w:r>
                </w:p>
              </w:tc>
              <w:tc>
                <w:tcPr>
                  <w:tcW w:w="710" w:type="pct"/>
                  <w:vAlign w:val="center"/>
                </w:tcPr>
                <w:p>
                  <w:pPr>
                    <w:pStyle w:val="68"/>
                    <w:rPr>
                      <w:color w:val="auto"/>
                    </w:rPr>
                  </w:pPr>
                  <w:r>
                    <w:rPr>
                      <w:color w:val="auto"/>
                      <w:lang w:eastAsia="zh-CN"/>
                    </w:rPr>
                    <w:t>476</w:t>
                  </w:r>
                  <w:r>
                    <w:rPr>
                      <w:rFonts w:hint="eastAsia"/>
                      <w:color w:val="auto"/>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88" w:type="pct"/>
                  <w:vAlign w:val="center"/>
                </w:tcPr>
                <w:p>
                  <w:pPr>
                    <w:pStyle w:val="68"/>
                    <w:rPr>
                      <w:color w:val="auto"/>
                    </w:rPr>
                  </w:pPr>
                  <w:r>
                    <w:rPr>
                      <w:rFonts w:hint="eastAsia"/>
                      <w:color w:val="auto"/>
                    </w:rPr>
                    <w:t>硫化氢</w:t>
                  </w:r>
                </w:p>
              </w:tc>
              <w:tc>
                <w:tcPr>
                  <w:tcW w:w="422" w:type="pct"/>
                  <w:vMerge w:val="restart"/>
                  <w:vAlign w:val="center"/>
                </w:tcPr>
                <w:p>
                  <w:pPr>
                    <w:pStyle w:val="68"/>
                    <w:rPr>
                      <w:color w:val="auto"/>
                    </w:rPr>
                  </w:pPr>
                  <w:r>
                    <w:rPr>
                      <w:rFonts w:hint="eastAsia"/>
                      <w:color w:val="auto"/>
                    </w:rPr>
                    <w:t>无组织</w:t>
                  </w:r>
                </w:p>
              </w:tc>
              <w:tc>
                <w:tcPr>
                  <w:tcW w:w="559" w:type="pct"/>
                  <w:vAlign w:val="center"/>
                </w:tcPr>
                <w:p>
                  <w:pPr>
                    <w:pStyle w:val="68"/>
                    <w:rPr>
                      <w:color w:val="auto"/>
                      <w:lang w:eastAsia="zh-CN"/>
                    </w:rPr>
                  </w:pPr>
                  <w:r>
                    <w:rPr>
                      <w:rFonts w:hint="eastAsia"/>
                      <w:color w:val="auto"/>
                      <w:lang w:eastAsia="zh-CN"/>
                    </w:rPr>
                    <w:t>0</w:t>
                  </w:r>
                  <w:r>
                    <w:rPr>
                      <w:color w:val="auto"/>
                      <w:lang w:eastAsia="zh-CN"/>
                    </w:rPr>
                    <w:t>.003</w:t>
                  </w:r>
                </w:p>
              </w:tc>
              <w:tc>
                <w:tcPr>
                  <w:tcW w:w="709" w:type="pct"/>
                  <w:vAlign w:val="center"/>
                </w:tcPr>
                <w:p>
                  <w:pPr>
                    <w:pStyle w:val="68"/>
                    <w:rPr>
                      <w:color w:val="auto"/>
                      <w:lang w:eastAsia="zh-CN"/>
                    </w:rPr>
                  </w:pPr>
                  <w:r>
                    <w:rPr>
                      <w:rFonts w:hint="eastAsia"/>
                      <w:color w:val="auto"/>
                      <w:lang w:eastAsia="zh-CN"/>
                    </w:rPr>
                    <w:t>0</w:t>
                  </w:r>
                  <w:r>
                    <w:rPr>
                      <w:color w:val="auto"/>
                      <w:lang w:eastAsia="zh-CN"/>
                    </w:rPr>
                    <w:t>.00042</w:t>
                  </w:r>
                </w:p>
              </w:tc>
              <w:tc>
                <w:tcPr>
                  <w:tcW w:w="676" w:type="pct"/>
                  <w:vAlign w:val="center"/>
                </w:tcPr>
                <w:p>
                  <w:pPr>
                    <w:pStyle w:val="68"/>
                    <w:rPr>
                      <w:color w:val="auto"/>
                      <w:lang w:eastAsia="zh-CN"/>
                    </w:rPr>
                  </w:pPr>
                  <w:r>
                    <w:rPr>
                      <w:rFonts w:hint="eastAsia"/>
                      <w:color w:val="auto"/>
                      <w:lang w:eastAsia="zh-CN"/>
                    </w:rPr>
                    <w:t>/</w:t>
                  </w:r>
                </w:p>
              </w:tc>
              <w:tc>
                <w:tcPr>
                  <w:tcW w:w="760" w:type="pct"/>
                  <w:vAlign w:val="center"/>
                </w:tcPr>
                <w:p>
                  <w:pPr>
                    <w:pStyle w:val="68"/>
                    <w:rPr>
                      <w:color w:val="auto"/>
                    </w:rPr>
                  </w:pPr>
                  <w:r>
                    <w:rPr>
                      <w:rFonts w:hint="eastAsia"/>
                      <w:color w:val="auto"/>
                      <w:lang w:eastAsia="zh-CN"/>
                    </w:rPr>
                    <w:t>0</w:t>
                  </w:r>
                  <w:r>
                    <w:rPr>
                      <w:color w:val="auto"/>
                      <w:lang w:eastAsia="zh-CN"/>
                    </w:rPr>
                    <w:t>.003</w:t>
                  </w:r>
                </w:p>
              </w:tc>
              <w:tc>
                <w:tcPr>
                  <w:tcW w:w="676" w:type="pct"/>
                  <w:vAlign w:val="center"/>
                </w:tcPr>
                <w:p>
                  <w:pPr>
                    <w:pStyle w:val="68"/>
                    <w:rPr>
                      <w:color w:val="auto"/>
                    </w:rPr>
                  </w:pPr>
                  <w:r>
                    <w:rPr>
                      <w:rFonts w:hint="eastAsia"/>
                      <w:color w:val="auto"/>
                      <w:lang w:eastAsia="zh-CN"/>
                    </w:rPr>
                    <w:t>0</w:t>
                  </w:r>
                  <w:r>
                    <w:rPr>
                      <w:color w:val="auto"/>
                      <w:lang w:eastAsia="zh-CN"/>
                    </w:rPr>
                    <w:t>.00042</w:t>
                  </w:r>
                </w:p>
              </w:tc>
              <w:tc>
                <w:tcPr>
                  <w:tcW w:w="710" w:type="pct"/>
                  <w:vAlign w:val="center"/>
                </w:tcPr>
                <w:p>
                  <w:pPr>
                    <w:pStyle w:val="68"/>
                    <w:rPr>
                      <w:color w:val="auto"/>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8" w:type="pct"/>
                  <w:vAlign w:val="center"/>
                </w:tcPr>
                <w:p>
                  <w:pPr>
                    <w:pStyle w:val="68"/>
                    <w:rPr>
                      <w:color w:val="auto"/>
                    </w:rPr>
                  </w:pPr>
                  <w:r>
                    <w:rPr>
                      <w:rFonts w:hint="eastAsia"/>
                      <w:color w:val="auto"/>
                    </w:rPr>
                    <w:t>氨</w:t>
                  </w:r>
                </w:p>
              </w:tc>
              <w:tc>
                <w:tcPr>
                  <w:tcW w:w="422" w:type="pct"/>
                  <w:vMerge w:val="continue"/>
                  <w:vAlign w:val="center"/>
                </w:tcPr>
                <w:p>
                  <w:pPr>
                    <w:pStyle w:val="68"/>
                    <w:rPr>
                      <w:color w:val="auto"/>
                    </w:rPr>
                  </w:pPr>
                </w:p>
              </w:tc>
              <w:tc>
                <w:tcPr>
                  <w:tcW w:w="559" w:type="pct"/>
                  <w:vAlign w:val="center"/>
                </w:tcPr>
                <w:p>
                  <w:pPr>
                    <w:pStyle w:val="68"/>
                    <w:rPr>
                      <w:color w:val="auto"/>
                      <w:lang w:eastAsia="zh-CN"/>
                    </w:rPr>
                  </w:pPr>
                  <w:r>
                    <w:rPr>
                      <w:rFonts w:hint="eastAsia"/>
                      <w:color w:val="auto"/>
                      <w:lang w:eastAsia="zh-CN"/>
                    </w:rPr>
                    <w:t>0</w:t>
                  </w:r>
                  <w:r>
                    <w:rPr>
                      <w:color w:val="auto"/>
                      <w:lang w:eastAsia="zh-CN"/>
                    </w:rPr>
                    <w:t>.022</w:t>
                  </w:r>
                </w:p>
              </w:tc>
              <w:tc>
                <w:tcPr>
                  <w:tcW w:w="709" w:type="pct"/>
                  <w:vAlign w:val="center"/>
                </w:tcPr>
                <w:p>
                  <w:pPr>
                    <w:pStyle w:val="68"/>
                    <w:rPr>
                      <w:color w:val="auto"/>
                      <w:lang w:eastAsia="zh-CN"/>
                    </w:rPr>
                  </w:pPr>
                  <w:r>
                    <w:rPr>
                      <w:rFonts w:hint="eastAsia"/>
                      <w:color w:val="auto"/>
                      <w:lang w:eastAsia="zh-CN"/>
                    </w:rPr>
                    <w:t>0</w:t>
                  </w:r>
                  <w:r>
                    <w:rPr>
                      <w:color w:val="auto"/>
                      <w:lang w:eastAsia="zh-CN"/>
                    </w:rPr>
                    <w:t>.0031</w:t>
                  </w:r>
                </w:p>
              </w:tc>
              <w:tc>
                <w:tcPr>
                  <w:tcW w:w="676" w:type="pct"/>
                  <w:vAlign w:val="center"/>
                </w:tcPr>
                <w:p>
                  <w:pPr>
                    <w:pStyle w:val="68"/>
                    <w:rPr>
                      <w:color w:val="auto"/>
                      <w:lang w:eastAsia="zh-CN"/>
                    </w:rPr>
                  </w:pPr>
                  <w:r>
                    <w:rPr>
                      <w:rFonts w:hint="eastAsia"/>
                      <w:color w:val="auto"/>
                      <w:lang w:eastAsia="zh-CN"/>
                    </w:rPr>
                    <w:t>/</w:t>
                  </w:r>
                </w:p>
              </w:tc>
              <w:tc>
                <w:tcPr>
                  <w:tcW w:w="760" w:type="pct"/>
                  <w:vAlign w:val="center"/>
                </w:tcPr>
                <w:p>
                  <w:pPr>
                    <w:pStyle w:val="68"/>
                    <w:rPr>
                      <w:color w:val="auto"/>
                    </w:rPr>
                  </w:pPr>
                  <w:r>
                    <w:rPr>
                      <w:rFonts w:hint="eastAsia"/>
                      <w:color w:val="auto"/>
                      <w:lang w:eastAsia="zh-CN"/>
                    </w:rPr>
                    <w:t>0</w:t>
                  </w:r>
                  <w:r>
                    <w:rPr>
                      <w:color w:val="auto"/>
                      <w:lang w:eastAsia="zh-CN"/>
                    </w:rPr>
                    <w:t>.022</w:t>
                  </w:r>
                </w:p>
              </w:tc>
              <w:tc>
                <w:tcPr>
                  <w:tcW w:w="676" w:type="pct"/>
                  <w:vAlign w:val="center"/>
                </w:tcPr>
                <w:p>
                  <w:pPr>
                    <w:pStyle w:val="68"/>
                    <w:rPr>
                      <w:color w:val="auto"/>
                    </w:rPr>
                  </w:pPr>
                  <w:r>
                    <w:rPr>
                      <w:rFonts w:hint="eastAsia"/>
                      <w:color w:val="auto"/>
                      <w:lang w:eastAsia="zh-CN"/>
                    </w:rPr>
                    <w:t>0</w:t>
                  </w:r>
                  <w:r>
                    <w:rPr>
                      <w:color w:val="auto"/>
                      <w:lang w:eastAsia="zh-CN"/>
                    </w:rPr>
                    <w:t>.0031</w:t>
                  </w:r>
                </w:p>
              </w:tc>
              <w:tc>
                <w:tcPr>
                  <w:tcW w:w="710" w:type="pct"/>
                  <w:vAlign w:val="center"/>
                </w:tcPr>
                <w:p>
                  <w:pPr>
                    <w:pStyle w:val="68"/>
                    <w:rPr>
                      <w:color w:val="auto"/>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8" w:type="pct"/>
                  <w:vAlign w:val="center"/>
                </w:tcPr>
                <w:p>
                  <w:pPr>
                    <w:pStyle w:val="68"/>
                    <w:rPr>
                      <w:color w:val="auto"/>
                    </w:rPr>
                  </w:pPr>
                  <w:r>
                    <w:rPr>
                      <w:rFonts w:hint="eastAsia"/>
                      <w:color w:val="auto"/>
                      <w:lang w:eastAsia="zh-CN"/>
                    </w:rPr>
                    <w:t>臭气浓度</w:t>
                  </w:r>
                </w:p>
              </w:tc>
              <w:tc>
                <w:tcPr>
                  <w:tcW w:w="422" w:type="pct"/>
                  <w:vMerge w:val="continue"/>
                  <w:vAlign w:val="center"/>
                </w:tcPr>
                <w:p>
                  <w:pPr>
                    <w:pStyle w:val="68"/>
                    <w:rPr>
                      <w:color w:val="auto"/>
                    </w:rPr>
                  </w:pPr>
                </w:p>
              </w:tc>
              <w:tc>
                <w:tcPr>
                  <w:tcW w:w="559" w:type="pct"/>
                  <w:vAlign w:val="center"/>
                </w:tcPr>
                <w:p>
                  <w:pPr>
                    <w:pStyle w:val="68"/>
                    <w:rPr>
                      <w:color w:val="auto"/>
                      <w:lang w:eastAsia="zh-CN"/>
                    </w:rPr>
                  </w:pPr>
                  <w:r>
                    <w:rPr>
                      <w:rFonts w:hint="eastAsia"/>
                      <w:color w:val="auto"/>
                      <w:lang w:eastAsia="zh-CN"/>
                    </w:rPr>
                    <w:t>/</w:t>
                  </w:r>
                </w:p>
              </w:tc>
              <w:tc>
                <w:tcPr>
                  <w:tcW w:w="709" w:type="pct"/>
                  <w:vAlign w:val="center"/>
                </w:tcPr>
                <w:p>
                  <w:pPr>
                    <w:pStyle w:val="68"/>
                    <w:rPr>
                      <w:color w:val="auto"/>
                      <w:lang w:eastAsia="zh-CN"/>
                    </w:rPr>
                  </w:pPr>
                  <w:r>
                    <w:rPr>
                      <w:rFonts w:hint="eastAsia"/>
                      <w:color w:val="auto"/>
                      <w:lang w:eastAsia="zh-CN"/>
                    </w:rPr>
                    <w:t>/</w:t>
                  </w:r>
                </w:p>
              </w:tc>
              <w:tc>
                <w:tcPr>
                  <w:tcW w:w="676" w:type="pct"/>
                  <w:vAlign w:val="center"/>
                </w:tcPr>
                <w:p>
                  <w:pPr>
                    <w:pStyle w:val="68"/>
                    <w:rPr>
                      <w:color w:val="auto"/>
                      <w:lang w:eastAsia="zh-CN"/>
                    </w:rPr>
                  </w:pPr>
                  <w:r>
                    <w:rPr>
                      <w:rFonts w:hint="eastAsia"/>
                      <w:color w:val="auto"/>
                      <w:lang w:eastAsia="zh-CN"/>
                    </w:rPr>
                    <w:t>1</w:t>
                  </w:r>
                  <w:r>
                    <w:rPr>
                      <w:color w:val="auto"/>
                      <w:lang w:eastAsia="zh-CN"/>
                    </w:rPr>
                    <w:t>7</w:t>
                  </w:r>
                  <w:r>
                    <w:rPr>
                      <w:rFonts w:hint="eastAsia"/>
                      <w:color w:val="auto"/>
                      <w:lang w:eastAsia="zh-CN"/>
                    </w:rPr>
                    <w:t>（无量纲）</w:t>
                  </w:r>
                </w:p>
              </w:tc>
              <w:tc>
                <w:tcPr>
                  <w:tcW w:w="760" w:type="pct"/>
                  <w:vAlign w:val="center"/>
                </w:tcPr>
                <w:p>
                  <w:pPr>
                    <w:pStyle w:val="68"/>
                    <w:rPr>
                      <w:color w:val="auto"/>
                      <w:lang w:eastAsia="zh-CN"/>
                    </w:rPr>
                  </w:pPr>
                  <w:r>
                    <w:rPr>
                      <w:rFonts w:hint="eastAsia"/>
                      <w:color w:val="auto"/>
                      <w:lang w:eastAsia="zh-CN"/>
                    </w:rPr>
                    <w:t>/</w:t>
                  </w:r>
                </w:p>
              </w:tc>
              <w:tc>
                <w:tcPr>
                  <w:tcW w:w="676" w:type="pct"/>
                  <w:vAlign w:val="center"/>
                </w:tcPr>
                <w:p>
                  <w:pPr>
                    <w:pStyle w:val="68"/>
                    <w:rPr>
                      <w:color w:val="auto"/>
                      <w:lang w:eastAsia="zh-CN"/>
                    </w:rPr>
                  </w:pPr>
                  <w:r>
                    <w:rPr>
                      <w:rFonts w:hint="eastAsia"/>
                      <w:color w:val="auto"/>
                      <w:lang w:eastAsia="zh-CN"/>
                    </w:rPr>
                    <w:t>/</w:t>
                  </w:r>
                </w:p>
              </w:tc>
              <w:tc>
                <w:tcPr>
                  <w:tcW w:w="710" w:type="pct"/>
                  <w:vAlign w:val="center"/>
                </w:tcPr>
                <w:p>
                  <w:pPr>
                    <w:pStyle w:val="68"/>
                    <w:rPr>
                      <w:color w:val="auto"/>
                    </w:rPr>
                  </w:pPr>
                  <w:r>
                    <w:rPr>
                      <w:rFonts w:hint="eastAsia"/>
                      <w:color w:val="auto"/>
                      <w:lang w:eastAsia="zh-CN"/>
                    </w:rPr>
                    <w:t>1</w:t>
                  </w:r>
                  <w:r>
                    <w:rPr>
                      <w:color w:val="auto"/>
                      <w:lang w:eastAsia="zh-CN"/>
                    </w:rPr>
                    <w:t>7</w:t>
                  </w:r>
                  <w:r>
                    <w:rPr>
                      <w:rFonts w:hint="eastAsia"/>
                      <w:color w:val="auto"/>
                      <w:lang w:eastAsia="zh-CN"/>
                    </w:rPr>
                    <w:t>（无量纲）</w:t>
                  </w:r>
                </w:p>
              </w:tc>
            </w:tr>
          </w:tbl>
          <w:p>
            <w:pPr>
              <w:pStyle w:val="84"/>
              <w:ind w:firstLine="482"/>
              <w:rPr>
                <w:bCs/>
                <w:color w:val="auto"/>
              </w:rPr>
            </w:pPr>
            <w:r>
              <w:rPr>
                <w:rFonts w:hint="eastAsia"/>
                <w:bCs/>
                <w:color w:val="auto"/>
              </w:rPr>
              <w:t>3</w:t>
            </w:r>
            <w:r>
              <w:rPr>
                <w:bCs/>
                <w:color w:val="auto"/>
              </w:rPr>
              <w:t>.</w:t>
            </w:r>
            <w:r>
              <w:rPr>
                <w:rFonts w:hint="eastAsia"/>
                <w:color w:val="auto"/>
              </w:rPr>
              <w:t>锅炉燃烧废气</w:t>
            </w:r>
            <w:r>
              <w:rPr>
                <w:color w:val="auto"/>
              </w:rPr>
              <w:t>污染物</w:t>
            </w:r>
          </w:p>
          <w:p>
            <w:pPr>
              <w:ind w:firstLine="480"/>
              <w:rPr>
                <w:color w:val="auto"/>
              </w:rPr>
            </w:pPr>
            <w:r>
              <w:rPr>
                <w:rFonts w:hint="eastAsia"/>
                <w:color w:val="auto"/>
                <w:lang w:val="en-US" w:eastAsia="zh-CN"/>
              </w:rPr>
              <w:t>生物质</w:t>
            </w:r>
            <w:r>
              <w:rPr>
                <w:rFonts w:hint="eastAsia"/>
                <w:color w:val="auto"/>
              </w:rPr>
              <w:t>锅炉</w:t>
            </w:r>
            <w:r>
              <w:rPr>
                <w:color w:val="auto"/>
              </w:rPr>
              <w:t>使用生物质颗粒作为燃料，燃烧过程将产生烟尘、二氧化硫和氮氧化物。</w:t>
            </w:r>
            <w:r>
              <w:rPr>
                <w:rFonts w:hint="eastAsia"/>
                <w:color w:val="auto"/>
              </w:rPr>
              <w:t>根据生物质颗粒成分检测报告（详见附件1</w:t>
            </w:r>
            <w:r>
              <w:rPr>
                <w:color w:val="auto"/>
              </w:rPr>
              <w:t>2</w:t>
            </w:r>
            <w:r>
              <w:rPr>
                <w:rFonts w:hint="eastAsia"/>
                <w:color w:val="auto"/>
              </w:rPr>
              <w:t>），</w:t>
            </w:r>
            <w:r>
              <w:rPr>
                <w:color w:val="auto"/>
              </w:rPr>
              <w:t>项目使用生物质燃料成分表见下表</w:t>
            </w:r>
            <w:r>
              <w:rPr>
                <w:rFonts w:hint="eastAsia"/>
                <w:color w:val="auto"/>
                <w:lang w:val="en-US" w:eastAsia="zh-CN"/>
              </w:rPr>
              <w:t>4.2-9所示</w:t>
            </w:r>
            <w:r>
              <w:rPr>
                <w:color w:val="auto"/>
              </w:rPr>
              <w:t>：</w:t>
            </w:r>
          </w:p>
          <w:p>
            <w:pPr>
              <w:pStyle w:val="71"/>
              <w:rPr>
                <w:color w:val="auto"/>
              </w:rPr>
            </w:pPr>
            <w:r>
              <w:rPr>
                <w:color w:val="auto"/>
              </w:rPr>
              <w:t>表4.2-</w:t>
            </w:r>
            <w:r>
              <w:rPr>
                <w:rFonts w:hint="eastAsia"/>
                <w:color w:val="auto"/>
                <w:lang w:val="en-US" w:eastAsia="zh-CN"/>
              </w:rPr>
              <w:t>9</w:t>
            </w:r>
            <w:r>
              <w:rPr>
                <w:rFonts w:hint="eastAsia"/>
                <w:color w:val="auto"/>
              </w:rPr>
              <w:t xml:space="preserve"> </w:t>
            </w:r>
            <w:r>
              <w:rPr>
                <w:rFonts w:hint="eastAsia"/>
                <w:color w:val="auto"/>
                <w:lang w:val="en-US" w:eastAsia="zh-CN"/>
              </w:rPr>
              <w:t xml:space="preserve"> </w:t>
            </w:r>
            <w:r>
              <w:rPr>
                <w:color w:val="auto"/>
              </w:rPr>
              <w:t>项目生物质</w:t>
            </w:r>
            <w:r>
              <w:rPr>
                <w:rFonts w:hint="eastAsia"/>
                <w:color w:val="auto"/>
              </w:rPr>
              <w:t>燃料</w:t>
            </w:r>
            <w:r>
              <w:rPr>
                <w:color w:val="auto"/>
              </w:rPr>
              <w:t>成分表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406"/>
              <w:gridCol w:w="803"/>
              <w:gridCol w:w="1125"/>
              <w:gridCol w:w="1254"/>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pct"/>
                  <w:vAlign w:val="center"/>
                </w:tcPr>
                <w:p>
                  <w:pPr>
                    <w:pStyle w:val="68"/>
                    <w:rPr>
                      <w:b/>
                      <w:bCs/>
                      <w:color w:val="auto"/>
                    </w:rPr>
                  </w:pPr>
                  <w:r>
                    <w:rPr>
                      <w:b/>
                      <w:bCs/>
                      <w:color w:val="auto"/>
                    </w:rPr>
                    <w:t>低位发热量</w:t>
                  </w:r>
                </w:p>
              </w:tc>
              <w:tc>
                <w:tcPr>
                  <w:tcW w:w="896" w:type="pct"/>
                  <w:vAlign w:val="center"/>
                </w:tcPr>
                <w:p>
                  <w:pPr>
                    <w:pStyle w:val="68"/>
                    <w:rPr>
                      <w:b/>
                      <w:bCs/>
                      <w:color w:val="auto"/>
                    </w:rPr>
                  </w:pPr>
                  <w:r>
                    <w:rPr>
                      <w:b/>
                      <w:bCs/>
                      <w:color w:val="auto"/>
                    </w:rPr>
                    <w:t>高位发热量</w:t>
                  </w:r>
                </w:p>
              </w:tc>
              <w:tc>
                <w:tcPr>
                  <w:tcW w:w="512" w:type="pct"/>
                  <w:vAlign w:val="center"/>
                </w:tcPr>
                <w:p>
                  <w:pPr>
                    <w:pStyle w:val="68"/>
                    <w:rPr>
                      <w:b/>
                      <w:bCs/>
                      <w:color w:val="auto"/>
                    </w:rPr>
                  </w:pPr>
                  <w:r>
                    <w:rPr>
                      <w:b/>
                      <w:bCs/>
                      <w:color w:val="auto"/>
                    </w:rPr>
                    <w:t>灰分</w:t>
                  </w:r>
                </w:p>
              </w:tc>
              <w:tc>
                <w:tcPr>
                  <w:tcW w:w="717" w:type="pct"/>
                  <w:vAlign w:val="center"/>
                </w:tcPr>
                <w:p>
                  <w:pPr>
                    <w:pStyle w:val="68"/>
                    <w:rPr>
                      <w:b/>
                      <w:bCs/>
                      <w:color w:val="auto"/>
                    </w:rPr>
                  </w:pPr>
                  <w:r>
                    <w:rPr>
                      <w:b/>
                      <w:bCs/>
                      <w:color w:val="auto"/>
                    </w:rPr>
                    <w:t>硫含量</w:t>
                  </w:r>
                </w:p>
              </w:tc>
              <w:tc>
                <w:tcPr>
                  <w:tcW w:w="799" w:type="pct"/>
                  <w:vAlign w:val="center"/>
                </w:tcPr>
                <w:p>
                  <w:pPr>
                    <w:pStyle w:val="68"/>
                    <w:rPr>
                      <w:b/>
                      <w:bCs/>
                      <w:color w:val="auto"/>
                    </w:rPr>
                  </w:pPr>
                  <w:r>
                    <w:rPr>
                      <w:b/>
                      <w:bCs/>
                      <w:color w:val="auto"/>
                    </w:rPr>
                    <w:t>全水分</w:t>
                  </w:r>
                </w:p>
              </w:tc>
              <w:tc>
                <w:tcPr>
                  <w:tcW w:w="871" w:type="pct"/>
                  <w:vAlign w:val="center"/>
                </w:tcPr>
                <w:p>
                  <w:pPr>
                    <w:pStyle w:val="68"/>
                    <w:rPr>
                      <w:b/>
                      <w:bCs/>
                      <w:color w:val="auto"/>
                    </w:rPr>
                  </w:pPr>
                  <w:r>
                    <w:rPr>
                      <w:b/>
                      <w:bCs/>
                      <w:color w:val="auto"/>
                    </w:rPr>
                    <w:t>挥发分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pct"/>
                  <w:vAlign w:val="center"/>
                </w:tcPr>
                <w:p>
                  <w:pPr>
                    <w:pStyle w:val="68"/>
                    <w:rPr>
                      <w:color w:val="auto"/>
                    </w:rPr>
                  </w:pPr>
                  <w:r>
                    <w:rPr>
                      <w:rFonts w:hint="eastAsia"/>
                      <w:color w:val="auto"/>
                    </w:rPr>
                    <w:t>41</w:t>
                  </w:r>
                  <w:r>
                    <w:rPr>
                      <w:rFonts w:hint="eastAsia"/>
                      <w:color w:val="auto"/>
                      <w:lang w:val="en-US" w:eastAsia="zh-CN"/>
                    </w:rPr>
                    <w:t>08</w:t>
                  </w:r>
                  <w:r>
                    <w:rPr>
                      <w:color w:val="auto"/>
                      <w:shd w:val="clear" w:fill="FFFFFF"/>
                    </w:rPr>
                    <w:t>kcal</w:t>
                  </w:r>
                  <w:r>
                    <w:rPr>
                      <w:color w:val="auto"/>
                    </w:rPr>
                    <w:t>/kg</w:t>
                  </w:r>
                </w:p>
              </w:tc>
              <w:tc>
                <w:tcPr>
                  <w:tcW w:w="896" w:type="pct"/>
                  <w:vAlign w:val="center"/>
                </w:tcPr>
                <w:p>
                  <w:pPr>
                    <w:pStyle w:val="68"/>
                    <w:rPr>
                      <w:color w:val="auto"/>
                    </w:rPr>
                  </w:pPr>
                  <w:r>
                    <w:rPr>
                      <w:rFonts w:hint="eastAsia"/>
                      <w:color w:val="auto"/>
                    </w:rPr>
                    <w:t>4584</w:t>
                  </w:r>
                  <w:r>
                    <w:rPr>
                      <w:color w:val="auto"/>
                      <w:shd w:val="clear" w:fill="FFFFFF"/>
                    </w:rPr>
                    <w:t>kcal</w:t>
                  </w:r>
                  <w:r>
                    <w:rPr>
                      <w:color w:val="auto"/>
                    </w:rPr>
                    <w:t>/kg</w:t>
                  </w:r>
                </w:p>
              </w:tc>
              <w:tc>
                <w:tcPr>
                  <w:tcW w:w="512" w:type="pct"/>
                  <w:vAlign w:val="center"/>
                </w:tcPr>
                <w:p>
                  <w:pPr>
                    <w:pStyle w:val="68"/>
                    <w:rPr>
                      <w:color w:val="auto"/>
                    </w:rPr>
                  </w:pPr>
                  <w:r>
                    <w:rPr>
                      <w:rFonts w:hint="eastAsia"/>
                      <w:color w:val="auto"/>
                    </w:rPr>
                    <w:t>2.06</w:t>
                  </w:r>
                  <w:r>
                    <w:rPr>
                      <w:color w:val="auto"/>
                    </w:rPr>
                    <w:t>%</w:t>
                  </w:r>
                </w:p>
              </w:tc>
              <w:tc>
                <w:tcPr>
                  <w:tcW w:w="717" w:type="pct"/>
                  <w:vAlign w:val="center"/>
                </w:tcPr>
                <w:p>
                  <w:pPr>
                    <w:pStyle w:val="68"/>
                    <w:rPr>
                      <w:color w:val="auto"/>
                    </w:rPr>
                  </w:pPr>
                  <w:r>
                    <w:rPr>
                      <w:color w:val="auto"/>
                    </w:rPr>
                    <w:t>0.0</w:t>
                  </w:r>
                  <w:r>
                    <w:rPr>
                      <w:rFonts w:hint="eastAsia"/>
                      <w:color w:val="auto"/>
                    </w:rPr>
                    <w:t>33</w:t>
                  </w:r>
                  <w:r>
                    <w:rPr>
                      <w:color w:val="auto"/>
                    </w:rPr>
                    <w:t>%</w:t>
                  </w:r>
                </w:p>
              </w:tc>
              <w:tc>
                <w:tcPr>
                  <w:tcW w:w="799" w:type="pct"/>
                  <w:vAlign w:val="center"/>
                </w:tcPr>
                <w:p>
                  <w:pPr>
                    <w:pStyle w:val="68"/>
                    <w:rPr>
                      <w:color w:val="auto"/>
                    </w:rPr>
                  </w:pPr>
                  <w:r>
                    <w:rPr>
                      <w:rFonts w:hint="eastAsia"/>
                      <w:color w:val="auto"/>
                    </w:rPr>
                    <w:t>6.81</w:t>
                  </w:r>
                  <w:r>
                    <w:rPr>
                      <w:color w:val="auto"/>
                    </w:rPr>
                    <w:t>%</w:t>
                  </w:r>
                </w:p>
              </w:tc>
              <w:tc>
                <w:tcPr>
                  <w:tcW w:w="871" w:type="pct"/>
                  <w:vAlign w:val="center"/>
                </w:tcPr>
                <w:p>
                  <w:pPr>
                    <w:pStyle w:val="68"/>
                    <w:rPr>
                      <w:color w:val="auto"/>
                    </w:rPr>
                  </w:pPr>
                  <w:r>
                    <w:rPr>
                      <w:color w:val="auto"/>
                    </w:rPr>
                    <w:t>80.</w:t>
                  </w:r>
                  <w:r>
                    <w:rPr>
                      <w:rFonts w:hint="eastAsia"/>
                      <w:color w:val="auto"/>
                    </w:rPr>
                    <w:t>65</w:t>
                  </w:r>
                  <w:r>
                    <w:rPr>
                      <w:color w:val="auto"/>
                    </w:rPr>
                    <w:t>%</w:t>
                  </w:r>
                </w:p>
              </w:tc>
            </w:tr>
          </w:tbl>
          <w:p>
            <w:pPr>
              <w:ind w:firstLine="480"/>
              <w:rPr>
                <w:color w:val="auto"/>
              </w:rPr>
            </w:pPr>
            <w:r>
              <w:rPr>
                <w:color w:val="auto"/>
              </w:rPr>
              <w:t>项目</w:t>
            </w:r>
            <w:r>
              <w:rPr>
                <w:rFonts w:hint="eastAsia"/>
                <w:color w:val="auto"/>
              </w:rPr>
              <w:t>锅炉</w:t>
            </w:r>
            <w:r>
              <w:rPr>
                <w:color w:val="auto"/>
                <w:shd w:val="clear" w:fill="FFFFFF"/>
              </w:rPr>
              <w:t>年</w:t>
            </w:r>
            <w:r>
              <w:rPr>
                <w:color w:val="auto"/>
              </w:rPr>
              <w:t>使用</w:t>
            </w:r>
            <w:r>
              <w:rPr>
                <w:rFonts w:hint="eastAsia"/>
                <w:color w:val="auto"/>
              </w:rPr>
              <w:t>时间为</w:t>
            </w:r>
            <w:r>
              <w:rPr>
                <w:color w:val="auto"/>
              </w:rPr>
              <w:t>2400h</w:t>
            </w:r>
            <w:r>
              <w:rPr>
                <w:rFonts w:hint="eastAsia"/>
                <w:color w:val="auto"/>
              </w:rPr>
              <w:t>，</w:t>
            </w:r>
            <w:r>
              <w:rPr>
                <w:rFonts w:hint="eastAsia"/>
                <w:color w:val="auto"/>
                <w:lang w:val="en-US" w:eastAsia="zh-CN"/>
              </w:rPr>
              <w:t>项目新安装2.2t/h生物质锅炉属于层燃炉，生物质燃料用量约为980t/a，</w:t>
            </w:r>
            <w:r>
              <w:rPr>
                <w:rFonts w:hint="eastAsia"/>
                <w:color w:val="auto"/>
              </w:rPr>
              <w:t>根据《污染源源强核算技术指南锅炉》（H991-2018），采用产污系数法核算废气的，系数参见全国污染源普查工业污染源普查数据（以最新版本为准）和HJ953。</w:t>
            </w:r>
          </w:p>
          <w:p>
            <w:pPr>
              <w:ind w:firstLine="480"/>
              <w:rPr>
                <w:b/>
                <w:bCs/>
                <w:color w:val="auto"/>
              </w:rPr>
            </w:pPr>
            <w:r>
              <w:rPr>
                <w:color w:val="auto"/>
              </w:rPr>
              <w:t>《</w:t>
            </w:r>
            <w:r>
              <w:rPr>
                <w:rFonts w:hint="eastAsia"/>
                <w:color w:val="auto"/>
              </w:rPr>
              <w:t>排放源统计调查</w:t>
            </w:r>
            <w:r>
              <w:rPr>
                <w:rFonts w:hint="eastAsia"/>
                <w:color w:val="auto"/>
                <w:shd w:val="clear" w:fill="FFFFFF"/>
              </w:rPr>
              <w:t>产</w:t>
            </w:r>
            <w:r>
              <w:rPr>
                <w:rFonts w:hint="eastAsia"/>
                <w:color w:val="auto"/>
              </w:rPr>
              <w:t>排污核算方法和系数</w:t>
            </w:r>
            <w:r>
              <w:rPr>
                <w:color w:val="auto"/>
              </w:rPr>
              <w:t>手册》中“4430工业锅炉（热力生产和供应行业）</w:t>
            </w:r>
            <w:r>
              <w:rPr>
                <w:color w:val="auto"/>
                <w:shd w:val="clear" w:fill="FFFFFF"/>
              </w:rPr>
              <w:t>产</w:t>
            </w:r>
            <w:r>
              <w:rPr>
                <w:color w:val="auto"/>
              </w:rPr>
              <w:t>排污系数表</w:t>
            </w:r>
            <w:r>
              <w:rPr>
                <w:rFonts w:hint="eastAsia"/>
                <w:color w:val="auto"/>
                <w:shd w:val="clear" w:fill="FFFFFF"/>
              </w:rPr>
              <w:t>-</w:t>
            </w:r>
            <w:r>
              <w:rPr>
                <w:color w:val="auto"/>
                <w:shd w:val="clear" w:fill="FFFFFF"/>
              </w:rPr>
              <w:t>生</w:t>
            </w:r>
            <w:r>
              <w:rPr>
                <w:color w:val="auto"/>
              </w:rPr>
              <w:t>物质工业锅炉”详见下表</w:t>
            </w:r>
            <w:r>
              <w:rPr>
                <w:rFonts w:hint="eastAsia"/>
                <w:color w:val="auto"/>
                <w:lang w:val="en-US" w:eastAsia="zh-CN"/>
              </w:rPr>
              <w:t>4.2-10所示</w:t>
            </w:r>
            <w:r>
              <w:rPr>
                <w:color w:val="auto"/>
              </w:rPr>
              <w:t>。</w:t>
            </w:r>
          </w:p>
          <w:p>
            <w:pPr>
              <w:pStyle w:val="71"/>
              <w:rPr>
                <w:color w:val="auto"/>
              </w:rPr>
            </w:pPr>
            <w:r>
              <w:rPr>
                <w:color w:val="auto"/>
              </w:rPr>
              <w:t>表4.2-</w:t>
            </w:r>
            <w:r>
              <w:rPr>
                <w:rFonts w:hint="eastAsia"/>
                <w:color w:val="auto"/>
                <w:lang w:val="en-US" w:eastAsia="zh-CN"/>
              </w:rPr>
              <w:t xml:space="preserve">10 </w:t>
            </w:r>
            <w:r>
              <w:rPr>
                <w:color w:val="auto"/>
              </w:rPr>
              <w:t xml:space="preserve"> 生物质工业锅炉产污系数表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966"/>
              <w:gridCol w:w="1308"/>
              <w:gridCol w:w="1457"/>
              <w:gridCol w:w="803"/>
              <w:gridCol w:w="1278"/>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Align w:val="center"/>
                </w:tcPr>
                <w:p>
                  <w:pPr>
                    <w:pStyle w:val="68"/>
                    <w:rPr>
                      <w:b/>
                      <w:bCs/>
                      <w:color w:val="auto"/>
                    </w:rPr>
                  </w:pPr>
                  <w:r>
                    <w:rPr>
                      <w:b/>
                      <w:bCs/>
                      <w:color w:val="auto"/>
                    </w:rPr>
                    <w:t>产物名称</w:t>
                  </w:r>
                </w:p>
              </w:tc>
              <w:tc>
                <w:tcPr>
                  <w:tcW w:w="616" w:type="pct"/>
                  <w:vAlign w:val="center"/>
                </w:tcPr>
                <w:p>
                  <w:pPr>
                    <w:pStyle w:val="68"/>
                    <w:rPr>
                      <w:b/>
                      <w:bCs/>
                      <w:color w:val="auto"/>
                    </w:rPr>
                  </w:pPr>
                  <w:r>
                    <w:rPr>
                      <w:b/>
                      <w:bCs/>
                      <w:color w:val="auto"/>
                    </w:rPr>
                    <w:t>原料名称</w:t>
                  </w:r>
                </w:p>
              </w:tc>
              <w:tc>
                <w:tcPr>
                  <w:tcW w:w="834" w:type="pct"/>
                  <w:vAlign w:val="center"/>
                </w:tcPr>
                <w:p>
                  <w:pPr>
                    <w:pStyle w:val="68"/>
                    <w:rPr>
                      <w:b/>
                      <w:bCs/>
                      <w:color w:val="auto"/>
                    </w:rPr>
                  </w:pPr>
                  <w:r>
                    <w:rPr>
                      <w:b/>
                      <w:bCs/>
                      <w:color w:val="auto"/>
                    </w:rPr>
                    <w:t>污染物指标</w:t>
                  </w:r>
                </w:p>
              </w:tc>
              <w:tc>
                <w:tcPr>
                  <w:tcW w:w="929" w:type="pct"/>
                  <w:vAlign w:val="center"/>
                </w:tcPr>
                <w:p>
                  <w:pPr>
                    <w:pStyle w:val="68"/>
                    <w:rPr>
                      <w:b/>
                      <w:bCs/>
                      <w:color w:val="auto"/>
                    </w:rPr>
                  </w:pPr>
                  <w:r>
                    <w:rPr>
                      <w:b/>
                      <w:bCs/>
                      <w:color w:val="auto"/>
                    </w:rPr>
                    <w:t>单位</w:t>
                  </w:r>
                </w:p>
              </w:tc>
              <w:tc>
                <w:tcPr>
                  <w:tcW w:w="512" w:type="pct"/>
                  <w:vAlign w:val="center"/>
                </w:tcPr>
                <w:p>
                  <w:pPr>
                    <w:pStyle w:val="68"/>
                    <w:rPr>
                      <w:b/>
                      <w:bCs/>
                      <w:color w:val="auto"/>
                    </w:rPr>
                  </w:pPr>
                  <w:r>
                    <w:rPr>
                      <w:b/>
                      <w:bCs/>
                      <w:color w:val="auto"/>
                    </w:rPr>
                    <w:t>产物系数</w:t>
                  </w:r>
                </w:p>
              </w:tc>
              <w:tc>
                <w:tcPr>
                  <w:tcW w:w="815" w:type="pct"/>
                  <w:vAlign w:val="center"/>
                </w:tcPr>
                <w:p>
                  <w:pPr>
                    <w:pStyle w:val="68"/>
                    <w:rPr>
                      <w:b/>
                      <w:bCs/>
                      <w:color w:val="auto"/>
                    </w:rPr>
                  </w:pPr>
                  <w:r>
                    <w:rPr>
                      <w:b/>
                      <w:bCs/>
                      <w:color w:val="auto"/>
                    </w:rPr>
                    <w:t>末端治理技术名称</w:t>
                  </w:r>
                </w:p>
              </w:tc>
              <w:tc>
                <w:tcPr>
                  <w:tcW w:w="797" w:type="pct"/>
                  <w:vAlign w:val="center"/>
                </w:tcPr>
                <w:p>
                  <w:pPr>
                    <w:pStyle w:val="68"/>
                    <w:rPr>
                      <w:b/>
                      <w:bCs/>
                      <w:color w:val="auto"/>
                    </w:rPr>
                  </w:pPr>
                  <w:r>
                    <w:rPr>
                      <w:rFonts w:hint="eastAsia"/>
                      <w:b/>
                      <w:bCs/>
                      <w:color w:val="auto"/>
                      <w:lang w:eastAsia="zh-CN"/>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restart"/>
                  <w:vAlign w:val="center"/>
                </w:tcPr>
                <w:p>
                  <w:pPr>
                    <w:pStyle w:val="68"/>
                    <w:rPr>
                      <w:color w:val="auto"/>
                    </w:rPr>
                  </w:pPr>
                  <w:r>
                    <w:rPr>
                      <w:color w:val="auto"/>
                    </w:rPr>
                    <w:t>蒸汽/热水/其他</w:t>
                  </w:r>
                </w:p>
              </w:tc>
              <w:tc>
                <w:tcPr>
                  <w:tcW w:w="616" w:type="pct"/>
                  <w:vMerge w:val="restart"/>
                  <w:vAlign w:val="center"/>
                </w:tcPr>
                <w:p>
                  <w:pPr>
                    <w:pStyle w:val="68"/>
                    <w:rPr>
                      <w:rFonts w:hint="default" w:eastAsia="宋体"/>
                      <w:color w:val="auto"/>
                      <w:lang w:val="en-US" w:eastAsia="zh-CN"/>
                    </w:rPr>
                  </w:pPr>
                  <w:r>
                    <w:rPr>
                      <w:rFonts w:hint="eastAsia"/>
                      <w:color w:val="auto"/>
                      <w:lang w:val="en-US" w:eastAsia="zh-CN"/>
                    </w:rPr>
                    <w:t>生物质燃料</w:t>
                  </w:r>
                </w:p>
              </w:tc>
              <w:tc>
                <w:tcPr>
                  <w:tcW w:w="834" w:type="pct"/>
                  <w:vAlign w:val="center"/>
                </w:tcPr>
                <w:p>
                  <w:pPr>
                    <w:pStyle w:val="68"/>
                    <w:rPr>
                      <w:color w:val="auto"/>
                    </w:rPr>
                  </w:pPr>
                  <w:r>
                    <w:rPr>
                      <w:color w:val="auto"/>
                    </w:rPr>
                    <w:t>工业废气量</w:t>
                  </w:r>
                </w:p>
              </w:tc>
              <w:tc>
                <w:tcPr>
                  <w:tcW w:w="929" w:type="pct"/>
                  <w:vAlign w:val="center"/>
                </w:tcPr>
                <w:p>
                  <w:pPr>
                    <w:pStyle w:val="68"/>
                    <w:rPr>
                      <w:color w:val="auto"/>
                    </w:rPr>
                  </w:pPr>
                  <w:r>
                    <w:rPr>
                      <w:color w:val="auto"/>
                    </w:rPr>
                    <w:t>标立方米/吨</w:t>
                  </w:r>
                  <w:r>
                    <w:rPr>
                      <w:rFonts w:hint="eastAsia"/>
                      <w:color w:val="auto"/>
                      <w:lang w:eastAsia="zh-CN"/>
                    </w:rPr>
                    <w:t>－</w:t>
                  </w:r>
                  <w:r>
                    <w:rPr>
                      <w:color w:val="auto"/>
                    </w:rPr>
                    <w:t>原料</w:t>
                  </w:r>
                </w:p>
              </w:tc>
              <w:tc>
                <w:tcPr>
                  <w:tcW w:w="512" w:type="pct"/>
                  <w:vAlign w:val="center"/>
                </w:tcPr>
                <w:p>
                  <w:pPr>
                    <w:pStyle w:val="68"/>
                    <w:rPr>
                      <w:color w:val="auto"/>
                    </w:rPr>
                  </w:pPr>
                  <w:r>
                    <w:rPr>
                      <w:color w:val="auto"/>
                    </w:rPr>
                    <w:t>6240</w:t>
                  </w:r>
                </w:p>
              </w:tc>
              <w:tc>
                <w:tcPr>
                  <w:tcW w:w="815" w:type="pct"/>
                  <w:vAlign w:val="center"/>
                </w:tcPr>
                <w:p>
                  <w:pPr>
                    <w:pStyle w:val="68"/>
                    <w:rPr>
                      <w:color w:val="auto"/>
                      <w:lang w:eastAsia="zh-CN"/>
                    </w:rPr>
                  </w:pPr>
                  <w:r>
                    <w:rPr>
                      <w:rFonts w:hint="eastAsia"/>
                      <w:color w:val="auto"/>
                      <w:lang w:eastAsia="zh-CN"/>
                    </w:rPr>
                    <w:t>/</w:t>
                  </w:r>
                </w:p>
              </w:tc>
              <w:tc>
                <w:tcPr>
                  <w:tcW w:w="797" w:type="pct"/>
                  <w:vAlign w:val="center"/>
                </w:tcPr>
                <w:p>
                  <w:pPr>
                    <w:pStyle w:val="68"/>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pPr>
                    <w:pStyle w:val="68"/>
                    <w:rPr>
                      <w:color w:val="auto"/>
                    </w:rPr>
                  </w:pPr>
                </w:p>
              </w:tc>
              <w:tc>
                <w:tcPr>
                  <w:tcW w:w="616" w:type="pct"/>
                  <w:vMerge w:val="continue"/>
                  <w:vAlign w:val="center"/>
                </w:tcPr>
                <w:p>
                  <w:pPr>
                    <w:pStyle w:val="68"/>
                    <w:rPr>
                      <w:color w:val="auto"/>
                    </w:rPr>
                  </w:pPr>
                </w:p>
              </w:tc>
              <w:tc>
                <w:tcPr>
                  <w:tcW w:w="834" w:type="pct"/>
                  <w:vAlign w:val="center"/>
                </w:tcPr>
                <w:p>
                  <w:pPr>
                    <w:pStyle w:val="68"/>
                    <w:rPr>
                      <w:color w:val="auto"/>
                    </w:rPr>
                  </w:pPr>
                  <w:r>
                    <w:rPr>
                      <w:color w:val="auto"/>
                    </w:rPr>
                    <w:t>二氧化硫</w:t>
                  </w:r>
                </w:p>
              </w:tc>
              <w:tc>
                <w:tcPr>
                  <w:tcW w:w="929" w:type="pct"/>
                  <w:vAlign w:val="center"/>
                </w:tcPr>
                <w:p>
                  <w:pPr>
                    <w:pStyle w:val="68"/>
                    <w:rPr>
                      <w:color w:val="auto"/>
                    </w:rPr>
                  </w:pPr>
                  <w:r>
                    <w:rPr>
                      <w:color w:val="auto"/>
                    </w:rPr>
                    <w:t>千克/吨</w:t>
                  </w:r>
                  <w:r>
                    <w:rPr>
                      <w:rFonts w:hint="eastAsia"/>
                      <w:color w:val="auto"/>
                      <w:lang w:eastAsia="zh-CN"/>
                    </w:rPr>
                    <w:t>－</w:t>
                  </w:r>
                  <w:r>
                    <w:rPr>
                      <w:color w:val="auto"/>
                    </w:rPr>
                    <w:t>原料</w:t>
                  </w:r>
                </w:p>
              </w:tc>
              <w:tc>
                <w:tcPr>
                  <w:tcW w:w="512" w:type="pct"/>
                  <w:vAlign w:val="center"/>
                </w:tcPr>
                <w:p>
                  <w:pPr>
                    <w:pStyle w:val="68"/>
                    <w:rPr>
                      <w:color w:val="auto"/>
                    </w:rPr>
                  </w:pPr>
                  <w:r>
                    <w:rPr>
                      <w:color w:val="auto"/>
                    </w:rPr>
                    <w:t>17S</w:t>
                  </w:r>
                  <w:r>
                    <w:rPr>
                      <w:color w:val="auto"/>
                      <w:vertAlign w:val="superscript"/>
                    </w:rPr>
                    <w:fldChar w:fldCharType="begin"/>
                  </w:r>
                  <w:r>
                    <w:rPr>
                      <w:color w:val="auto"/>
                      <w:vertAlign w:val="superscript"/>
                    </w:rPr>
                    <w:instrText xml:space="preserve"> = 1 \* GB3 \* MERGEFORMAT </w:instrText>
                  </w:r>
                  <w:r>
                    <w:rPr>
                      <w:color w:val="auto"/>
                      <w:vertAlign w:val="superscript"/>
                    </w:rPr>
                    <w:fldChar w:fldCharType="separate"/>
                  </w:r>
                  <w:r>
                    <w:rPr>
                      <w:rFonts w:hint="eastAsia" w:ascii="宋体" w:hAnsi="宋体" w:cs="宋体"/>
                      <w:color w:val="auto"/>
                      <w:vertAlign w:val="superscript"/>
                    </w:rPr>
                    <w:t>①</w:t>
                  </w:r>
                  <w:r>
                    <w:rPr>
                      <w:color w:val="auto"/>
                    </w:rPr>
                    <w:fldChar w:fldCharType="end"/>
                  </w:r>
                </w:p>
              </w:tc>
              <w:tc>
                <w:tcPr>
                  <w:tcW w:w="815" w:type="pct"/>
                  <w:vAlign w:val="center"/>
                </w:tcPr>
                <w:p>
                  <w:pPr>
                    <w:pStyle w:val="68"/>
                    <w:rPr>
                      <w:color w:val="auto"/>
                    </w:rPr>
                  </w:pPr>
                  <w:r>
                    <w:rPr>
                      <w:color w:val="auto"/>
                    </w:rPr>
                    <w:t>直排</w:t>
                  </w:r>
                </w:p>
              </w:tc>
              <w:tc>
                <w:tcPr>
                  <w:tcW w:w="797" w:type="pct"/>
                  <w:vAlign w:val="center"/>
                </w:tcPr>
                <w:p>
                  <w:pPr>
                    <w:pStyle w:val="68"/>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pPr>
                    <w:pStyle w:val="68"/>
                    <w:rPr>
                      <w:color w:val="auto"/>
                    </w:rPr>
                  </w:pPr>
                </w:p>
              </w:tc>
              <w:tc>
                <w:tcPr>
                  <w:tcW w:w="616" w:type="pct"/>
                  <w:vMerge w:val="continue"/>
                  <w:vAlign w:val="center"/>
                </w:tcPr>
                <w:p>
                  <w:pPr>
                    <w:pStyle w:val="68"/>
                    <w:rPr>
                      <w:color w:val="auto"/>
                    </w:rPr>
                  </w:pPr>
                </w:p>
              </w:tc>
              <w:tc>
                <w:tcPr>
                  <w:tcW w:w="834" w:type="pct"/>
                  <w:vAlign w:val="center"/>
                </w:tcPr>
                <w:p>
                  <w:pPr>
                    <w:pStyle w:val="68"/>
                    <w:rPr>
                      <w:color w:val="auto"/>
                    </w:rPr>
                  </w:pPr>
                  <w:r>
                    <w:rPr>
                      <w:color w:val="auto"/>
                    </w:rPr>
                    <w:t>氮氧化物</w:t>
                  </w:r>
                </w:p>
              </w:tc>
              <w:tc>
                <w:tcPr>
                  <w:tcW w:w="929" w:type="pct"/>
                  <w:vAlign w:val="center"/>
                </w:tcPr>
                <w:p>
                  <w:pPr>
                    <w:pStyle w:val="68"/>
                    <w:rPr>
                      <w:color w:val="auto"/>
                    </w:rPr>
                  </w:pPr>
                  <w:r>
                    <w:rPr>
                      <w:color w:val="auto"/>
                    </w:rPr>
                    <w:t>千克/吨</w:t>
                  </w:r>
                  <w:r>
                    <w:rPr>
                      <w:rFonts w:hint="eastAsia"/>
                      <w:color w:val="auto"/>
                      <w:lang w:eastAsia="zh-CN"/>
                    </w:rPr>
                    <w:t>－</w:t>
                  </w:r>
                  <w:r>
                    <w:rPr>
                      <w:color w:val="auto"/>
                    </w:rPr>
                    <w:t>原料</w:t>
                  </w:r>
                </w:p>
              </w:tc>
              <w:tc>
                <w:tcPr>
                  <w:tcW w:w="512" w:type="pct"/>
                  <w:vAlign w:val="center"/>
                </w:tcPr>
                <w:p>
                  <w:pPr>
                    <w:pStyle w:val="68"/>
                    <w:rPr>
                      <w:color w:val="auto"/>
                    </w:rPr>
                  </w:pPr>
                  <w:r>
                    <w:rPr>
                      <w:color w:val="auto"/>
                    </w:rPr>
                    <w:t>1.02</w:t>
                  </w:r>
                </w:p>
              </w:tc>
              <w:tc>
                <w:tcPr>
                  <w:tcW w:w="815" w:type="pct"/>
                  <w:vAlign w:val="center"/>
                </w:tcPr>
                <w:p>
                  <w:pPr>
                    <w:pStyle w:val="68"/>
                    <w:rPr>
                      <w:color w:val="auto"/>
                    </w:rPr>
                  </w:pPr>
                  <w:r>
                    <w:rPr>
                      <w:rFonts w:hint="eastAsia"/>
                      <w:color w:val="auto"/>
                      <w:lang w:eastAsia="zh-CN"/>
                    </w:rPr>
                    <w:t>低氮燃烧</w:t>
                  </w:r>
                </w:p>
              </w:tc>
              <w:tc>
                <w:tcPr>
                  <w:tcW w:w="797" w:type="pct"/>
                  <w:vAlign w:val="center"/>
                </w:tcPr>
                <w:p>
                  <w:pPr>
                    <w:pStyle w:val="68"/>
                    <w:rPr>
                      <w:rFonts w:hint="eastAsia" w:eastAsia="宋体"/>
                      <w:color w:val="auto"/>
                      <w:lang w:val="en-US" w:eastAsia="zh-CN"/>
                    </w:rPr>
                  </w:pPr>
                  <w:r>
                    <w:rPr>
                      <w:color w:val="auto"/>
                    </w:rPr>
                    <w:t>30</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vMerge w:val="continue"/>
                  <w:vAlign w:val="center"/>
                </w:tcPr>
                <w:p>
                  <w:pPr>
                    <w:pStyle w:val="68"/>
                    <w:rPr>
                      <w:color w:val="auto"/>
                    </w:rPr>
                  </w:pPr>
                </w:p>
              </w:tc>
              <w:tc>
                <w:tcPr>
                  <w:tcW w:w="616" w:type="pct"/>
                  <w:vMerge w:val="continue"/>
                  <w:vAlign w:val="center"/>
                </w:tcPr>
                <w:p>
                  <w:pPr>
                    <w:pStyle w:val="68"/>
                    <w:rPr>
                      <w:color w:val="auto"/>
                    </w:rPr>
                  </w:pPr>
                </w:p>
              </w:tc>
              <w:tc>
                <w:tcPr>
                  <w:tcW w:w="834" w:type="pct"/>
                  <w:vAlign w:val="center"/>
                </w:tcPr>
                <w:p>
                  <w:pPr>
                    <w:pStyle w:val="68"/>
                    <w:rPr>
                      <w:color w:val="auto"/>
                    </w:rPr>
                  </w:pPr>
                  <w:r>
                    <w:rPr>
                      <w:color w:val="auto"/>
                    </w:rPr>
                    <w:t>烟尘（成型燃料）</w:t>
                  </w:r>
                </w:p>
              </w:tc>
              <w:tc>
                <w:tcPr>
                  <w:tcW w:w="929" w:type="pct"/>
                  <w:vAlign w:val="center"/>
                </w:tcPr>
                <w:p>
                  <w:pPr>
                    <w:pStyle w:val="68"/>
                    <w:rPr>
                      <w:color w:val="auto"/>
                    </w:rPr>
                  </w:pPr>
                  <w:r>
                    <w:rPr>
                      <w:color w:val="auto"/>
                    </w:rPr>
                    <w:t>千克/吨</w:t>
                  </w:r>
                  <w:r>
                    <w:rPr>
                      <w:rFonts w:hint="eastAsia"/>
                      <w:color w:val="auto"/>
                      <w:lang w:eastAsia="zh-CN"/>
                    </w:rPr>
                    <w:t>－</w:t>
                  </w:r>
                  <w:r>
                    <w:rPr>
                      <w:color w:val="auto"/>
                    </w:rPr>
                    <w:t>原料</w:t>
                  </w:r>
                </w:p>
              </w:tc>
              <w:tc>
                <w:tcPr>
                  <w:tcW w:w="512" w:type="pct"/>
                  <w:vAlign w:val="center"/>
                </w:tcPr>
                <w:p>
                  <w:pPr>
                    <w:pStyle w:val="68"/>
                    <w:rPr>
                      <w:color w:val="auto"/>
                    </w:rPr>
                  </w:pPr>
                  <w:r>
                    <w:rPr>
                      <w:color w:val="auto"/>
                    </w:rPr>
                    <w:t>0.5</w:t>
                  </w:r>
                </w:p>
              </w:tc>
              <w:tc>
                <w:tcPr>
                  <w:tcW w:w="815" w:type="pct"/>
                  <w:vAlign w:val="center"/>
                </w:tcPr>
                <w:p>
                  <w:pPr>
                    <w:pStyle w:val="68"/>
                    <w:rPr>
                      <w:rFonts w:hint="default"/>
                      <w:color w:val="auto"/>
                      <w:lang w:val="en-US" w:eastAsia="zh-CN"/>
                    </w:rPr>
                  </w:pPr>
                  <w:r>
                    <w:rPr>
                      <w:rFonts w:hint="eastAsia"/>
                      <w:color w:val="auto"/>
                      <w:lang w:val="en-US" w:eastAsia="zh-CN"/>
                    </w:rPr>
                    <w:t>布袋除尘器</w:t>
                  </w:r>
                </w:p>
              </w:tc>
              <w:tc>
                <w:tcPr>
                  <w:tcW w:w="797" w:type="pct"/>
                  <w:vAlign w:val="center"/>
                </w:tcPr>
                <w:p>
                  <w:pPr>
                    <w:pStyle w:val="68"/>
                    <w:rPr>
                      <w:color w:val="auto"/>
                    </w:rPr>
                  </w:pPr>
                  <w:r>
                    <w:rPr>
                      <w:rFonts w:hint="eastAsia"/>
                      <w:color w:val="auto"/>
                      <w:lang w:val="en-US" w:eastAsia="zh-CN"/>
                    </w:rPr>
                    <w:t>99.7</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pStyle w:val="68"/>
                    <w:jc w:val="both"/>
                    <w:rPr>
                      <w:color w:val="auto"/>
                    </w:rPr>
                  </w:pPr>
                  <w:r>
                    <w:rPr>
                      <w:b/>
                      <w:color w:val="auto"/>
                    </w:rPr>
                    <w:t>注：</w:t>
                  </w:r>
                  <w:r>
                    <w:rPr>
                      <w:b/>
                      <w:color w:val="auto"/>
                    </w:rPr>
                    <w:fldChar w:fldCharType="begin"/>
                  </w:r>
                  <w:r>
                    <w:rPr>
                      <w:b/>
                      <w:color w:val="auto"/>
                    </w:rPr>
                    <w:instrText xml:space="preserve"> = 1 \* GB3 </w:instrText>
                  </w:r>
                  <w:r>
                    <w:rPr>
                      <w:b/>
                      <w:color w:val="auto"/>
                    </w:rPr>
                    <w:fldChar w:fldCharType="separate"/>
                  </w:r>
                  <w:r>
                    <w:rPr>
                      <w:rFonts w:hint="eastAsia" w:ascii="宋体" w:hAnsi="宋体" w:cs="宋体"/>
                      <w:b/>
                      <w:color w:val="auto"/>
                    </w:rPr>
                    <w:t>①</w:t>
                  </w:r>
                  <w:r>
                    <w:rPr>
                      <w:color w:val="auto"/>
                    </w:rPr>
                    <w:fldChar w:fldCharType="end"/>
                  </w:r>
                  <w:r>
                    <w:rPr>
                      <w:b/>
                      <w:color w:val="auto"/>
                    </w:rPr>
                    <w:t>二氧化硫的产排污系数是以含硫量（S％）的形式表示的，其中含硫量（S％）是指生物质收到基硫分含量，以质量百分数的形式表示。例如生物质中含硫量（S％）为0.1％，则S=0.1。根据本项目使用生物质燃料成分表，本项目S取0.0</w:t>
                  </w:r>
                  <w:r>
                    <w:rPr>
                      <w:rFonts w:hint="eastAsia"/>
                      <w:b/>
                      <w:color w:val="auto"/>
                    </w:rPr>
                    <w:t>33</w:t>
                  </w:r>
                  <w:r>
                    <w:rPr>
                      <w:b/>
                      <w:color w:val="auto"/>
                    </w:rPr>
                    <w:t>。</w:t>
                  </w:r>
                </w:p>
              </w:tc>
            </w:tr>
          </w:tbl>
          <w:p>
            <w:pPr>
              <w:ind w:firstLine="480"/>
              <w:rPr>
                <w:color w:val="auto"/>
              </w:rPr>
            </w:pPr>
            <w:r>
              <w:rPr>
                <w:color w:val="auto"/>
              </w:rPr>
              <w:t>根据产物系数表，本项目</w:t>
            </w:r>
            <w:r>
              <w:rPr>
                <w:rFonts w:hint="eastAsia"/>
                <w:color w:val="auto"/>
              </w:rPr>
              <w:t>锅炉</w:t>
            </w:r>
            <w:r>
              <w:rPr>
                <w:color w:val="auto"/>
              </w:rPr>
              <w:t>燃烧废气</w:t>
            </w:r>
            <w:r>
              <w:rPr>
                <w:color w:val="auto"/>
                <w:shd w:val="clear" w:fill="FFFFFF"/>
              </w:rPr>
              <w:t>产排</w:t>
            </w:r>
            <w:r>
              <w:rPr>
                <w:color w:val="auto"/>
              </w:rPr>
              <w:t>情况见表4.2-</w:t>
            </w:r>
            <w:r>
              <w:rPr>
                <w:rFonts w:hint="eastAsia"/>
                <w:color w:val="auto"/>
                <w:lang w:val="en-US" w:eastAsia="zh-CN"/>
              </w:rPr>
              <w:t>11所示</w:t>
            </w:r>
            <w:r>
              <w:rPr>
                <w:color w:val="auto"/>
              </w:rPr>
              <w:t>。</w:t>
            </w:r>
          </w:p>
          <w:p>
            <w:pPr>
              <w:pStyle w:val="71"/>
              <w:rPr>
                <w:color w:val="auto"/>
              </w:rPr>
            </w:pPr>
            <w:r>
              <w:rPr>
                <w:color w:val="auto"/>
              </w:rPr>
              <w:t>表4.2-</w:t>
            </w:r>
            <w:r>
              <w:rPr>
                <w:rFonts w:hint="eastAsia"/>
                <w:color w:val="auto"/>
                <w:lang w:val="en-US" w:eastAsia="zh-CN"/>
              </w:rPr>
              <w:t>11</w:t>
            </w:r>
            <w:r>
              <w:rPr>
                <w:color w:val="auto"/>
              </w:rPr>
              <w:t xml:space="preserve"> 本项目</w:t>
            </w:r>
            <w:r>
              <w:rPr>
                <w:rFonts w:hint="eastAsia"/>
                <w:color w:val="auto"/>
              </w:rPr>
              <w:t>锅炉燃烧废气</w:t>
            </w:r>
            <w:r>
              <w:rPr>
                <w:color w:val="auto"/>
              </w:rPr>
              <w:t>污染物产</w:t>
            </w:r>
            <w:r>
              <w:rPr>
                <w:color w:val="auto"/>
                <w:shd w:val="clear" w:fill="FFFFFF"/>
              </w:rPr>
              <w:t>排</w:t>
            </w:r>
            <w:r>
              <w:rPr>
                <w:color w:val="auto"/>
              </w:rPr>
              <w:t>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817"/>
              <w:gridCol w:w="1001"/>
              <w:gridCol w:w="1043"/>
              <w:gridCol w:w="1040"/>
              <w:gridCol w:w="916"/>
              <w:gridCol w:w="1043"/>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8" w:type="pct"/>
                  <w:vAlign w:val="center"/>
                </w:tcPr>
                <w:p>
                  <w:pPr>
                    <w:pStyle w:val="68"/>
                    <w:rPr>
                      <w:b/>
                      <w:bCs/>
                      <w:color w:val="auto"/>
                    </w:rPr>
                  </w:pPr>
                  <w:r>
                    <w:rPr>
                      <w:b/>
                      <w:bCs/>
                      <w:color w:val="auto"/>
                    </w:rPr>
                    <w:t>污染物</w:t>
                  </w:r>
                </w:p>
              </w:tc>
              <w:tc>
                <w:tcPr>
                  <w:tcW w:w="521" w:type="pct"/>
                  <w:vAlign w:val="center"/>
                </w:tcPr>
                <w:p>
                  <w:pPr>
                    <w:pStyle w:val="68"/>
                    <w:rPr>
                      <w:b/>
                      <w:bCs/>
                      <w:color w:val="auto"/>
                    </w:rPr>
                  </w:pPr>
                  <w:r>
                    <w:rPr>
                      <w:b/>
                      <w:bCs/>
                      <w:color w:val="auto"/>
                    </w:rPr>
                    <w:t>产生量</w:t>
                  </w:r>
                </w:p>
                <w:p>
                  <w:pPr>
                    <w:pStyle w:val="68"/>
                    <w:rPr>
                      <w:b/>
                      <w:bCs/>
                      <w:color w:val="auto"/>
                    </w:rPr>
                  </w:pPr>
                  <w:r>
                    <w:rPr>
                      <w:rFonts w:hint="eastAsia"/>
                      <w:b/>
                      <w:bCs/>
                      <w:color w:val="auto"/>
                      <w:lang w:eastAsia="zh-CN"/>
                    </w:rPr>
                    <w:t>(</w:t>
                  </w:r>
                  <w:r>
                    <w:rPr>
                      <w:b/>
                      <w:bCs/>
                      <w:color w:val="auto"/>
                    </w:rPr>
                    <w:t>t/a</w:t>
                  </w:r>
                  <w:r>
                    <w:rPr>
                      <w:rFonts w:hint="eastAsia"/>
                      <w:b/>
                      <w:bCs/>
                      <w:color w:val="auto"/>
                      <w:lang w:eastAsia="zh-CN"/>
                    </w:rPr>
                    <w:t>)</w:t>
                  </w:r>
                </w:p>
              </w:tc>
              <w:tc>
                <w:tcPr>
                  <w:tcW w:w="638" w:type="pct"/>
                  <w:vAlign w:val="center"/>
                </w:tcPr>
                <w:p>
                  <w:pPr>
                    <w:pStyle w:val="68"/>
                    <w:rPr>
                      <w:b/>
                      <w:bCs/>
                      <w:color w:val="auto"/>
                    </w:rPr>
                  </w:pPr>
                  <w:r>
                    <w:rPr>
                      <w:rFonts w:hint="eastAsia"/>
                      <w:b/>
                      <w:bCs/>
                      <w:color w:val="auto"/>
                      <w:lang w:eastAsia="zh-CN"/>
                    </w:rPr>
                    <w:t>产生</w:t>
                  </w:r>
                  <w:r>
                    <w:rPr>
                      <w:b/>
                      <w:bCs/>
                      <w:color w:val="auto"/>
                    </w:rPr>
                    <w:t>速率（kg/h）</w:t>
                  </w:r>
                </w:p>
              </w:tc>
              <w:tc>
                <w:tcPr>
                  <w:tcW w:w="665" w:type="pct"/>
                  <w:vAlign w:val="center"/>
                </w:tcPr>
                <w:p>
                  <w:pPr>
                    <w:pStyle w:val="68"/>
                    <w:rPr>
                      <w:b/>
                      <w:bCs/>
                      <w:color w:val="auto"/>
                    </w:rPr>
                  </w:pPr>
                  <w:r>
                    <w:rPr>
                      <w:rFonts w:hint="eastAsia"/>
                      <w:b/>
                      <w:bCs/>
                      <w:color w:val="auto"/>
                      <w:lang w:eastAsia="zh-CN"/>
                    </w:rPr>
                    <w:t>产生</w:t>
                  </w:r>
                  <w:r>
                    <w:rPr>
                      <w:b/>
                      <w:bCs/>
                      <w:color w:val="auto"/>
                    </w:rPr>
                    <w:t>浓度（mg/m</w:t>
                  </w:r>
                  <w:r>
                    <w:rPr>
                      <w:b/>
                      <w:bCs/>
                      <w:color w:val="auto"/>
                      <w:vertAlign w:val="superscript"/>
                    </w:rPr>
                    <w:t>3</w:t>
                  </w:r>
                  <w:r>
                    <w:rPr>
                      <w:b/>
                      <w:bCs/>
                      <w:color w:val="auto"/>
                    </w:rPr>
                    <w:t>）</w:t>
                  </w:r>
                </w:p>
              </w:tc>
              <w:tc>
                <w:tcPr>
                  <w:tcW w:w="663" w:type="pct"/>
                  <w:vAlign w:val="center"/>
                </w:tcPr>
                <w:p>
                  <w:pPr>
                    <w:pStyle w:val="68"/>
                    <w:rPr>
                      <w:b/>
                      <w:bCs/>
                      <w:color w:val="auto"/>
                    </w:rPr>
                  </w:pPr>
                  <w:r>
                    <w:rPr>
                      <w:b/>
                      <w:bCs/>
                      <w:color w:val="auto"/>
                    </w:rPr>
                    <w:t>治理措施</w:t>
                  </w:r>
                </w:p>
              </w:tc>
              <w:tc>
                <w:tcPr>
                  <w:tcW w:w="584" w:type="pct"/>
                  <w:vAlign w:val="center"/>
                </w:tcPr>
                <w:p>
                  <w:pPr>
                    <w:pStyle w:val="68"/>
                    <w:rPr>
                      <w:b/>
                      <w:bCs/>
                      <w:color w:val="auto"/>
                    </w:rPr>
                  </w:pPr>
                  <w:r>
                    <w:rPr>
                      <w:b/>
                      <w:bCs/>
                      <w:color w:val="auto"/>
                    </w:rPr>
                    <w:t>排放量</w:t>
                  </w:r>
                </w:p>
                <w:p>
                  <w:pPr>
                    <w:pStyle w:val="68"/>
                    <w:rPr>
                      <w:b/>
                      <w:bCs/>
                      <w:color w:val="auto"/>
                    </w:rPr>
                  </w:pPr>
                  <w:r>
                    <w:rPr>
                      <w:rFonts w:hint="eastAsia"/>
                      <w:b/>
                      <w:bCs/>
                      <w:color w:val="auto"/>
                      <w:lang w:eastAsia="zh-CN"/>
                    </w:rPr>
                    <w:t>(</w:t>
                  </w:r>
                  <w:r>
                    <w:rPr>
                      <w:b/>
                      <w:bCs/>
                      <w:color w:val="auto"/>
                    </w:rPr>
                    <w:t>t/a</w:t>
                  </w:r>
                  <w:r>
                    <w:rPr>
                      <w:rFonts w:hint="eastAsia"/>
                      <w:b/>
                      <w:bCs/>
                      <w:color w:val="auto"/>
                      <w:lang w:eastAsia="zh-CN"/>
                    </w:rPr>
                    <w:t>)</w:t>
                  </w:r>
                </w:p>
              </w:tc>
              <w:tc>
                <w:tcPr>
                  <w:tcW w:w="665" w:type="pct"/>
                  <w:vAlign w:val="center"/>
                </w:tcPr>
                <w:p>
                  <w:pPr>
                    <w:pStyle w:val="68"/>
                    <w:rPr>
                      <w:b/>
                      <w:bCs/>
                      <w:color w:val="auto"/>
                    </w:rPr>
                  </w:pPr>
                  <w:r>
                    <w:rPr>
                      <w:b/>
                      <w:bCs/>
                      <w:color w:val="auto"/>
                    </w:rPr>
                    <w:t>排放速率</w:t>
                  </w:r>
                </w:p>
                <w:p>
                  <w:pPr>
                    <w:pStyle w:val="68"/>
                    <w:rPr>
                      <w:b/>
                      <w:bCs/>
                      <w:color w:val="auto"/>
                    </w:rPr>
                  </w:pPr>
                  <w:r>
                    <w:rPr>
                      <w:rFonts w:hint="eastAsia"/>
                      <w:b/>
                      <w:bCs/>
                      <w:color w:val="auto"/>
                      <w:lang w:eastAsia="zh-CN"/>
                    </w:rPr>
                    <w:t>(</w:t>
                  </w:r>
                  <w:r>
                    <w:rPr>
                      <w:b/>
                      <w:bCs/>
                      <w:color w:val="auto"/>
                    </w:rPr>
                    <w:t>kg/h</w:t>
                  </w:r>
                  <w:r>
                    <w:rPr>
                      <w:rFonts w:hint="eastAsia"/>
                      <w:b/>
                      <w:bCs/>
                      <w:color w:val="auto"/>
                      <w:lang w:eastAsia="zh-CN"/>
                    </w:rPr>
                    <w:t>)</w:t>
                  </w:r>
                </w:p>
              </w:tc>
              <w:tc>
                <w:tcPr>
                  <w:tcW w:w="703" w:type="pct"/>
                  <w:vAlign w:val="center"/>
                </w:tcPr>
                <w:p>
                  <w:pPr>
                    <w:pStyle w:val="68"/>
                    <w:rPr>
                      <w:b/>
                      <w:bCs/>
                      <w:color w:val="auto"/>
                    </w:rPr>
                  </w:pPr>
                  <w:r>
                    <w:rPr>
                      <w:b/>
                      <w:bCs/>
                      <w:color w:val="auto"/>
                    </w:rPr>
                    <w:t>排放浓度</w:t>
                  </w:r>
                </w:p>
                <w:p>
                  <w:pPr>
                    <w:pStyle w:val="68"/>
                    <w:rPr>
                      <w:b/>
                      <w:bCs/>
                      <w:color w:val="auto"/>
                    </w:rPr>
                  </w:pPr>
                  <w:r>
                    <w:rPr>
                      <w:rFonts w:hint="eastAsia"/>
                      <w:b/>
                      <w:bCs/>
                      <w:color w:val="auto"/>
                      <w:lang w:eastAsia="zh-CN"/>
                    </w:rPr>
                    <w:t>(</w:t>
                  </w:r>
                  <w:r>
                    <w:rPr>
                      <w:b/>
                      <w:bCs/>
                      <w:color w:val="auto"/>
                    </w:rPr>
                    <w:t>mg/m</w:t>
                  </w:r>
                  <w:r>
                    <w:rPr>
                      <w:b/>
                      <w:bCs/>
                      <w:color w:val="auto"/>
                      <w:vertAlign w:val="superscript"/>
                    </w:rPr>
                    <w:t>3</w:t>
                  </w:r>
                  <w:r>
                    <w:rPr>
                      <w:rFonts w:hint="eastAsia"/>
                      <w:b/>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58" w:type="pct"/>
                  <w:vAlign w:val="center"/>
                </w:tcPr>
                <w:p>
                  <w:pPr>
                    <w:pStyle w:val="68"/>
                    <w:rPr>
                      <w:color w:val="auto"/>
                    </w:rPr>
                  </w:pPr>
                  <w:r>
                    <w:rPr>
                      <w:color w:val="auto"/>
                    </w:rPr>
                    <w:t>烟尘</w:t>
                  </w:r>
                </w:p>
              </w:tc>
              <w:tc>
                <w:tcPr>
                  <w:tcW w:w="521" w:type="pct"/>
                  <w:vAlign w:val="center"/>
                </w:tcPr>
                <w:p>
                  <w:pPr>
                    <w:pStyle w:val="68"/>
                    <w:rPr>
                      <w:rFonts w:hint="default"/>
                      <w:color w:val="auto"/>
                      <w:lang w:val="en-US" w:eastAsia="zh-CN"/>
                    </w:rPr>
                  </w:pPr>
                  <w:r>
                    <w:rPr>
                      <w:rFonts w:hint="eastAsia"/>
                      <w:color w:val="auto"/>
                      <w:lang w:val="en-US" w:eastAsia="zh-CN"/>
                    </w:rPr>
                    <w:t>0.49</w:t>
                  </w:r>
                </w:p>
              </w:tc>
              <w:tc>
                <w:tcPr>
                  <w:tcW w:w="638" w:type="pct"/>
                  <w:vAlign w:val="center"/>
                </w:tcPr>
                <w:p>
                  <w:pPr>
                    <w:pStyle w:val="68"/>
                    <w:rPr>
                      <w:rFonts w:hint="default"/>
                      <w:color w:val="auto"/>
                      <w:lang w:val="en-US" w:eastAsia="zh-CN"/>
                    </w:rPr>
                  </w:pPr>
                  <w:r>
                    <w:rPr>
                      <w:rFonts w:hint="eastAsia"/>
                      <w:color w:val="auto"/>
                      <w:lang w:val="en-US" w:eastAsia="zh-CN"/>
                    </w:rPr>
                    <w:t>0.204</w:t>
                  </w:r>
                </w:p>
              </w:tc>
              <w:tc>
                <w:tcPr>
                  <w:tcW w:w="665" w:type="pct"/>
                  <w:vAlign w:val="center"/>
                </w:tcPr>
                <w:p>
                  <w:pPr>
                    <w:pStyle w:val="68"/>
                    <w:rPr>
                      <w:rFonts w:hint="default"/>
                      <w:color w:val="auto"/>
                      <w:lang w:val="en-US" w:eastAsia="zh-CN"/>
                    </w:rPr>
                  </w:pPr>
                  <w:r>
                    <w:rPr>
                      <w:rFonts w:hint="eastAsia"/>
                      <w:color w:val="auto"/>
                      <w:lang w:val="en-US" w:eastAsia="zh-CN"/>
                    </w:rPr>
                    <w:t>80.063</w:t>
                  </w:r>
                </w:p>
              </w:tc>
              <w:tc>
                <w:tcPr>
                  <w:tcW w:w="663" w:type="pct"/>
                  <w:vMerge w:val="restart"/>
                  <w:vAlign w:val="center"/>
                </w:tcPr>
                <w:p>
                  <w:pPr>
                    <w:pStyle w:val="68"/>
                    <w:rPr>
                      <w:color w:val="auto"/>
                    </w:rPr>
                  </w:pPr>
                  <w:r>
                    <w:rPr>
                      <w:rFonts w:hint="eastAsia"/>
                      <w:color w:val="auto"/>
                      <w:lang w:val="en-US" w:eastAsia="zh-CN"/>
                    </w:rPr>
                    <w:t>布袋除尘器处理</w:t>
                  </w:r>
                  <w:r>
                    <w:rPr>
                      <w:rFonts w:hint="eastAsia"/>
                      <w:color w:val="auto"/>
                      <w:lang w:eastAsia="zh-CN"/>
                    </w:rPr>
                    <w:t>，配备专用低氮燃烧器</w:t>
                  </w:r>
                </w:p>
              </w:tc>
              <w:tc>
                <w:tcPr>
                  <w:tcW w:w="584" w:type="pct"/>
                  <w:vAlign w:val="center"/>
                </w:tcPr>
                <w:p>
                  <w:pPr>
                    <w:pStyle w:val="68"/>
                    <w:jc w:val="center"/>
                    <w:rPr>
                      <w:rFonts w:hint="default"/>
                      <w:color w:val="auto"/>
                      <w:lang w:val="en-US" w:eastAsia="zh-CN"/>
                    </w:rPr>
                  </w:pPr>
                  <w:r>
                    <w:rPr>
                      <w:rFonts w:hint="eastAsia"/>
                      <w:color w:val="auto"/>
                      <w:lang w:val="en-US" w:eastAsia="zh-CN"/>
                    </w:rPr>
                    <w:t>0.001</w:t>
                  </w:r>
                </w:p>
              </w:tc>
              <w:tc>
                <w:tcPr>
                  <w:tcW w:w="665" w:type="pct"/>
                  <w:vAlign w:val="center"/>
                </w:tcPr>
                <w:p>
                  <w:pPr>
                    <w:pStyle w:val="68"/>
                    <w:jc w:val="center"/>
                    <w:rPr>
                      <w:rFonts w:hint="default"/>
                      <w:color w:val="auto"/>
                      <w:lang w:val="en-US" w:eastAsia="zh-CN"/>
                    </w:rPr>
                  </w:pPr>
                  <w:r>
                    <w:rPr>
                      <w:rFonts w:hint="eastAsia"/>
                      <w:color w:val="auto"/>
                      <w:lang w:val="en-US" w:eastAsia="zh-CN"/>
                    </w:rPr>
                    <w:t>0.001</w:t>
                  </w:r>
                </w:p>
              </w:tc>
              <w:tc>
                <w:tcPr>
                  <w:tcW w:w="703" w:type="pct"/>
                  <w:vAlign w:val="center"/>
                </w:tcPr>
                <w:p>
                  <w:pPr>
                    <w:pStyle w:val="68"/>
                    <w:jc w:val="center"/>
                    <w:rPr>
                      <w:rFonts w:hint="default"/>
                      <w:color w:val="auto"/>
                      <w:lang w:val="en-US" w:eastAsia="zh-CN"/>
                    </w:rPr>
                  </w:pPr>
                  <w:r>
                    <w:rPr>
                      <w:rFonts w:hint="eastAsia"/>
                      <w:color w:val="auto"/>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558" w:type="pct"/>
                  <w:vAlign w:val="center"/>
                </w:tcPr>
                <w:p>
                  <w:pPr>
                    <w:pStyle w:val="68"/>
                    <w:rPr>
                      <w:color w:val="auto"/>
                    </w:rPr>
                  </w:pPr>
                  <w:r>
                    <w:rPr>
                      <w:color w:val="auto"/>
                    </w:rPr>
                    <w:t>SO</w:t>
                  </w:r>
                  <w:r>
                    <w:rPr>
                      <w:color w:val="auto"/>
                      <w:vertAlign w:val="subscript"/>
                    </w:rPr>
                    <w:t>2</w:t>
                  </w:r>
                </w:p>
              </w:tc>
              <w:tc>
                <w:tcPr>
                  <w:tcW w:w="521" w:type="pct"/>
                  <w:vAlign w:val="center"/>
                </w:tcPr>
                <w:p>
                  <w:pPr>
                    <w:pStyle w:val="68"/>
                    <w:rPr>
                      <w:rFonts w:hint="default" w:eastAsia="宋体"/>
                      <w:color w:val="auto"/>
                      <w:lang w:val="en-US" w:eastAsia="zh-CN"/>
                    </w:rPr>
                  </w:pPr>
                  <w:r>
                    <w:rPr>
                      <w:rFonts w:hint="eastAsia"/>
                      <w:color w:val="auto"/>
                      <w:lang w:val="en-US" w:eastAsia="zh-CN"/>
                    </w:rPr>
                    <w:t>0.55</w:t>
                  </w:r>
                </w:p>
              </w:tc>
              <w:tc>
                <w:tcPr>
                  <w:tcW w:w="638" w:type="pct"/>
                  <w:vAlign w:val="center"/>
                </w:tcPr>
                <w:p>
                  <w:pPr>
                    <w:pStyle w:val="68"/>
                    <w:rPr>
                      <w:rFonts w:hint="default"/>
                      <w:color w:val="auto"/>
                      <w:lang w:val="en-US" w:eastAsia="zh-CN"/>
                    </w:rPr>
                  </w:pPr>
                  <w:r>
                    <w:rPr>
                      <w:rFonts w:hint="eastAsia"/>
                      <w:color w:val="auto"/>
                      <w:lang w:val="en-US" w:eastAsia="zh-CN"/>
                    </w:rPr>
                    <w:t>0.229</w:t>
                  </w:r>
                </w:p>
              </w:tc>
              <w:tc>
                <w:tcPr>
                  <w:tcW w:w="665" w:type="pct"/>
                  <w:vAlign w:val="center"/>
                </w:tcPr>
                <w:p>
                  <w:pPr>
                    <w:pStyle w:val="68"/>
                    <w:rPr>
                      <w:rFonts w:hint="default"/>
                      <w:color w:val="auto"/>
                      <w:lang w:val="en-US" w:eastAsia="zh-CN"/>
                    </w:rPr>
                  </w:pPr>
                  <w:r>
                    <w:rPr>
                      <w:rFonts w:hint="eastAsia"/>
                      <w:color w:val="auto"/>
                      <w:lang w:val="en-US" w:eastAsia="zh-CN"/>
                    </w:rPr>
                    <w:t>89.874</w:t>
                  </w:r>
                </w:p>
              </w:tc>
              <w:tc>
                <w:tcPr>
                  <w:tcW w:w="663" w:type="pct"/>
                  <w:vMerge w:val="continue"/>
                  <w:vAlign w:val="center"/>
                </w:tcPr>
                <w:p>
                  <w:pPr>
                    <w:pStyle w:val="68"/>
                    <w:rPr>
                      <w:color w:val="auto"/>
                    </w:rPr>
                  </w:pPr>
                </w:p>
              </w:tc>
              <w:tc>
                <w:tcPr>
                  <w:tcW w:w="916" w:type="dxa"/>
                  <w:vAlign w:val="center"/>
                </w:tcPr>
                <w:p>
                  <w:pPr>
                    <w:pStyle w:val="68"/>
                    <w:ind w:firstLine="0" w:firstLineChars="0"/>
                    <w:rPr>
                      <w:rFonts w:hint="default"/>
                      <w:color w:val="auto"/>
                      <w:lang w:val="en-US" w:eastAsia="zh-CN"/>
                    </w:rPr>
                  </w:pPr>
                  <w:r>
                    <w:rPr>
                      <w:rFonts w:hint="eastAsia"/>
                      <w:color w:val="auto"/>
                      <w:lang w:val="en-US" w:eastAsia="zh-CN"/>
                    </w:rPr>
                    <w:t>0.55</w:t>
                  </w:r>
                </w:p>
              </w:tc>
              <w:tc>
                <w:tcPr>
                  <w:tcW w:w="1043" w:type="dxa"/>
                  <w:vAlign w:val="center"/>
                </w:tcPr>
                <w:p>
                  <w:pPr>
                    <w:pStyle w:val="68"/>
                    <w:ind w:firstLine="0" w:firstLineChars="0"/>
                    <w:rPr>
                      <w:rFonts w:hint="default"/>
                      <w:color w:val="auto"/>
                      <w:lang w:val="en-US" w:eastAsia="zh-CN"/>
                    </w:rPr>
                  </w:pPr>
                  <w:r>
                    <w:rPr>
                      <w:rFonts w:hint="eastAsia"/>
                      <w:color w:val="auto"/>
                      <w:lang w:val="en-US" w:eastAsia="zh-CN"/>
                    </w:rPr>
                    <w:t>0.229</w:t>
                  </w:r>
                </w:p>
              </w:tc>
              <w:tc>
                <w:tcPr>
                  <w:tcW w:w="1106" w:type="dxa"/>
                  <w:vAlign w:val="center"/>
                </w:tcPr>
                <w:p>
                  <w:pPr>
                    <w:pStyle w:val="68"/>
                    <w:ind w:firstLine="0" w:firstLineChars="0"/>
                    <w:rPr>
                      <w:rFonts w:hint="default"/>
                      <w:color w:val="auto"/>
                      <w:lang w:val="en-US" w:eastAsia="zh-CN"/>
                    </w:rPr>
                  </w:pPr>
                  <w:r>
                    <w:rPr>
                      <w:rFonts w:hint="eastAsia"/>
                      <w:color w:val="auto"/>
                      <w:lang w:val="en-US" w:eastAsia="zh-CN"/>
                    </w:rPr>
                    <w:t>89.874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58" w:type="pct"/>
                  <w:vAlign w:val="center"/>
                </w:tcPr>
                <w:p>
                  <w:pPr>
                    <w:pStyle w:val="68"/>
                    <w:rPr>
                      <w:color w:val="auto"/>
                    </w:rPr>
                  </w:pPr>
                  <w:r>
                    <w:rPr>
                      <w:color w:val="auto"/>
                    </w:rPr>
                    <w:t>NOx</w:t>
                  </w:r>
                </w:p>
              </w:tc>
              <w:tc>
                <w:tcPr>
                  <w:tcW w:w="521" w:type="pct"/>
                  <w:vAlign w:val="center"/>
                </w:tcPr>
                <w:p>
                  <w:pPr>
                    <w:pStyle w:val="68"/>
                    <w:rPr>
                      <w:rFonts w:hint="default"/>
                      <w:color w:val="auto"/>
                      <w:lang w:val="en-US" w:eastAsia="zh-CN"/>
                    </w:rPr>
                  </w:pPr>
                  <w:r>
                    <w:rPr>
                      <w:rFonts w:hint="eastAsia"/>
                      <w:color w:val="auto"/>
                      <w:lang w:val="en-US" w:eastAsia="zh-CN"/>
                    </w:rPr>
                    <w:t>1.00</w:t>
                  </w:r>
                </w:p>
              </w:tc>
              <w:tc>
                <w:tcPr>
                  <w:tcW w:w="638" w:type="pct"/>
                  <w:vAlign w:val="center"/>
                </w:tcPr>
                <w:p>
                  <w:pPr>
                    <w:pStyle w:val="68"/>
                    <w:rPr>
                      <w:rFonts w:hint="default"/>
                      <w:color w:val="auto"/>
                      <w:lang w:val="en-US" w:eastAsia="zh-CN"/>
                    </w:rPr>
                  </w:pPr>
                  <w:r>
                    <w:rPr>
                      <w:rFonts w:hint="eastAsia"/>
                      <w:color w:val="auto"/>
                      <w:lang w:val="en-US" w:eastAsia="zh-CN"/>
                    </w:rPr>
                    <w:t>0.417</w:t>
                  </w:r>
                </w:p>
              </w:tc>
              <w:tc>
                <w:tcPr>
                  <w:tcW w:w="665" w:type="pct"/>
                  <w:vAlign w:val="center"/>
                </w:tcPr>
                <w:p>
                  <w:pPr>
                    <w:pStyle w:val="68"/>
                    <w:rPr>
                      <w:rFonts w:hint="default"/>
                      <w:color w:val="auto"/>
                      <w:lang w:val="en-US" w:eastAsia="zh-CN"/>
                    </w:rPr>
                  </w:pPr>
                  <w:r>
                    <w:rPr>
                      <w:rFonts w:hint="eastAsia"/>
                      <w:color w:val="auto"/>
                      <w:lang w:val="en-US" w:eastAsia="zh-CN"/>
                    </w:rPr>
                    <w:t>163.658</w:t>
                  </w:r>
                </w:p>
              </w:tc>
              <w:tc>
                <w:tcPr>
                  <w:tcW w:w="663" w:type="pct"/>
                  <w:vMerge w:val="continue"/>
                  <w:vAlign w:val="center"/>
                </w:tcPr>
                <w:p>
                  <w:pPr>
                    <w:pStyle w:val="68"/>
                    <w:rPr>
                      <w:color w:val="auto"/>
                    </w:rPr>
                  </w:pPr>
                </w:p>
              </w:tc>
              <w:tc>
                <w:tcPr>
                  <w:tcW w:w="584" w:type="pct"/>
                  <w:vAlign w:val="center"/>
                </w:tcPr>
                <w:p>
                  <w:pPr>
                    <w:pStyle w:val="68"/>
                    <w:jc w:val="center"/>
                    <w:rPr>
                      <w:rFonts w:hint="default"/>
                      <w:color w:val="auto"/>
                      <w:lang w:val="en-US" w:eastAsia="zh-CN"/>
                    </w:rPr>
                  </w:pPr>
                  <w:r>
                    <w:rPr>
                      <w:rFonts w:hint="eastAsia"/>
                      <w:color w:val="auto"/>
                      <w:lang w:val="en-US" w:eastAsia="zh-CN"/>
                    </w:rPr>
                    <w:t>0.700</w:t>
                  </w:r>
                </w:p>
              </w:tc>
              <w:tc>
                <w:tcPr>
                  <w:tcW w:w="665" w:type="pct"/>
                  <w:vAlign w:val="center"/>
                </w:tcPr>
                <w:p>
                  <w:pPr>
                    <w:pStyle w:val="68"/>
                    <w:jc w:val="center"/>
                    <w:rPr>
                      <w:rFonts w:hint="default"/>
                      <w:color w:val="auto"/>
                      <w:lang w:val="en-US" w:eastAsia="zh-CN"/>
                    </w:rPr>
                  </w:pPr>
                  <w:r>
                    <w:rPr>
                      <w:rFonts w:hint="eastAsia"/>
                      <w:color w:val="auto"/>
                      <w:lang w:val="en-US" w:eastAsia="zh-CN"/>
                    </w:rPr>
                    <w:t>0.292</w:t>
                  </w:r>
                </w:p>
              </w:tc>
              <w:tc>
                <w:tcPr>
                  <w:tcW w:w="703" w:type="pct"/>
                  <w:vAlign w:val="center"/>
                </w:tcPr>
                <w:p>
                  <w:pPr>
                    <w:pStyle w:val="68"/>
                    <w:jc w:val="center"/>
                    <w:rPr>
                      <w:rFonts w:hint="default"/>
                      <w:color w:val="auto"/>
                      <w:lang w:val="en-US" w:eastAsia="zh-CN"/>
                    </w:rPr>
                  </w:pPr>
                  <w:r>
                    <w:rPr>
                      <w:rFonts w:hint="eastAsia"/>
                      <w:color w:val="auto"/>
                      <w:lang w:val="en-US" w:eastAsia="zh-CN"/>
                    </w:rPr>
                    <w:t>114.561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68"/>
                    <w:rPr>
                      <w:color w:val="auto"/>
                    </w:rPr>
                  </w:pPr>
                  <w:r>
                    <w:rPr>
                      <w:rFonts w:hint="eastAsia"/>
                      <w:color w:val="auto"/>
                      <w:lang w:eastAsia="zh-CN"/>
                    </w:rPr>
                    <w:t>废气量</w:t>
                  </w:r>
                </w:p>
              </w:tc>
              <w:tc>
                <w:tcPr>
                  <w:tcW w:w="4441" w:type="pct"/>
                  <w:gridSpan w:val="7"/>
                  <w:vAlign w:val="center"/>
                </w:tcPr>
                <w:p>
                  <w:pPr>
                    <w:pStyle w:val="68"/>
                    <w:rPr>
                      <w:rFonts w:hint="default"/>
                      <w:color w:val="auto"/>
                      <w:lang w:val="en-US" w:eastAsia="zh-CN"/>
                    </w:rPr>
                  </w:pPr>
                  <w:r>
                    <w:rPr>
                      <w:rFonts w:hint="eastAsia"/>
                      <w:color w:val="auto"/>
                      <w:lang w:val="en-US" w:eastAsia="zh-CN"/>
                    </w:rPr>
                    <w:t>611.52</w:t>
                  </w:r>
                  <w:r>
                    <w:rPr>
                      <w:rFonts w:hint="eastAsia"/>
                      <w:color w:val="auto"/>
                      <w:lang w:eastAsia="zh-CN"/>
                    </w:rPr>
                    <w:t>万Nm³</w:t>
                  </w:r>
                  <w:r>
                    <w:rPr>
                      <w:color w:val="auto"/>
                      <w:lang w:eastAsia="zh-CN"/>
                    </w:rPr>
                    <w:t>/</w:t>
                  </w:r>
                  <w:r>
                    <w:rPr>
                      <w:rFonts w:hint="eastAsia"/>
                      <w:color w:val="auto"/>
                      <w:lang w:val="en-US" w:eastAsia="zh-CN"/>
                    </w:rPr>
                    <w:t>a（2548</w:t>
                  </w:r>
                  <w:r>
                    <w:rPr>
                      <w:rFonts w:hint="eastAsia"/>
                      <w:color w:val="auto"/>
                      <w:lang w:eastAsia="zh-CN"/>
                    </w:rPr>
                    <w:t>Nm³</w:t>
                  </w:r>
                  <w:r>
                    <w:rPr>
                      <w:color w:val="auto"/>
                      <w:lang w:eastAsia="zh-CN"/>
                    </w:rPr>
                    <w:t>/</w:t>
                  </w:r>
                  <w:r>
                    <w:rPr>
                      <w:rFonts w:hint="eastAsia"/>
                      <w:color w:val="auto"/>
                      <w:lang w:val="en-US" w:eastAsia="zh-CN"/>
                    </w:rPr>
                    <w:t>h）</w:t>
                  </w:r>
                </w:p>
              </w:tc>
            </w:tr>
          </w:tbl>
          <w:p>
            <w:pPr>
              <w:pStyle w:val="84"/>
              <w:rPr>
                <w:bCs/>
                <w:color w:val="auto"/>
              </w:rPr>
            </w:pPr>
            <w:r>
              <w:rPr>
                <w:rFonts w:hint="eastAsia"/>
                <w:bCs/>
                <w:color w:val="auto"/>
              </w:rPr>
              <w:t>4</w:t>
            </w:r>
            <w:r>
              <w:rPr>
                <w:bCs/>
                <w:color w:val="auto"/>
              </w:rPr>
              <w:t>.</w:t>
            </w:r>
            <w:r>
              <w:rPr>
                <w:rFonts w:hint="eastAsia"/>
                <w:color w:val="auto"/>
              </w:rPr>
              <w:t>污水处理站恶臭</w:t>
            </w:r>
          </w:p>
          <w:p>
            <w:pPr>
              <w:ind w:firstLine="480"/>
              <w:rPr>
                <w:color w:val="auto"/>
              </w:rPr>
            </w:pPr>
            <w:r>
              <w:rPr>
                <w:color w:val="auto"/>
              </w:rPr>
              <w:t>本</w:t>
            </w:r>
            <w:r>
              <w:rPr>
                <w:rFonts w:hint="eastAsia"/>
                <w:color w:val="auto"/>
              </w:rPr>
              <w:t>项目</w:t>
            </w:r>
            <w:r>
              <w:rPr>
                <w:color w:val="auto"/>
              </w:rPr>
              <w:t>在运行期间</w:t>
            </w:r>
            <w:r>
              <w:rPr>
                <w:rFonts w:hint="eastAsia"/>
                <w:color w:val="auto"/>
              </w:rPr>
              <w:t>污水处理站</w:t>
            </w:r>
            <w:r>
              <w:rPr>
                <w:color w:val="auto"/>
              </w:rPr>
              <w:t>会产生恶臭，</w:t>
            </w:r>
            <w:r>
              <w:rPr>
                <w:rFonts w:hint="eastAsia"/>
                <w:color w:val="auto"/>
              </w:rPr>
              <w:t>污水处理站运行过程中会产生废气，污水处理站设备进行封闭，设置风机定期换气，废气呈无组织排放</w:t>
            </w:r>
            <w:r>
              <w:rPr>
                <w:color w:val="auto"/>
              </w:rPr>
              <w:t>，恶</w:t>
            </w:r>
            <w:r>
              <w:rPr>
                <w:rFonts w:hint="eastAsia"/>
                <w:color w:val="auto"/>
                <w:lang w:eastAsia="zh-CN"/>
              </w:rPr>
              <w:t>臭对</w:t>
            </w:r>
            <w:r>
              <w:rPr>
                <w:color w:val="auto"/>
              </w:rPr>
              <w:t>周围环境影响很小</w:t>
            </w:r>
            <w:r>
              <w:rPr>
                <w:rFonts w:hint="eastAsia"/>
                <w:color w:val="auto"/>
              </w:rPr>
              <w:t>，由于本项目污水处理站处理规模较小，本次环评不再对恶臭源</w:t>
            </w:r>
            <w:r>
              <w:rPr>
                <w:rFonts w:hint="eastAsia"/>
                <w:color w:val="auto"/>
                <w:shd w:val="clear" w:fill="FFFFFF"/>
              </w:rPr>
              <w:t>强</w:t>
            </w:r>
            <w:r>
              <w:rPr>
                <w:rFonts w:hint="eastAsia"/>
                <w:color w:val="auto"/>
              </w:rPr>
              <w:t>进行核算</w:t>
            </w:r>
            <w:r>
              <w:rPr>
                <w:color w:val="auto"/>
              </w:rPr>
              <w:t>。</w:t>
            </w:r>
          </w:p>
          <w:p>
            <w:pPr>
              <w:pStyle w:val="84"/>
              <w:ind w:firstLine="482"/>
              <w:rPr>
                <w:color w:val="auto"/>
              </w:rPr>
            </w:pPr>
            <w:r>
              <w:rPr>
                <w:rFonts w:hint="eastAsia"/>
                <w:color w:val="auto"/>
              </w:rPr>
              <w:t>5</w:t>
            </w:r>
            <w:r>
              <w:rPr>
                <w:color w:val="auto"/>
              </w:rPr>
              <w:t>.</w:t>
            </w:r>
            <w:r>
              <w:rPr>
                <w:rFonts w:hint="eastAsia"/>
                <w:color w:val="auto"/>
              </w:rPr>
              <w:t>加热产生的有机废气</w:t>
            </w:r>
          </w:p>
          <w:p>
            <w:pPr>
              <w:ind w:firstLine="480"/>
              <w:rPr>
                <w:color w:val="auto"/>
              </w:rPr>
            </w:pPr>
            <w:r>
              <w:rPr>
                <w:rFonts w:hint="eastAsia"/>
                <w:color w:val="auto"/>
              </w:rPr>
              <w:t>本项目采用蒸汽对餐厨垃圾进行加热，加热温度为1</w:t>
            </w:r>
            <w:r>
              <w:rPr>
                <w:color w:val="auto"/>
              </w:rPr>
              <w:t>20</w:t>
            </w:r>
            <w:r>
              <w:rPr>
                <w:rFonts w:hint="eastAsia"/>
                <w:color w:val="auto"/>
              </w:rPr>
              <w:t>℃，由于食用油类物质</w:t>
            </w:r>
            <w:r>
              <w:rPr>
                <w:rFonts w:hint="eastAsia"/>
                <w:color w:val="auto"/>
                <w:shd w:val="clear" w:fill="FFFFFF"/>
              </w:rPr>
              <w:t>烟</w:t>
            </w:r>
            <w:r>
              <w:rPr>
                <w:rFonts w:hint="eastAsia"/>
                <w:color w:val="auto"/>
              </w:rPr>
              <w:t>点为</w:t>
            </w:r>
            <w:r>
              <w:rPr>
                <w:color w:val="auto"/>
              </w:rPr>
              <w:t>215</w:t>
            </w:r>
            <w:r>
              <w:rPr>
                <w:rFonts w:hint="eastAsia"/>
                <w:color w:val="auto"/>
              </w:rPr>
              <w:t>℃，而本项目加热温度远小于</w:t>
            </w:r>
            <w:r>
              <w:rPr>
                <w:rFonts w:hint="eastAsia"/>
                <w:color w:val="auto"/>
                <w:shd w:val="clear" w:fill="FFFFFF"/>
              </w:rPr>
              <w:t>烟</w:t>
            </w:r>
            <w:r>
              <w:rPr>
                <w:rFonts w:hint="eastAsia"/>
                <w:color w:val="auto"/>
              </w:rPr>
              <w:t>点温度，因此在加热过程中不会有非甲烷总烃挥发，因此本次环评不再对加热过程中产生的有机废气进行核算。</w:t>
            </w:r>
          </w:p>
          <w:p>
            <w:pPr>
              <w:ind w:firstLine="482"/>
              <w:rPr>
                <w:b/>
                <w:bCs/>
                <w:color w:val="auto"/>
                <w:highlight w:val="none"/>
              </w:rPr>
            </w:pPr>
            <w:r>
              <w:rPr>
                <w:b/>
                <w:bCs/>
                <w:color w:val="auto"/>
                <w:highlight w:val="none"/>
              </w:rPr>
              <w:t>6.</w:t>
            </w:r>
            <w:r>
              <w:rPr>
                <w:rFonts w:hint="eastAsia"/>
                <w:b/>
                <w:bCs/>
                <w:color w:val="auto"/>
                <w:highlight w:val="none"/>
              </w:rPr>
              <w:t>非正常排放</w:t>
            </w:r>
          </w:p>
          <w:p>
            <w:pPr>
              <w:ind w:firstLine="480"/>
              <w:rPr>
                <w:color w:val="auto"/>
              </w:rPr>
            </w:pPr>
            <w:r>
              <w:rPr>
                <w:rFonts w:hint="eastAsia"/>
                <w:color w:val="auto"/>
              </w:rPr>
              <w:t>根据《污染源源强核算技术指南 准则》（HJ848-2018），非正常工况是指生产设施非正常工况或污染防治（控制）设施非正常状况，其中生产设施非正常工况</w:t>
            </w:r>
            <w:r>
              <w:rPr>
                <w:rFonts w:hint="eastAsia"/>
                <w:color w:val="auto"/>
                <w:shd w:val="clear" w:fill="FFFFFF"/>
              </w:rPr>
              <w:t>指</w:t>
            </w:r>
            <w:r>
              <w:rPr>
                <w:rFonts w:hint="eastAsia"/>
                <w:color w:val="auto"/>
              </w:rPr>
              <w:t>开停炉（机）、设备检修、工艺设备运转异常等工况，污染防治（控制）设施非正常状况</w:t>
            </w:r>
            <w:r>
              <w:rPr>
                <w:rFonts w:hint="eastAsia"/>
                <w:color w:val="auto"/>
                <w:shd w:val="clear" w:fill="FFFFFF"/>
              </w:rPr>
              <w:t>指</w:t>
            </w:r>
            <w:r>
              <w:rPr>
                <w:rFonts w:hint="eastAsia"/>
                <w:color w:val="auto"/>
              </w:rPr>
              <w:t>达不到应有治理效率或同步运转率等情况。</w:t>
            </w:r>
          </w:p>
          <w:p>
            <w:pPr>
              <w:ind w:firstLine="480"/>
              <w:rPr>
                <w:color w:val="auto"/>
              </w:rPr>
            </w:pPr>
            <w:r>
              <w:rPr>
                <w:rFonts w:hint="eastAsia"/>
                <w:color w:val="auto"/>
              </w:rPr>
              <w:t>本项目的非正常工况排放主要为废气治理设施达不到应有治理效率或同步运转率的情况下的废气排放。具体体现为治理设施出现故障停止运行，此时治理设施达不到应有的治理效率，本评价按极端情况，即治理效率为0进行估算。因此，当废气治理设施无法正常运行时，应立即停止生产进行维修，避免对周围环境造成影响，根据实际工程经验估算，治理设施故障发生的频率约为1</w:t>
            </w:r>
            <w:r>
              <w:rPr>
                <w:rFonts w:hint="eastAsia"/>
                <w:color w:val="auto"/>
                <w:lang w:eastAsia="zh-CN"/>
              </w:rPr>
              <w:t>～</w:t>
            </w:r>
            <w:r>
              <w:rPr>
                <w:rFonts w:hint="eastAsia"/>
                <w:color w:val="auto"/>
              </w:rPr>
              <w:t>2次/年。本项目非正常工况废气排放情况详见下表。</w:t>
            </w:r>
          </w:p>
          <w:p>
            <w:pPr>
              <w:pStyle w:val="71"/>
              <w:rPr>
                <w:color w:val="auto"/>
              </w:rPr>
            </w:pPr>
            <w:r>
              <w:rPr>
                <w:rFonts w:hint="eastAsia"/>
                <w:color w:val="auto"/>
              </w:rPr>
              <w:t>表4</w:t>
            </w:r>
            <w:r>
              <w:rPr>
                <w:color w:val="auto"/>
              </w:rPr>
              <w:t>.2-</w:t>
            </w:r>
            <w:r>
              <w:rPr>
                <w:rFonts w:hint="eastAsia"/>
                <w:color w:val="auto"/>
                <w:lang w:val="en-US" w:eastAsia="zh-CN"/>
              </w:rPr>
              <w:t xml:space="preserve">12 </w:t>
            </w:r>
            <w:r>
              <w:rPr>
                <w:rFonts w:hint="eastAsia"/>
                <w:color w:val="auto"/>
              </w:rPr>
              <w:t xml:space="preserve"> 非正常工况废气排放情况一览表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71"/>
              <w:gridCol w:w="1081"/>
              <w:gridCol w:w="912"/>
              <w:gridCol w:w="1302"/>
              <w:gridCol w:w="1202"/>
              <w:gridCol w:w="72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68"/>
                    <w:rPr>
                      <w:b/>
                      <w:bCs/>
                      <w:color w:val="auto"/>
                    </w:rPr>
                  </w:pPr>
                  <w:r>
                    <w:rPr>
                      <w:rFonts w:hint="eastAsia"/>
                      <w:b/>
                      <w:bCs/>
                      <w:color w:val="auto"/>
                    </w:rPr>
                    <w:t>序号</w:t>
                  </w:r>
                </w:p>
              </w:tc>
              <w:tc>
                <w:tcPr>
                  <w:tcW w:w="1071" w:type="dxa"/>
                  <w:vAlign w:val="center"/>
                </w:tcPr>
                <w:p>
                  <w:pPr>
                    <w:pStyle w:val="68"/>
                    <w:rPr>
                      <w:b/>
                      <w:bCs/>
                      <w:color w:val="auto"/>
                    </w:rPr>
                  </w:pPr>
                  <w:r>
                    <w:rPr>
                      <w:rFonts w:hint="eastAsia"/>
                      <w:b/>
                      <w:bCs/>
                      <w:color w:val="auto"/>
                    </w:rPr>
                    <w:t>污染源</w:t>
                  </w:r>
                </w:p>
              </w:tc>
              <w:tc>
                <w:tcPr>
                  <w:tcW w:w="1081" w:type="dxa"/>
                  <w:vAlign w:val="center"/>
                </w:tcPr>
                <w:p>
                  <w:pPr>
                    <w:pStyle w:val="68"/>
                    <w:rPr>
                      <w:b/>
                      <w:bCs/>
                      <w:color w:val="auto"/>
                    </w:rPr>
                  </w:pPr>
                  <w:r>
                    <w:rPr>
                      <w:rFonts w:hint="eastAsia"/>
                      <w:b/>
                      <w:bCs/>
                      <w:color w:val="auto"/>
                    </w:rPr>
                    <w:t>污染物</w:t>
                  </w:r>
                </w:p>
              </w:tc>
              <w:tc>
                <w:tcPr>
                  <w:tcW w:w="912" w:type="dxa"/>
                  <w:vAlign w:val="center"/>
                </w:tcPr>
                <w:p>
                  <w:pPr>
                    <w:pStyle w:val="68"/>
                    <w:rPr>
                      <w:b/>
                      <w:bCs/>
                      <w:color w:val="auto"/>
                    </w:rPr>
                  </w:pPr>
                  <w:r>
                    <w:rPr>
                      <w:rFonts w:hint="eastAsia"/>
                      <w:b/>
                      <w:bCs/>
                      <w:color w:val="auto"/>
                    </w:rPr>
                    <w:t>非正常工况发生频次</w:t>
                  </w:r>
                </w:p>
              </w:tc>
              <w:tc>
                <w:tcPr>
                  <w:tcW w:w="1302" w:type="dxa"/>
                  <w:vAlign w:val="center"/>
                </w:tcPr>
                <w:p>
                  <w:pPr>
                    <w:pStyle w:val="68"/>
                    <w:jc w:val="both"/>
                    <w:rPr>
                      <w:b/>
                      <w:bCs/>
                      <w:color w:val="auto"/>
                      <w:lang w:eastAsia="zh-CN"/>
                    </w:rPr>
                  </w:pPr>
                  <w:r>
                    <w:rPr>
                      <w:rFonts w:hint="eastAsia"/>
                      <w:b/>
                      <w:bCs/>
                      <w:color w:val="auto"/>
                    </w:rPr>
                    <w:t>浓度</w:t>
                  </w:r>
                  <w:r>
                    <w:rPr>
                      <w:b/>
                      <w:bCs/>
                      <w:color w:val="auto"/>
                    </w:rPr>
                    <w:t>mg/m</w:t>
                  </w:r>
                  <w:r>
                    <w:rPr>
                      <w:b/>
                      <w:bCs/>
                      <w:color w:val="auto"/>
                      <w:vertAlign w:val="superscript"/>
                    </w:rPr>
                    <w:t>3</w:t>
                  </w:r>
                </w:p>
              </w:tc>
              <w:tc>
                <w:tcPr>
                  <w:tcW w:w="1202" w:type="dxa"/>
                  <w:vAlign w:val="center"/>
                </w:tcPr>
                <w:p>
                  <w:pPr>
                    <w:pStyle w:val="68"/>
                    <w:rPr>
                      <w:b/>
                      <w:bCs/>
                      <w:color w:val="auto"/>
                    </w:rPr>
                  </w:pPr>
                  <w:r>
                    <w:rPr>
                      <w:rFonts w:hint="eastAsia"/>
                      <w:b/>
                      <w:bCs/>
                      <w:color w:val="auto"/>
                    </w:rPr>
                    <w:t>排放速率</w:t>
                  </w:r>
                </w:p>
                <w:p>
                  <w:pPr>
                    <w:pStyle w:val="68"/>
                    <w:rPr>
                      <w:b/>
                      <w:bCs/>
                      <w:color w:val="auto"/>
                    </w:rPr>
                  </w:pPr>
                  <w:r>
                    <w:rPr>
                      <w:b/>
                      <w:bCs/>
                      <w:color w:val="auto"/>
                      <w:lang w:eastAsia="zh-CN"/>
                    </w:rPr>
                    <w:t>k</w:t>
                  </w:r>
                  <w:r>
                    <w:rPr>
                      <w:rFonts w:hint="eastAsia"/>
                      <w:b/>
                      <w:bCs/>
                      <w:color w:val="auto"/>
                      <w:lang w:eastAsia="zh-CN"/>
                    </w:rPr>
                    <w:t>g/h</w:t>
                  </w:r>
                </w:p>
              </w:tc>
              <w:tc>
                <w:tcPr>
                  <w:tcW w:w="728" w:type="dxa"/>
                  <w:vAlign w:val="center"/>
                </w:tcPr>
                <w:p>
                  <w:pPr>
                    <w:pStyle w:val="68"/>
                    <w:rPr>
                      <w:b/>
                      <w:bCs/>
                      <w:color w:val="auto"/>
                    </w:rPr>
                  </w:pPr>
                  <w:r>
                    <w:rPr>
                      <w:rFonts w:hint="eastAsia"/>
                      <w:b/>
                      <w:bCs/>
                      <w:color w:val="auto"/>
                    </w:rPr>
                    <w:t>单次持续时间</w:t>
                  </w:r>
                </w:p>
              </w:tc>
              <w:tc>
                <w:tcPr>
                  <w:tcW w:w="896" w:type="dxa"/>
                  <w:vAlign w:val="center"/>
                </w:tcPr>
                <w:p>
                  <w:pPr>
                    <w:pStyle w:val="68"/>
                    <w:rPr>
                      <w:b/>
                      <w:bCs/>
                      <w:color w:val="auto"/>
                    </w:rPr>
                  </w:pPr>
                  <w:r>
                    <w:rPr>
                      <w:rFonts w:hint="eastAsia"/>
                      <w:b/>
                      <w:bCs/>
                      <w:color w:val="auto"/>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pPr>
                    <w:pStyle w:val="68"/>
                    <w:rPr>
                      <w:color w:val="auto"/>
                    </w:rPr>
                  </w:pPr>
                  <w:r>
                    <w:rPr>
                      <w:rFonts w:hint="eastAsia"/>
                      <w:color w:val="auto"/>
                    </w:rPr>
                    <w:t>1</w:t>
                  </w:r>
                </w:p>
              </w:tc>
              <w:tc>
                <w:tcPr>
                  <w:tcW w:w="1071" w:type="dxa"/>
                  <w:vMerge w:val="restart"/>
                  <w:vAlign w:val="center"/>
                </w:tcPr>
                <w:p>
                  <w:pPr>
                    <w:pStyle w:val="68"/>
                    <w:rPr>
                      <w:color w:val="auto"/>
                    </w:rPr>
                  </w:pPr>
                  <w:r>
                    <w:rPr>
                      <w:rFonts w:hint="eastAsia"/>
                      <w:color w:val="auto"/>
                    </w:rPr>
                    <w:t>排气筒</w:t>
                  </w:r>
                </w:p>
                <w:p>
                  <w:pPr>
                    <w:pStyle w:val="68"/>
                    <w:rPr>
                      <w:color w:val="auto"/>
                    </w:rPr>
                  </w:pPr>
                  <w:r>
                    <w:rPr>
                      <w:rFonts w:hint="eastAsia"/>
                      <w:color w:val="auto"/>
                      <w:lang w:eastAsia="zh-CN"/>
                    </w:rPr>
                    <w:t>(</w:t>
                  </w:r>
                  <w:r>
                    <w:rPr>
                      <w:rFonts w:hint="eastAsia"/>
                      <w:color w:val="auto"/>
                    </w:rPr>
                    <w:t>DA001</w:t>
                  </w:r>
                  <w:r>
                    <w:rPr>
                      <w:rFonts w:hint="eastAsia"/>
                      <w:color w:val="auto"/>
                      <w:lang w:eastAsia="zh-CN"/>
                    </w:rPr>
                    <w:t>)</w:t>
                  </w:r>
                </w:p>
              </w:tc>
              <w:tc>
                <w:tcPr>
                  <w:tcW w:w="1081" w:type="dxa"/>
                  <w:vAlign w:val="center"/>
                </w:tcPr>
                <w:p>
                  <w:pPr>
                    <w:pStyle w:val="68"/>
                    <w:rPr>
                      <w:color w:val="auto"/>
                    </w:rPr>
                  </w:pPr>
                  <w:r>
                    <w:rPr>
                      <w:rFonts w:hint="eastAsia"/>
                      <w:color w:val="auto"/>
                    </w:rPr>
                    <w:t>氨</w:t>
                  </w:r>
                </w:p>
              </w:tc>
              <w:tc>
                <w:tcPr>
                  <w:tcW w:w="912" w:type="dxa"/>
                  <w:vMerge w:val="restart"/>
                  <w:vAlign w:val="center"/>
                </w:tcPr>
                <w:p>
                  <w:pPr>
                    <w:pStyle w:val="68"/>
                    <w:rPr>
                      <w:color w:val="auto"/>
                    </w:rPr>
                  </w:pPr>
                  <w:r>
                    <w:rPr>
                      <w:rFonts w:hint="eastAsia"/>
                      <w:color w:val="auto"/>
                    </w:rPr>
                    <w:t>2次/年</w:t>
                  </w:r>
                </w:p>
              </w:tc>
              <w:tc>
                <w:tcPr>
                  <w:tcW w:w="1302" w:type="dxa"/>
                  <w:vAlign w:val="center"/>
                </w:tcPr>
                <w:p>
                  <w:pPr>
                    <w:pStyle w:val="68"/>
                    <w:rPr>
                      <w:color w:val="auto"/>
                    </w:rPr>
                  </w:pPr>
                  <w:r>
                    <w:rPr>
                      <w:color w:val="auto"/>
                      <w:lang w:eastAsia="zh-CN"/>
                    </w:rPr>
                    <w:t>0.4</w:t>
                  </w:r>
                </w:p>
              </w:tc>
              <w:tc>
                <w:tcPr>
                  <w:tcW w:w="1202" w:type="dxa"/>
                  <w:vAlign w:val="center"/>
                </w:tcPr>
                <w:p>
                  <w:pPr>
                    <w:pStyle w:val="68"/>
                    <w:rPr>
                      <w:color w:val="auto"/>
                    </w:rPr>
                  </w:pPr>
                  <w:r>
                    <w:rPr>
                      <w:rFonts w:hint="eastAsia"/>
                      <w:color w:val="auto"/>
                      <w:lang w:eastAsia="zh-CN"/>
                    </w:rPr>
                    <w:t>0</w:t>
                  </w:r>
                  <w:r>
                    <w:rPr>
                      <w:color w:val="auto"/>
                      <w:lang w:eastAsia="zh-CN"/>
                    </w:rPr>
                    <w:t>.0024</w:t>
                  </w:r>
                </w:p>
              </w:tc>
              <w:tc>
                <w:tcPr>
                  <w:tcW w:w="728" w:type="dxa"/>
                  <w:vMerge w:val="restart"/>
                  <w:vAlign w:val="center"/>
                </w:tcPr>
                <w:p>
                  <w:pPr>
                    <w:pStyle w:val="68"/>
                    <w:rPr>
                      <w:color w:val="auto"/>
                    </w:rPr>
                  </w:pPr>
                  <w:r>
                    <w:rPr>
                      <w:color w:val="auto"/>
                    </w:rPr>
                    <w:t>1</w:t>
                  </w:r>
                  <w:r>
                    <w:rPr>
                      <w:rFonts w:hint="eastAsia"/>
                      <w:color w:val="auto"/>
                    </w:rPr>
                    <w:t>h</w:t>
                  </w:r>
                </w:p>
              </w:tc>
              <w:tc>
                <w:tcPr>
                  <w:tcW w:w="896" w:type="dxa"/>
                  <w:vMerge w:val="restart"/>
                  <w:vAlign w:val="center"/>
                </w:tcPr>
                <w:p>
                  <w:pPr>
                    <w:pStyle w:val="68"/>
                    <w:rPr>
                      <w:color w:val="auto"/>
                    </w:rPr>
                  </w:pPr>
                  <w:r>
                    <w:rPr>
                      <w:rFonts w:hint="eastAsia"/>
                      <w:color w:val="auto"/>
                    </w:rPr>
                    <w:t>立即停止生产进行维修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68"/>
                    <w:rPr>
                      <w:color w:val="auto"/>
                    </w:rPr>
                  </w:pPr>
                  <w:r>
                    <w:rPr>
                      <w:rFonts w:hint="eastAsia"/>
                      <w:color w:val="auto"/>
                    </w:rPr>
                    <w:t>2</w:t>
                  </w:r>
                </w:p>
              </w:tc>
              <w:tc>
                <w:tcPr>
                  <w:tcW w:w="1071" w:type="dxa"/>
                  <w:vMerge w:val="continue"/>
                  <w:vAlign w:val="center"/>
                </w:tcPr>
                <w:p>
                  <w:pPr>
                    <w:pStyle w:val="68"/>
                    <w:rPr>
                      <w:b/>
                      <w:bCs/>
                      <w:color w:val="auto"/>
                    </w:rPr>
                  </w:pPr>
                </w:p>
              </w:tc>
              <w:tc>
                <w:tcPr>
                  <w:tcW w:w="1081" w:type="dxa"/>
                  <w:vAlign w:val="center"/>
                </w:tcPr>
                <w:p>
                  <w:pPr>
                    <w:pStyle w:val="68"/>
                    <w:rPr>
                      <w:color w:val="auto"/>
                    </w:rPr>
                  </w:pPr>
                  <w:r>
                    <w:rPr>
                      <w:rFonts w:hint="eastAsia"/>
                      <w:color w:val="auto"/>
                    </w:rPr>
                    <w:t>硫化氢</w:t>
                  </w:r>
                </w:p>
              </w:tc>
              <w:tc>
                <w:tcPr>
                  <w:tcW w:w="912" w:type="dxa"/>
                  <w:vMerge w:val="continue"/>
                  <w:vAlign w:val="center"/>
                </w:tcPr>
                <w:p>
                  <w:pPr>
                    <w:pStyle w:val="68"/>
                    <w:rPr>
                      <w:b/>
                      <w:bCs/>
                      <w:color w:val="auto"/>
                    </w:rPr>
                  </w:pPr>
                </w:p>
              </w:tc>
              <w:tc>
                <w:tcPr>
                  <w:tcW w:w="1302" w:type="dxa"/>
                  <w:vAlign w:val="center"/>
                </w:tcPr>
                <w:p>
                  <w:pPr>
                    <w:pStyle w:val="68"/>
                    <w:rPr>
                      <w:color w:val="auto"/>
                    </w:rPr>
                  </w:pPr>
                  <w:r>
                    <w:rPr>
                      <w:color w:val="auto"/>
                      <w:lang w:eastAsia="zh-CN"/>
                    </w:rPr>
                    <w:t>2.83</w:t>
                  </w:r>
                </w:p>
              </w:tc>
              <w:tc>
                <w:tcPr>
                  <w:tcW w:w="1202" w:type="dxa"/>
                  <w:vAlign w:val="center"/>
                </w:tcPr>
                <w:p>
                  <w:pPr>
                    <w:pStyle w:val="68"/>
                    <w:rPr>
                      <w:color w:val="auto"/>
                    </w:rPr>
                  </w:pPr>
                  <w:r>
                    <w:rPr>
                      <w:rFonts w:hint="eastAsia"/>
                      <w:color w:val="auto"/>
                      <w:lang w:eastAsia="zh-CN"/>
                    </w:rPr>
                    <w:t>0</w:t>
                  </w:r>
                  <w:r>
                    <w:rPr>
                      <w:color w:val="auto"/>
                      <w:lang w:eastAsia="zh-CN"/>
                    </w:rPr>
                    <w:t>.017</w:t>
                  </w:r>
                </w:p>
              </w:tc>
              <w:tc>
                <w:tcPr>
                  <w:tcW w:w="728" w:type="dxa"/>
                  <w:vMerge w:val="continue"/>
                  <w:vAlign w:val="center"/>
                </w:tcPr>
                <w:p>
                  <w:pPr>
                    <w:pStyle w:val="68"/>
                    <w:rPr>
                      <w:b/>
                      <w:bCs/>
                      <w:color w:val="auto"/>
                    </w:rPr>
                  </w:pPr>
                </w:p>
              </w:tc>
              <w:tc>
                <w:tcPr>
                  <w:tcW w:w="896" w:type="dxa"/>
                  <w:vMerge w:val="continue"/>
                  <w:vAlign w:val="center"/>
                </w:tcPr>
                <w:p>
                  <w:pPr>
                    <w:pStyle w:val="68"/>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68"/>
                    <w:rPr>
                      <w:color w:val="auto"/>
                    </w:rPr>
                  </w:pPr>
                  <w:r>
                    <w:rPr>
                      <w:rFonts w:hint="eastAsia"/>
                      <w:color w:val="auto"/>
                    </w:rPr>
                    <w:t>3</w:t>
                  </w:r>
                </w:p>
              </w:tc>
              <w:tc>
                <w:tcPr>
                  <w:tcW w:w="1071" w:type="dxa"/>
                  <w:vMerge w:val="continue"/>
                  <w:vAlign w:val="center"/>
                </w:tcPr>
                <w:p>
                  <w:pPr>
                    <w:pStyle w:val="68"/>
                    <w:rPr>
                      <w:b/>
                      <w:bCs/>
                      <w:color w:val="auto"/>
                    </w:rPr>
                  </w:pPr>
                </w:p>
              </w:tc>
              <w:tc>
                <w:tcPr>
                  <w:tcW w:w="1081" w:type="dxa"/>
                  <w:vAlign w:val="center"/>
                </w:tcPr>
                <w:p>
                  <w:pPr>
                    <w:pStyle w:val="68"/>
                    <w:rPr>
                      <w:color w:val="auto"/>
                    </w:rPr>
                  </w:pPr>
                  <w:r>
                    <w:rPr>
                      <w:rFonts w:hint="eastAsia"/>
                      <w:color w:val="auto"/>
                    </w:rPr>
                    <w:t>臭气浓度</w:t>
                  </w:r>
                </w:p>
              </w:tc>
              <w:tc>
                <w:tcPr>
                  <w:tcW w:w="912" w:type="dxa"/>
                  <w:vMerge w:val="continue"/>
                  <w:vAlign w:val="center"/>
                </w:tcPr>
                <w:p>
                  <w:pPr>
                    <w:pStyle w:val="68"/>
                    <w:rPr>
                      <w:b/>
                      <w:bCs/>
                      <w:color w:val="auto"/>
                    </w:rPr>
                  </w:pPr>
                </w:p>
              </w:tc>
              <w:tc>
                <w:tcPr>
                  <w:tcW w:w="2504" w:type="dxa"/>
                  <w:gridSpan w:val="2"/>
                  <w:vAlign w:val="center"/>
                </w:tcPr>
                <w:p>
                  <w:pPr>
                    <w:pStyle w:val="68"/>
                    <w:rPr>
                      <w:color w:val="auto"/>
                    </w:rPr>
                  </w:pPr>
                  <w:r>
                    <w:rPr>
                      <w:color w:val="auto"/>
                      <w:lang w:val="en-US"/>
                    </w:rPr>
                    <w:t>6182</w:t>
                  </w:r>
                  <w:r>
                    <w:rPr>
                      <w:rFonts w:hint="eastAsia"/>
                      <w:color w:val="auto"/>
                      <w:lang w:val="en-US"/>
                    </w:rPr>
                    <w:t>（无量纲）</w:t>
                  </w:r>
                </w:p>
              </w:tc>
              <w:tc>
                <w:tcPr>
                  <w:tcW w:w="728" w:type="dxa"/>
                  <w:vMerge w:val="continue"/>
                  <w:vAlign w:val="center"/>
                </w:tcPr>
                <w:p>
                  <w:pPr>
                    <w:pStyle w:val="68"/>
                    <w:rPr>
                      <w:b/>
                      <w:bCs/>
                      <w:color w:val="auto"/>
                    </w:rPr>
                  </w:pPr>
                </w:p>
              </w:tc>
              <w:tc>
                <w:tcPr>
                  <w:tcW w:w="896" w:type="dxa"/>
                  <w:vMerge w:val="continue"/>
                  <w:vAlign w:val="center"/>
                </w:tcPr>
                <w:p>
                  <w:pPr>
                    <w:pStyle w:val="68"/>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0" w:type="dxa"/>
                  <w:vAlign w:val="center"/>
                </w:tcPr>
                <w:p>
                  <w:pPr>
                    <w:pStyle w:val="68"/>
                    <w:rPr>
                      <w:color w:val="auto"/>
                    </w:rPr>
                  </w:pPr>
                  <w:r>
                    <w:rPr>
                      <w:rFonts w:hint="eastAsia"/>
                      <w:color w:val="auto"/>
                    </w:rPr>
                    <w:t>4</w:t>
                  </w:r>
                </w:p>
              </w:tc>
              <w:tc>
                <w:tcPr>
                  <w:tcW w:w="1071" w:type="dxa"/>
                  <w:vMerge w:val="restart"/>
                  <w:vAlign w:val="center"/>
                </w:tcPr>
                <w:p>
                  <w:pPr>
                    <w:pStyle w:val="68"/>
                    <w:rPr>
                      <w:color w:val="auto"/>
                    </w:rPr>
                  </w:pPr>
                  <w:r>
                    <w:rPr>
                      <w:rFonts w:hint="eastAsia"/>
                      <w:color w:val="auto"/>
                    </w:rPr>
                    <w:t>排气筒</w:t>
                  </w:r>
                </w:p>
                <w:p>
                  <w:pPr>
                    <w:pStyle w:val="68"/>
                    <w:rPr>
                      <w:b/>
                      <w:bCs/>
                      <w:color w:val="auto"/>
                    </w:rPr>
                  </w:pPr>
                  <w:r>
                    <w:rPr>
                      <w:rFonts w:hint="eastAsia"/>
                      <w:color w:val="auto"/>
                      <w:lang w:eastAsia="zh-CN"/>
                    </w:rPr>
                    <w:t>(</w:t>
                  </w:r>
                  <w:r>
                    <w:rPr>
                      <w:rFonts w:hint="eastAsia"/>
                      <w:color w:val="auto"/>
                    </w:rPr>
                    <w:t>DA002</w:t>
                  </w:r>
                  <w:r>
                    <w:rPr>
                      <w:rFonts w:hint="eastAsia"/>
                      <w:color w:val="auto"/>
                      <w:lang w:eastAsia="zh-CN"/>
                    </w:rPr>
                    <w:t>)</w:t>
                  </w:r>
                </w:p>
              </w:tc>
              <w:tc>
                <w:tcPr>
                  <w:tcW w:w="1081" w:type="dxa"/>
                  <w:vAlign w:val="center"/>
                </w:tcPr>
                <w:p>
                  <w:pPr>
                    <w:pStyle w:val="68"/>
                    <w:rPr>
                      <w:color w:val="auto"/>
                    </w:rPr>
                  </w:pPr>
                  <w:r>
                    <w:rPr>
                      <w:color w:val="auto"/>
                    </w:rPr>
                    <w:t>烟尘</w:t>
                  </w:r>
                </w:p>
              </w:tc>
              <w:tc>
                <w:tcPr>
                  <w:tcW w:w="912" w:type="dxa"/>
                  <w:vMerge w:val="continue"/>
                  <w:vAlign w:val="center"/>
                </w:tcPr>
                <w:p>
                  <w:pPr>
                    <w:pStyle w:val="68"/>
                    <w:rPr>
                      <w:b/>
                      <w:bCs/>
                      <w:color w:val="auto"/>
                    </w:rPr>
                  </w:pPr>
                </w:p>
              </w:tc>
              <w:tc>
                <w:tcPr>
                  <w:tcW w:w="1302" w:type="dxa"/>
                  <w:vAlign w:val="center"/>
                </w:tcPr>
                <w:p>
                  <w:pPr>
                    <w:pStyle w:val="68"/>
                    <w:ind w:firstLine="0" w:firstLineChars="0"/>
                    <w:rPr>
                      <w:color w:val="auto"/>
                    </w:rPr>
                  </w:pPr>
                  <w:r>
                    <w:rPr>
                      <w:rFonts w:hint="eastAsia"/>
                      <w:color w:val="auto"/>
                      <w:lang w:val="en-US" w:eastAsia="zh-CN"/>
                    </w:rPr>
                    <w:t>80.063</w:t>
                  </w:r>
                </w:p>
              </w:tc>
              <w:tc>
                <w:tcPr>
                  <w:tcW w:w="1202" w:type="dxa"/>
                  <w:vAlign w:val="center"/>
                </w:tcPr>
                <w:p>
                  <w:pPr>
                    <w:pStyle w:val="68"/>
                    <w:ind w:firstLine="0" w:firstLineChars="0"/>
                    <w:rPr>
                      <w:color w:val="auto"/>
                    </w:rPr>
                  </w:pPr>
                  <w:r>
                    <w:rPr>
                      <w:rFonts w:hint="eastAsia"/>
                      <w:color w:val="auto"/>
                      <w:lang w:val="en-US" w:eastAsia="zh-CN"/>
                    </w:rPr>
                    <w:t>0.204</w:t>
                  </w:r>
                </w:p>
              </w:tc>
              <w:tc>
                <w:tcPr>
                  <w:tcW w:w="728" w:type="dxa"/>
                  <w:vMerge w:val="continue"/>
                  <w:vAlign w:val="center"/>
                </w:tcPr>
                <w:p>
                  <w:pPr>
                    <w:pStyle w:val="68"/>
                    <w:rPr>
                      <w:b/>
                      <w:bCs/>
                      <w:color w:val="auto"/>
                    </w:rPr>
                  </w:pPr>
                </w:p>
              </w:tc>
              <w:tc>
                <w:tcPr>
                  <w:tcW w:w="896" w:type="dxa"/>
                  <w:vMerge w:val="continue"/>
                  <w:vAlign w:val="center"/>
                </w:tcPr>
                <w:p>
                  <w:pPr>
                    <w:pStyle w:val="68"/>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68"/>
                    <w:rPr>
                      <w:color w:val="auto"/>
                    </w:rPr>
                  </w:pPr>
                  <w:r>
                    <w:rPr>
                      <w:rFonts w:hint="eastAsia"/>
                      <w:color w:val="auto"/>
                    </w:rPr>
                    <w:t>5</w:t>
                  </w:r>
                </w:p>
              </w:tc>
              <w:tc>
                <w:tcPr>
                  <w:tcW w:w="1071" w:type="dxa"/>
                  <w:vMerge w:val="continue"/>
                  <w:vAlign w:val="center"/>
                </w:tcPr>
                <w:p>
                  <w:pPr>
                    <w:pStyle w:val="68"/>
                    <w:rPr>
                      <w:b/>
                      <w:bCs/>
                      <w:color w:val="auto"/>
                    </w:rPr>
                  </w:pPr>
                </w:p>
              </w:tc>
              <w:tc>
                <w:tcPr>
                  <w:tcW w:w="1081" w:type="dxa"/>
                  <w:vAlign w:val="center"/>
                </w:tcPr>
                <w:p>
                  <w:pPr>
                    <w:pStyle w:val="68"/>
                    <w:rPr>
                      <w:color w:val="auto"/>
                    </w:rPr>
                  </w:pPr>
                  <w:r>
                    <w:rPr>
                      <w:color w:val="auto"/>
                    </w:rPr>
                    <w:t>SO</w:t>
                  </w:r>
                  <w:r>
                    <w:rPr>
                      <w:color w:val="auto"/>
                      <w:vertAlign w:val="subscript"/>
                    </w:rPr>
                    <w:t>2</w:t>
                  </w:r>
                </w:p>
              </w:tc>
              <w:tc>
                <w:tcPr>
                  <w:tcW w:w="912" w:type="dxa"/>
                  <w:vMerge w:val="continue"/>
                  <w:vAlign w:val="center"/>
                </w:tcPr>
                <w:p>
                  <w:pPr>
                    <w:pStyle w:val="68"/>
                    <w:rPr>
                      <w:b/>
                      <w:bCs/>
                      <w:color w:val="auto"/>
                    </w:rPr>
                  </w:pPr>
                </w:p>
              </w:tc>
              <w:tc>
                <w:tcPr>
                  <w:tcW w:w="1302" w:type="dxa"/>
                  <w:vAlign w:val="center"/>
                </w:tcPr>
                <w:p>
                  <w:pPr>
                    <w:pStyle w:val="68"/>
                    <w:ind w:firstLine="0" w:firstLineChars="0"/>
                    <w:rPr>
                      <w:color w:val="auto"/>
                    </w:rPr>
                  </w:pPr>
                  <w:r>
                    <w:rPr>
                      <w:rFonts w:hint="eastAsia"/>
                      <w:color w:val="auto"/>
                      <w:lang w:val="en-US" w:eastAsia="zh-CN"/>
                    </w:rPr>
                    <w:t>89.874</w:t>
                  </w:r>
                </w:p>
              </w:tc>
              <w:tc>
                <w:tcPr>
                  <w:tcW w:w="1202" w:type="dxa"/>
                  <w:vAlign w:val="center"/>
                </w:tcPr>
                <w:p>
                  <w:pPr>
                    <w:pStyle w:val="68"/>
                    <w:ind w:firstLine="0" w:firstLineChars="0"/>
                    <w:rPr>
                      <w:color w:val="auto"/>
                    </w:rPr>
                  </w:pPr>
                  <w:r>
                    <w:rPr>
                      <w:rFonts w:hint="eastAsia"/>
                      <w:color w:val="auto"/>
                      <w:lang w:val="en-US" w:eastAsia="zh-CN"/>
                    </w:rPr>
                    <w:t>0.229</w:t>
                  </w:r>
                </w:p>
              </w:tc>
              <w:tc>
                <w:tcPr>
                  <w:tcW w:w="728" w:type="dxa"/>
                  <w:vMerge w:val="continue"/>
                  <w:vAlign w:val="center"/>
                </w:tcPr>
                <w:p>
                  <w:pPr>
                    <w:pStyle w:val="68"/>
                    <w:rPr>
                      <w:b/>
                      <w:bCs/>
                      <w:color w:val="auto"/>
                    </w:rPr>
                  </w:pPr>
                </w:p>
              </w:tc>
              <w:tc>
                <w:tcPr>
                  <w:tcW w:w="896" w:type="dxa"/>
                  <w:vMerge w:val="continue"/>
                  <w:vAlign w:val="center"/>
                </w:tcPr>
                <w:p>
                  <w:pPr>
                    <w:pStyle w:val="68"/>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68"/>
                    <w:rPr>
                      <w:color w:val="auto"/>
                    </w:rPr>
                  </w:pPr>
                  <w:r>
                    <w:rPr>
                      <w:rFonts w:hint="eastAsia"/>
                      <w:color w:val="auto"/>
                    </w:rPr>
                    <w:t>6</w:t>
                  </w:r>
                </w:p>
              </w:tc>
              <w:tc>
                <w:tcPr>
                  <w:tcW w:w="1071" w:type="dxa"/>
                  <w:vMerge w:val="continue"/>
                  <w:vAlign w:val="center"/>
                </w:tcPr>
                <w:p>
                  <w:pPr>
                    <w:pStyle w:val="68"/>
                    <w:rPr>
                      <w:b/>
                      <w:bCs/>
                      <w:color w:val="auto"/>
                    </w:rPr>
                  </w:pPr>
                </w:p>
              </w:tc>
              <w:tc>
                <w:tcPr>
                  <w:tcW w:w="1081" w:type="dxa"/>
                  <w:vAlign w:val="center"/>
                </w:tcPr>
                <w:p>
                  <w:pPr>
                    <w:pStyle w:val="68"/>
                    <w:rPr>
                      <w:color w:val="auto"/>
                    </w:rPr>
                  </w:pPr>
                  <w:r>
                    <w:rPr>
                      <w:color w:val="auto"/>
                    </w:rPr>
                    <w:t>NOx</w:t>
                  </w:r>
                </w:p>
              </w:tc>
              <w:tc>
                <w:tcPr>
                  <w:tcW w:w="912" w:type="dxa"/>
                  <w:vMerge w:val="continue"/>
                  <w:vAlign w:val="center"/>
                </w:tcPr>
                <w:p>
                  <w:pPr>
                    <w:pStyle w:val="68"/>
                    <w:rPr>
                      <w:b/>
                      <w:bCs/>
                      <w:color w:val="auto"/>
                    </w:rPr>
                  </w:pPr>
                </w:p>
              </w:tc>
              <w:tc>
                <w:tcPr>
                  <w:tcW w:w="1302" w:type="dxa"/>
                  <w:vAlign w:val="center"/>
                </w:tcPr>
                <w:p>
                  <w:pPr>
                    <w:pStyle w:val="68"/>
                    <w:ind w:firstLine="0" w:firstLineChars="0"/>
                    <w:rPr>
                      <w:color w:val="auto"/>
                    </w:rPr>
                  </w:pPr>
                  <w:r>
                    <w:rPr>
                      <w:rFonts w:hint="eastAsia"/>
                      <w:color w:val="auto"/>
                      <w:lang w:val="en-US" w:eastAsia="zh-CN"/>
                    </w:rPr>
                    <w:t>163.658</w:t>
                  </w:r>
                </w:p>
              </w:tc>
              <w:tc>
                <w:tcPr>
                  <w:tcW w:w="1202" w:type="dxa"/>
                  <w:vAlign w:val="center"/>
                </w:tcPr>
                <w:p>
                  <w:pPr>
                    <w:pStyle w:val="68"/>
                    <w:ind w:firstLine="0" w:firstLineChars="0"/>
                    <w:rPr>
                      <w:color w:val="auto"/>
                    </w:rPr>
                  </w:pPr>
                  <w:r>
                    <w:rPr>
                      <w:rFonts w:hint="eastAsia"/>
                      <w:color w:val="auto"/>
                      <w:lang w:val="en-US" w:eastAsia="zh-CN"/>
                    </w:rPr>
                    <w:t>0.417</w:t>
                  </w:r>
                </w:p>
              </w:tc>
              <w:tc>
                <w:tcPr>
                  <w:tcW w:w="728" w:type="dxa"/>
                  <w:vMerge w:val="continue"/>
                  <w:vAlign w:val="center"/>
                </w:tcPr>
                <w:p>
                  <w:pPr>
                    <w:pStyle w:val="68"/>
                    <w:rPr>
                      <w:b/>
                      <w:bCs/>
                      <w:color w:val="auto"/>
                    </w:rPr>
                  </w:pPr>
                </w:p>
              </w:tc>
              <w:tc>
                <w:tcPr>
                  <w:tcW w:w="896" w:type="dxa"/>
                  <w:vMerge w:val="continue"/>
                  <w:vAlign w:val="center"/>
                </w:tcPr>
                <w:p>
                  <w:pPr>
                    <w:pStyle w:val="68"/>
                    <w:rPr>
                      <w:b/>
                      <w:bCs/>
                      <w:color w:val="auto"/>
                    </w:rPr>
                  </w:pPr>
                </w:p>
              </w:tc>
            </w:tr>
          </w:tbl>
          <w:p>
            <w:pPr>
              <w:pStyle w:val="75"/>
              <w:rPr>
                <w:color w:val="auto"/>
              </w:rPr>
            </w:pPr>
            <w:r>
              <w:rPr>
                <w:rFonts w:hint="eastAsia"/>
                <w:color w:val="auto"/>
              </w:rPr>
              <w:t>4.2.1.</w:t>
            </w:r>
            <w:r>
              <w:rPr>
                <w:color w:val="auto"/>
              </w:rPr>
              <w:t>6</w:t>
            </w:r>
            <w:r>
              <w:rPr>
                <w:rFonts w:hint="eastAsia"/>
                <w:color w:val="auto"/>
              </w:rPr>
              <w:t>废气治理措施及可行性分析</w:t>
            </w:r>
          </w:p>
          <w:p>
            <w:pPr>
              <w:pStyle w:val="84"/>
              <w:ind w:firstLine="482"/>
              <w:rPr>
                <w:color w:val="auto"/>
              </w:rPr>
            </w:pPr>
            <w:r>
              <w:rPr>
                <w:color w:val="auto"/>
              </w:rPr>
              <w:t>1</w:t>
            </w:r>
            <w:r>
              <w:rPr>
                <w:rFonts w:hint="eastAsia"/>
                <w:color w:val="auto"/>
              </w:rPr>
              <w:t>.餐</w:t>
            </w:r>
            <w:r>
              <w:rPr>
                <w:rFonts w:hint="eastAsia"/>
                <w:color w:val="auto"/>
                <w:shd w:val="clear" w:fill="FFFFFF"/>
              </w:rPr>
              <w:t>厨</w:t>
            </w:r>
            <w:r>
              <w:rPr>
                <w:rFonts w:hint="eastAsia"/>
                <w:color w:val="auto"/>
              </w:rPr>
              <w:t>废气治理</w:t>
            </w:r>
            <w:r>
              <w:rPr>
                <w:color w:val="auto"/>
              </w:rPr>
              <w:t>措施可行性分析</w:t>
            </w:r>
          </w:p>
          <w:p>
            <w:pPr>
              <w:ind w:firstLine="480"/>
              <w:rPr>
                <w:color w:val="auto"/>
              </w:rPr>
            </w:pPr>
            <w:r>
              <w:rPr>
                <w:rFonts w:hint="eastAsia"/>
                <w:color w:val="auto"/>
              </w:rPr>
              <w:t>项目餐厨垃圾处置车间产生的恶臭污染物采用以下措施：</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处置车间设置为全封闭式车间，只留车辆进出口，车辆进出口设置自动卷帘门，除车辆进出外，其余时间均关闭卷帘门。</w:t>
            </w:r>
          </w:p>
          <w:p>
            <w:pPr>
              <w:ind w:firstLine="480"/>
              <w:rPr>
                <w:rFonts w:hint="eastAsia"/>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车间废气</w:t>
            </w:r>
            <w:r>
              <w:rPr>
                <w:rFonts w:hint="eastAsia"/>
                <w:color w:val="auto"/>
                <w:lang w:eastAsia="zh-CN"/>
              </w:rPr>
              <w:t>（</w:t>
            </w:r>
            <w:r>
              <w:rPr>
                <w:rFonts w:hint="eastAsia"/>
                <w:color w:val="auto"/>
                <w:lang w:val="en-US" w:eastAsia="zh-CN"/>
              </w:rPr>
              <w:t>进料口设置于全密闭车间内</w:t>
            </w:r>
            <w:r>
              <w:rPr>
                <w:rFonts w:hint="eastAsia"/>
                <w:color w:val="auto"/>
                <w:lang w:eastAsia="zh-CN"/>
              </w:rPr>
              <w:t>）</w:t>
            </w:r>
            <w:r>
              <w:rPr>
                <w:rFonts w:hint="eastAsia"/>
                <w:color w:val="auto"/>
              </w:rPr>
              <w:t>通过微负压集气罩收集，送入除臭系统进行处置，微负压风机气量6</w:t>
            </w:r>
            <w:r>
              <w:rPr>
                <w:color w:val="auto"/>
              </w:rPr>
              <w:t>000</w:t>
            </w:r>
            <w:r>
              <w:rPr>
                <w:rFonts w:hint="eastAsia"/>
                <w:color w:val="auto"/>
              </w:rPr>
              <w:t>m³</w:t>
            </w:r>
            <w:r>
              <w:rPr>
                <w:color w:val="auto"/>
              </w:rPr>
              <w:t>/</w:t>
            </w:r>
            <w:r>
              <w:rPr>
                <w:rFonts w:hint="eastAsia"/>
                <w:color w:val="auto"/>
              </w:rPr>
              <w:t>h，除臭采用生物洗涤工艺，恶臭经处置后通过1</w:t>
            </w:r>
            <w:r>
              <w:rPr>
                <w:color w:val="auto"/>
              </w:rPr>
              <w:t>5</w:t>
            </w:r>
            <w:r>
              <w:rPr>
                <w:rFonts w:hint="eastAsia"/>
                <w:color w:val="auto"/>
              </w:rPr>
              <w:t>m高排气筒</w:t>
            </w:r>
            <w:r>
              <w:rPr>
                <w:rFonts w:hint="eastAsia"/>
                <w:color w:val="auto"/>
                <w:lang w:eastAsia="zh-CN"/>
              </w:rPr>
              <w:t>（</w:t>
            </w:r>
            <w:r>
              <w:rPr>
                <w:rFonts w:hint="eastAsia"/>
                <w:color w:val="auto"/>
                <w:lang w:val="en-US" w:eastAsia="zh-CN"/>
              </w:rPr>
              <w:t>编号：</w:t>
            </w:r>
            <w:r>
              <w:rPr>
                <w:rFonts w:hint="eastAsia"/>
                <w:color w:val="auto"/>
              </w:rPr>
              <w:t>D</w:t>
            </w:r>
            <w:r>
              <w:rPr>
                <w:color w:val="auto"/>
              </w:rPr>
              <w:t>A001</w:t>
            </w:r>
            <w:r>
              <w:rPr>
                <w:rFonts w:hint="eastAsia"/>
                <w:color w:val="auto"/>
                <w:lang w:eastAsia="zh-CN"/>
              </w:rPr>
              <w:t>）</w:t>
            </w:r>
            <w:r>
              <w:rPr>
                <w:rFonts w:hint="eastAsia"/>
                <w:color w:val="auto"/>
              </w:rPr>
              <w:t>排放。</w:t>
            </w:r>
          </w:p>
          <w:p>
            <w:pPr>
              <w:ind w:firstLine="480"/>
              <w:rPr>
                <w:rFonts w:hint="default"/>
                <w:color w:val="auto"/>
                <w:lang w:val="en-US" w:eastAsia="zh-CN"/>
              </w:rPr>
            </w:pPr>
            <w:r>
              <w:rPr>
                <w:rFonts w:hint="default"/>
                <w:color w:val="auto"/>
                <w:lang w:val="en-US" w:eastAsia="zh-CN"/>
              </w:rPr>
              <w:t>③</w:t>
            </w:r>
            <w:r>
              <w:rPr>
                <w:rFonts w:hint="eastAsia"/>
                <w:color w:val="auto"/>
                <w:lang w:val="en-US" w:eastAsia="zh-CN"/>
              </w:rPr>
              <w:t>有机肥暂存于密闭车间内，定期喷洒除臭剂。</w:t>
            </w:r>
          </w:p>
          <w:p>
            <w:pPr>
              <w:ind w:firstLine="480"/>
              <w:rPr>
                <w:color w:val="auto"/>
              </w:rPr>
            </w:pPr>
            <w:r>
              <w:rPr>
                <w:rFonts w:hint="eastAsia"/>
                <w:color w:val="auto"/>
              </w:rPr>
              <w:t>根据《排污许可证申请与核发技术规范 环境卫生管理业》（HJ 1106-2020）中的废气治理可行技术参考表，项目废气治理设施属于可行技术。</w:t>
            </w:r>
          </w:p>
          <w:p>
            <w:pPr>
              <w:pStyle w:val="71"/>
              <w:rPr>
                <w:color w:val="auto"/>
              </w:rPr>
            </w:pPr>
            <w:r>
              <w:rPr>
                <w:rFonts w:hint="eastAsia"/>
                <w:color w:val="auto"/>
              </w:rPr>
              <w:t>表4.2</w:t>
            </w:r>
            <w:r>
              <w:rPr>
                <w:color w:val="auto"/>
              </w:rPr>
              <w:t>-</w:t>
            </w:r>
            <w:r>
              <w:rPr>
                <w:rFonts w:hint="eastAsia"/>
                <w:color w:val="auto"/>
                <w:lang w:val="en-US" w:eastAsia="zh-CN"/>
              </w:rPr>
              <w:t xml:space="preserve">13 </w:t>
            </w:r>
            <w:r>
              <w:rPr>
                <w:rFonts w:hint="eastAsia"/>
                <w:color w:val="auto"/>
              </w:rPr>
              <w:t xml:space="preserve"> 环境卫生管理业排污单位废气治理可行技术参考表（节选）</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1417"/>
              <w:gridCol w:w="2470"/>
              <w:gridCol w:w="1247"/>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8" w:type="dxa"/>
                  <w:gridSpan w:val="3"/>
                  <w:vAlign w:val="center"/>
                </w:tcPr>
                <w:p>
                  <w:pPr>
                    <w:pStyle w:val="68"/>
                    <w:rPr>
                      <w:b/>
                      <w:bCs/>
                      <w:color w:val="auto"/>
                    </w:rPr>
                  </w:pPr>
                  <w:r>
                    <w:rPr>
                      <w:rFonts w:hint="eastAsia"/>
                      <w:b/>
                      <w:bCs/>
                      <w:color w:val="auto"/>
                    </w:rPr>
                    <w:t>可行技术</w:t>
                  </w:r>
                </w:p>
              </w:tc>
              <w:tc>
                <w:tcPr>
                  <w:tcW w:w="2395" w:type="dxa"/>
                  <w:gridSpan w:val="2"/>
                  <w:vAlign w:val="center"/>
                </w:tcPr>
                <w:p>
                  <w:pPr>
                    <w:pStyle w:val="68"/>
                    <w:rPr>
                      <w:b/>
                      <w:bCs/>
                      <w:color w:val="auto"/>
                    </w:rPr>
                  </w:pPr>
                  <w:r>
                    <w:rPr>
                      <w:rFonts w:hint="eastAsia"/>
                      <w:b/>
                      <w:bCs/>
                      <w:color w:val="auto"/>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vAlign w:val="center"/>
                </w:tcPr>
                <w:p>
                  <w:pPr>
                    <w:pStyle w:val="68"/>
                    <w:rPr>
                      <w:b/>
                      <w:bCs/>
                      <w:color w:val="auto"/>
                    </w:rPr>
                  </w:pPr>
                  <w:r>
                    <w:rPr>
                      <w:rFonts w:hint="eastAsia"/>
                      <w:b/>
                      <w:bCs/>
                      <w:color w:val="auto"/>
                    </w:rPr>
                    <w:t>主要</w:t>
                  </w:r>
                  <w:r>
                    <w:rPr>
                      <w:rFonts w:hint="eastAsia"/>
                      <w:b/>
                      <w:bCs/>
                      <w:color w:val="auto"/>
                      <w:shd w:val="clear" w:fill="FFFFFF"/>
                    </w:rPr>
                    <w:t>产生</w:t>
                  </w:r>
                  <w:r>
                    <w:rPr>
                      <w:rFonts w:hint="eastAsia"/>
                      <w:b/>
                      <w:bCs/>
                      <w:color w:val="auto"/>
                    </w:rPr>
                    <w:t>单元</w:t>
                  </w:r>
                </w:p>
              </w:tc>
              <w:tc>
                <w:tcPr>
                  <w:tcW w:w="1417" w:type="dxa"/>
                  <w:vAlign w:val="center"/>
                </w:tcPr>
                <w:p>
                  <w:pPr>
                    <w:pStyle w:val="68"/>
                    <w:rPr>
                      <w:b/>
                      <w:bCs/>
                      <w:color w:val="auto"/>
                    </w:rPr>
                  </w:pPr>
                  <w:r>
                    <w:rPr>
                      <w:rFonts w:hint="eastAsia"/>
                      <w:b/>
                      <w:bCs/>
                      <w:color w:val="auto"/>
                      <w:shd w:val="clear" w:fill="FFFFFF"/>
                    </w:rPr>
                    <w:t>产</w:t>
                  </w:r>
                  <w:r>
                    <w:rPr>
                      <w:rFonts w:hint="eastAsia"/>
                      <w:b/>
                      <w:bCs/>
                      <w:color w:val="auto"/>
                    </w:rPr>
                    <w:t>排污环节</w:t>
                  </w:r>
                </w:p>
              </w:tc>
              <w:tc>
                <w:tcPr>
                  <w:tcW w:w="2470" w:type="dxa"/>
                  <w:vAlign w:val="center"/>
                </w:tcPr>
                <w:p>
                  <w:pPr>
                    <w:pStyle w:val="68"/>
                    <w:rPr>
                      <w:b/>
                      <w:bCs/>
                      <w:color w:val="auto"/>
                    </w:rPr>
                  </w:pPr>
                  <w:r>
                    <w:rPr>
                      <w:rFonts w:hint="eastAsia"/>
                      <w:b/>
                      <w:bCs/>
                      <w:color w:val="auto"/>
                    </w:rPr>
                    <w:t>可行技术（参考）</w:t>
                  </w:r>
                </w:p>
              </w:tc>
              <w:tc>
                <w:tcPr>
                  <w:tcW w:w="1247" w:type="dxa"/>
                  <w:vAlign w:val="center"/>
                </w:tcPr>
                <w:p>
                  <w:pPr>
                    <w:pStyle w:val="68"/>
                    <w:rPr>
                      <w:b/>
                      <w:bCs/>
                      <w:color w:val="auto"/>
                    </w:rPr>
                  </w:pPr>
                  <w:r>
                    <w:rPr>
                      <w:rFonts w:hint="eastAsia"/>
                      <w:b/>
                      <w:bCs/>
                      <w:color w:val="auto"/>
                    </w:rPr>
                    <w:t>废气治理工艺</w:t>
                  </w:r>
                </w:p>
              </w:tc>
              <w:tc>
                <w:tcPr>
                  <w:tcW w:w="1148" w:type="dxa"/>
                  <w:vAlign w:val="center"/>
                </w:tcPr>
                <w:p>
                  <w:pPr>
                    <w:pStyle w:val="68"/>
                    <w:rPr>
                      <w:b/>
                      <w:bCs/>
                      <w:color w:val="auto"/>
                    </w:rPr>
                  </w:pPr>
                  <w:r>
                    <w:rPr>
                      <w:rFonts w:hint="eastAsia"/>
                      <w:b/>
                      <w:bCs/>
                      <w:color w:val="auto"/>
                    </w:rPr>
                    <w:t>是否可行技术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vAlign w:val="center"/>
                </w:tcPr>
                <w:p>
                  <w:pPr>
                    <w:pStyle w:val="68"/>
                    <w:rPr>
                      <w:color w:val="auto"/>
                    </w:rPr>
                  </w:pPr>
                  <w:r>
                    <w:rPr>
                      <w:rFonts w:hint="eastAsia"/>
                      <w:color w:val="auto"/>
                    </w:rPr>
                    <w:t>接收单元</w:t>
                  </w:r>
                </w:p>
              </w:tc>
              <w:tc>
                <w:tcPr>
                  <w:tcW w:w="1417" w:type="dxa"/>
                  <w:vAlign w:val="center"/>
                </w:tcPr>
                <w:p>
                  <w:pPr>
                    <w:pStyle w:val="68"/>
                    <w:rPr>
                      <w:color w:val="auto"/>
                    </w:rPr>
                  </w:pPr>
                  <w:r>
                    <w:rPr>
                      <w:rFonts w:hint="eastAsia"/>
                      <w:color w:val="auto"/>
                    </w:rPr>
                    <w:t>卸料</w:t>
                  </w:r>
                </w:p>
              </w:tc>
              <w:tc>
                <w:tcPr>
                  <w:tcW w:w="2470" w:type="dxa"/>
                  <w:vAlign w:val="center"/>
                </w:tcPr>
                <w:p>
                  <w:pPr>
                    <w:pStyle w:val="68"/>
                    <w:rPr>
                      <w:color w:val="auto"/>
                    </w:rPr>
                  </w:pPr>
                  <w:r>
                    <w:rPr>
                      <w:rFonts w:hint="eastAsia"/>
                      <w:color w:val="auto"/>
                    </w:rPr>
                    <w:t>生物过滤、化学洗涤、活性炭吸附</w:t>
                  </w:r>
                </w:p>
              </w:tc>
              <w:tc>
                <w:tcPr>
                  <w:tcW w:w="1247" w:type="dxa"/>
                  <w:vMerge w:val="restart"/>
                  <w:vAlign w:val="center"/>
                </w:tcPr>
                <w:p>
                  <w:pPr>
                    <w:pStyle w:val="68"/>
                    <w:rPr>
                      <w:color w:val="auto"/>
                      <w:lang w:eastAsia="zh-CN"/>
                    </w:rPr>
                  </w:pPr>
                  <w:r>
                    <w:rPr>
                      <w:rFonts w:hint="eastAsia"/>
                      <w:color w:val="auto"/>
                    </w:rPr>
                    <w:t>生物洗涤</w:t>
                  </w:r>
                </w:p>
              </w:tc>
              <w:tc>
                <w:tcPr>
                  <w:tcW w:w="1148" w:type="dxa"/>
                  <w:vAlign w:val="center"/>
                </w:tcPr>
                <w:p>
                  <w:pPr>
                    <w:pStyle w:val="68"/>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vAlign w:val="center"/>
                </w:tcPr>
                <w:p>
                  <w:pPr>
                    <w:pStyle w:val="68"/>
                    <w:rPr>
                      <w:color w:val="auto"/>
                    </w:rPr>
                  </w:pPr>
                  <w:r>
                    <w:rPr>
                      <w:rFonts w:hint="eastAsia"/>
                      <w:color w:val="auto"/>
                    </w:rPr>
                    <w:t>预处理</w:t>
                  </w:r>
                </w:p>
              </w:tc>
              <w:tc>
                <w:tcPr>
                  <w:tcW w:w="1417" w:type="dxa"/>
                  <w:vAlign w:val="center"/>
                </w:tcPr>
                <w:p>
                  <w:pPr>
                    <w:pStyle w:val="68"/>
                    <w:rPr>
                      <w:color w:val="auto"/>
                    </w:rPr>
                  </w:pPr>
                  <w:r>
                    <w:rPr>
                      <w:rFonts w:hint="eastAsia"/>
                      <w:color w:val="auto"/>
                    </w:rPr>
                    <w:t>破碎、分选、压缩</w:t>
                  </w:r>
                </w:p>
              </w:tc>
              <w:tc>
                <w:tcPr>
                  <w:tcW w:w="2470" w:type="dxa"/>
                  <w:vAlign w:val="center"/>
                </w:tcPr>
                <w:p>
                  <w:pPr>
                    <w:pStyle w:val="68"/>
                    <w:rPr>
                      <w:color w:val="auto"/>
                    </w:rPr>
                  </w:pPr>
                  <w:r>
                    <w:rPr>
                      <w:rFonts w:hint="eastAsia"/>
                      <w:color w:val="auto"/>
                    </w:rPr>
                    <w:t>生物过滤、化学洗涤、活性炭吸附</w:t>
                  </w:r>
                </w:p>
              </w:tc>
              <w:tc>
                <w:tcPr>
                  <w:tcW w:w="1247" w:type="dxa"/>
                  <w:vMerge w:val="continue"/>
                  <w:vAlign w:val="center"/>
                </w:tcPr>
                <w:p>
                  <w:pPr>
                    <w:pStyle w:val="68"/>
                    <w:rPr>
                      <w:color w:val="auto"/>
                    </w:rPr>
                  </w:pPr>
                </w:p>
              </w:tc>
              <w:tc>
                <w:tcPr>
                  <w:tcW w:w="1148" w:type="dxa"/>
                  <w:vAlign w:val="center"/>
                </w:tcPr>
                <w:p>
                  <w:pPr>
                    <w:pStyle w:val="68"/>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vAlign w:val="center"/>
                </w:tcPr>
                <w:p>
                  <w:pPr>
                    <w:pStyle w:val="68"/>
                    <w:rPr>
                      <w:color w:val="auto"/>
                    </w:rPr>
                  </w:pPr>
                  <w:r>
                    <w:rPr>
                      <w:rFonts w:hint="eastAsia"/>
                      <w:color w:val="auto"/>
                      <w:lang w:eastAsia="zh-CN"/>
                    </w:rPr>
                    <w:t>餐厨废弃物油脂处理单元</w:t>
                  </w:r>
                </w:p>
              </w:tc>
              <w:tc>
                <w:tcPr>
                  <w:tcW w:w="1417" w:type="dxa"/>
                  <w:vAlign w:val="center"/>
                </w:tcPr>
                <w:p>
                  <w:pPr>
                    <w:pStyle w:val="68"/>
                    <w:rPr>
                      <w:color w:val="auto"/>
                    </w:rPr>
                  </w:pPr>
                  <w:r>
                    <w:rPr>
                      <w:rFonts w:hint="eastAsia"/>
                      <w:color w:val="auto"/>
                    </w:rPr>
                    <w:t>油水分离器、蒸馏塔</w:t>
                  </w:r>
                </w:p>
              </w:tc>
              <w:tc>
                <w:tcPr>
                  <w:tcW w:w="2470" w:type="dxa"/>
                  <w:vAlign w:val="center"/>
                </w:tcPr>
                <w:p>
                  <w:pPr>
                    <w:pStyle w:val="68"/>
                    <w:rPr>
                      <w:color w:val="auto"/>
                    </w:rPr>
                  </w:pPr>
                  <w:r>
                    <w:rPr>
                      <w:rFonts w:hint="eastAsia"/>
                      <w:color w:val="auto"/>
                    </w:rPr>
                    <w:t>生物过滤、化学洗涤、活性炭吸附</w:t>
                  </w:r>
                </w:p>
              </w:tc>
              <w:tc>
                <w:tcPr>
                  <w:tcW w:w="1247" w:type="dxa"/>
                  <w:vMerge w:val="continue"/>
                  <w:vAlign w:val="center"/>
                </w:tcPr>
                <w:p>
                  <w:pPr>
                    <w:pStyle w:val="68"/>
                    <w:rPr>
                      <w:color w:val="auto"/>
                    </w:rPr>
                  </w:pPr>
                </w:p>
              </w:tc>
              <w:tc>
                <w:tcPr>
                  <w:tcW w:w="1148" w:type="dxa"/>
                  <w:vAlign w:val="center"/>
                </w:tcPr>
                <w:p>
                  <w:pPr>
                    <w:pStyle w:val="68"/>
                    <w:rPr>
                      <w:color w:val="auto"/>
                    </w:rPr>
                  </w:pPr>
                  <w:r>
                    <w:rPr>
                      <w:rFonts w:hint="eastAsia"/>
                      <w:color w:val="auto"/>
                    </w:rPr>
                    <w:t>是</w:t>
                  </w:r>
                </w:p>
              </w:tc>
            </w:tr>
          </w:tbl>
          <w:p>
            <w:pPr>
              <w:ind w:firstLine="482"/>
              <w:rPr>
                <w:color w:val="auto"/>
              </w:rPr>
            </w:pPr>
            <w:r>
              <w:rPr>
                <w:rFonts w:hint="eastAsia"/>
                <w:b/>
                <w:color w:val="auto"/>
              </w:rPr>
              <w:t>废气处理工艺原理：</w:t>
            </w:r>
          </w:p>
          <w:p>
            <w:pPr>
              <w:ind w:firstLine="480"/>
              <w:rPr>
                <w:color w:val="auto"/>
              </w:rPr>
            </w:pPr>
            <w:r>
              <w:rPr>
                <w:color w:val="auto"/>
              </w:rPr>
              <w:t>生物洗涤塔由一个装有填料的洗涤器和一个具有活性污泥的生物反应器构成。洗涤器里的喷淋装置将循环液逆着气流喷洒</w:t>
            </w:r>
            <w:r>
              <w:rPr>
                <w:rFonts w:hint="eastAsia"/>
                <w:color w:val="auto"/>
              </w:rPr>
              <w:t>，</w:t>
            </w:r>
            <w:r>
              <w:rPr>
                <w:color w:val="auto"/>
              </w:rPr>
              <w:t>使废气中的污染物与填料表面的水接触</w:t>
            </w:r>
            <w:r>
              <w:rPr>
                <w:rFonts w:hint="eastAsia"/>
                <w:color w:val="auto"/>
              </w:rPr>
              <w:t>，</w:t>
            </w:r>
            <w:r>
              <w:rPr>
                <w:color w:val="auto"/>
              </w:rPr>
              <w:t>被水吸收而转入液相</w:t>
            </w:r>
            <w:r>
              <w:rPr>
                <w:rFonts w:hint="eastAsia"/>
                <w:color w:val="auto"/>
              </w:rPr>
              <w:t>，</w:t>
            </w:r>
            <w:r>
              <w:rPr>
                <w:color w:val="auto"/>
              </w:rPr>
              <w:t>从而实现质量传递过程。吸收了废气组分的洗涤液</w:t>
            </w:r>
            <w:r>
              <w:rPr>
                <w:rFonts w:hint="eastAsia"/>
                <w:color w:val="auto"/>
              </w:rPr>
              <w:t>，</w:t>
            </w:r>
            <w:r>
              <w:rPr>
                <w:color w:val="auto"/>
              </w:rPr>
              <w:t>流入活性污泥池中</w:t>
            </w:r>
            <w:r>
              <w:rPr>
                <w:rFonts w:hint="eastAsia"/>
                <w:color w:val="auto"/>
              </w:rPr>
              <w:t>，</w:t>
            </w:r>
            <w:r>
              <w:rPr>
                <w:color w:val="auto"/>
              </w:rPr>
              <w:t>通入空气充氧后再生</w:t>
            </w:r>
            <w:r>
              <w:rPr>
                <w:rFonts w:hint="eastAsia"/>
                <w:color w:val="auto"/>
              </w:rPr>
              <w:t>，</w:t>
            </w:r>
            <w:r>
              <w:rPr>
                <w:color w:val="auto"/>
              </w:rPr>
              <w:t>被吸收的气态污染物通过微生物氧化作用</w:t>
            </w:r>
            <w:r>
              <w:rPr>
                <w:rFonts w:hint="eastAsia"/>
                <w:color w:val="auto"/>
              </w:rPr>
              <w:t>，</w:t>
            </w:r>
            <w:r>
              <w:rPr>
                <w:color w:val="auto"/>
              </w:rPr>
              <w:t>被活性污泥悬浮液从液相中除去</w:t>
            </w:r>
            <w:r>
              <w:rPr>
                <w:rFonts w:hint="eastAsia"/>
                <w:color w:val="auto"/>
              </w:rPr>
              <w:t>，</w:t>
            </w:r>
            <w:r>
              <w:rPr>
                <w:color w:val="auto"/>
              </w:rPr>
              <w:t>生物洗涤塔工艺中的液相是流动的</w:t>
            </w:r>
            <w:r>
              <w:rPr>
                <w:rFonts w:hint="eastAsia"/>
                <w:color w:val="auto"/>
              </w:rPr>
              <w:t>，</w:t>
            </w:r>
            <w:r>
              <w:rPr>
                <w:color w:val="auto"/>
              </w:rPr>
              <w:t>这有利于控制反应条件</w:t>
            </w:r>
            <w:r>
              <w:rPr>
                <w:rFonts w:hint="eastAsia"/>
                <w:color w:val="auto"/>
              </w:rPr>
              <w:t>，</w:t>
            </w:r>
            <w:r>
              <w:rPr>
                <w:color w:val="auto"/>
              </w:rPr>
              <w:t>便于添加营养液、缓冲剂和更换液体</w:t>
            </w:r>
            <w:r>
              <w:rPr>
                <w:rFonts w:hint="eastAsia"/>
                <w:color w:val="auto"/>
              </w:rPr>
              <w:t>，</w:t>
            </w:r>
            <w:r>
              <w:rPr>
                <w:color w:val="auto"/>
              </w:rPr>
              <w:t>除去多余的产物。</w:t>
            </w:r>
          </w:p>
          <w:p>
            <w:pPr>
              <w:ind w:firstLine="480"/>
              <w:rPr>
                <w:color w:val="auto"/>
              </w:rPr>
            </w:pPr>
            <w:r>
              <w:rPr>
                <w:rFonts w:hint="eastAsia"/>
                <w:color w:val="auto"/>
              </w:rPr>
              <w:t>生物洗涤塔广泛应用于产生恶臭气体的行业，具有两个反应器，微生物悬浮于液体中，液相流动；设备紧凑，低压力损失，反应条件易于控制。只需定期更换废液，更换下来的废液送入本项目一体化污水处理站进行处置，项目区内不会造成二次污染。</w:t>
            </w:r>
          </w:p>
          <w:p>
            <w:pPr>
              <w:ind w:firstLine="480"/>
              <w:rPr>
                <w:color w:val="auto"/>
              </w:rPr>
            </w:pPr>
            <w:r>
              <w:rPr>
                <w:color w:val="auto"/>
              </w:rPr>
              <w:t>关于用除臭剂除去恶臭方法，在国内外已做了大量实验。归纳所用制剂大致可分为三类：物理除臭剂、化学除臭剂及生物除臭剂。物理除臭剂主要指一些掩蔽剂、吸附剂和酸制剂。掩蔽剂常用较浓的芳香气味掩盖臭味，吸附剂可吸收臭味，常用的有硫酸亚铁、沸石等，这些物质可以对臭气分子进行吸附，达到除臭的效果。化学除臭剂主要是氧化剂，常用氧化剂有过氧化氢、高锰酸钾。另外，臭氧也可用来控制臭味。生物除臭剂中主要指酶和活菌制剂。</w:t>
            </w:r>
          </w:p>
          <w:p>
            <w:pPr>
              <w:pStyle w:val="84"/>
              <w:ind w:firstLine="482"/>
              <w:rPr>
                <w:color w:val="auto"/>
              </w:rPr>
            </w:pPr>
            <w:r>
              <w:rPr>
                <w:rFonts w:hint="eastAsia"/>
                <w:color w:val="auto"/>
              </w:rPr>
              <w:t>2</w:t>
            </w:r>
            <w:r>
              <w:rPr>
                <w:color w:val="auto"/>
              </w:rPr>
              <w:t>.</w:t>
            </w:r>
            <w:r>
              <w:rPr>
                <w:rFonts w:hint="eastAsia"/>
                <w:color w:val="auto"/>
              </w:rPr>
              <w:t>锅炉废气</w:t>
            </w:r>
            <w:r>
              <w:rPr>
                <w:color w:val="auto"/>
              </w:rPr>
              <w:t>防治措施可行性分析</w:t>
            </w:r>
          </w:p>
          <w:p>
            <w:pPr>
              <w:ind w:firstLine="480"/>
              <w:rPr>
                <w:color w:val="auto"/>
              </w:rPr>
            </w:pPr>
            <w:r>
              <w:rPr>
                <w:color w:val="auto"/>
              </w:rPr>
              <w:t>本项目</w:t>
            </w:r>
            <w:r>
              <w:rPr>
                <w:rFonts w:hint="eastAsia"/>
                <w:color w:val="auto"/>
              </w:rPr>
              <w:t>锅炉</w:t>
            </w:r>
            <w:r>
              <w:rPr>
                <w:color w:val="auto"/>
              </w:rPr>
              <w:t>烟气处理措施为：使用管道连接至</w:t>
            </w:r>
            <w:r>
              <w:rPr>
                <w:rFonts w:hint="eastAsia"/>
                <w:color w:val="auto"/>
                <w:lang w:val="en-US" w:eastAsia="zh-CN"/>
              </w:rPr>
              <w:t>布袋除尘器</w:t>
            </w:r>
            <w:r>
              <w:rPr>
                <w:color w:val="auto"/>
              </w:rPr>
              <w:t>，</w:t>
            </w:r>
            <w:r>
              <w:rPr>
                <w:rFonts w:hint="eastAsia"/>
                <w:color w:val="auto"/>
                <w:lang w:val="en-US" w:eastAsia="zh-CN"/>
              </w:rPr>
              <w:t>布袋除尘器</w:t>
            </w:r>
            <w:r>
              <w:rPr>
                <w:rFonts w:hint="eastAsia" w:ascii="宋体" w:hAnsi="宋体" w:eastAsia="宋体" w:cs="宋体"/>
                <w:color w:val="auto"/>
                <w:kern w:val="0"/>
                <w:sz w:val="24"/>
                <w:szCs w:val="24"/>
                <w:lang w:val="en-US" w:eastAsia="zh-CN" w:bidi="ar"/>
              </w:rPr>
              <w:t>是一种干式除尘装置，它适用于捕集细小、干燥的非纤维性粉尘。滤袋多采用纺织的滤布或非纺织的毡制成，利用纤维织物的过滤作用对含尘气体进行过滤，当含尘气体进入布袋除尘器，颗粒大、比重大的粉尘，由于重力的作用沉降下来，落入灰斗，含有较细小粉尘的气体在通过滤料时，粉尘被阻留，使气体得到净化</w:t>
            </w:r>
            <w:r>
              <w:rPr>
                <w:rFonts w:hint="eastAsia"/>
                <w:color w:val="auto"/>
              </w:rPr>
              <w:t>，生物质锅炉燃烧室配备低氮燃烧器，通过低氮燃烧技术减少氮氧化物的排放量。</w:t>
            </w:r>
            <w:r>
              <w:rPr>
                <w:rFonts w:hint="eastAsia"/>
                <w:color w:val="auto"/>
                <w:lang w:val="en-US" w:eastAsia="zh-CN"/>
              </w:rPr>
              <w:t>布袋除尘器</w:t>
            </w:r>
            <w:r>
              <w:rPr>
                <w:rFonts w:hint="eastAsia"/>
                <w:color w:val="auto"/>
              </w:rPr>
              <w:t xml:space="preserve">、低氮燃烧器属于《排污许可证申请与核发技术规范 </w:t>
            </w:r>
            <w:r>
              <w:rPr>
                <w:rFonts w:hint="eastAsia"/>
                <w:color w:val="auto"/>
                <w:lang w:val="en-US" w:eastAsia="zh-CN"/>
              </w:rPr>
              <w:t>锅炉</w:t>
            </w:r>
            <w:r>
              <w:rPr>
                <w:rFonts w:hint="eastAsia"/>
                <w:color w:val="auto"/>
              </w:rPr>
              <w:t>》（HJ</w:t>
            </w:r>
            <w:r>
              <w:rPr>
                <w:rFonts w:hint="eastAsia"/>
                <w:color w:val="auto"/>
                <w:lang w:val="en-US" w:eastAsia="zh-CN"/>
              </w:rPr>
              <w:t>953-2018</w:t>
            </w:r>
            <w:r>
              <w:rPr>
                <w:rFonts w:hint="eastAsia"/>
                <w:color w:val="auto"/>
              </w:rPr>
              <w:t>）</w:t>
            </w:r>
            <w:r>
              <w:rPr>
                <w:rFonts w:hint="eastAsia"/>
                <w:color w:val="auto"/>
                <w:lang w:val="en-US" w:eastAsia="zh-CN"/>
              </w:rPr>
              <w:t>表3</w:t>
            </w:r>
            <w:r>
              <w:rPr>
                <w:rFonts w:hint="eastAsia"/>
                <w:color w:val="auto"/>
              </w:rPr>
              <w:t>中的废气治理可行技术</w:t>
            </w:r>
            <w:r>
              <w:rPr>
                <w:color w:val="auto"/>
              </w:rPr>
              <w:t>。</w:t>
            </w:r>
          </w:p>
          <w:p>
            <w:pPr>
              <w:pStyle w:val="71"/>
              <w:rPr>
                <w:color w:val="auto"/>
              </w:rPr>
            </w:pPr>
            <w:r>
              <w:rPr>
                <w:rFonts w:hint="eastAsia"/>
                <w:color w:val="auto"/>
              </w:rPr>
              <w:t>表4.2</w:t>
            </w:r>
            <w:r>
              <w:rPr>
                <w:color w:val="auto"/>
              </w:rPr>
              <w:t>-</w:t>
            </w:r>
            <w:r>
              <w:rPr>
                <w:rFonts w:hint="eastAsia"/>
                <w:color w:val="auto"/>
                <w:lang w:val="en-US" w:eastAsia="zh-CN"/>
              </w:rPr>
              <w:t xml:space="preserve">14  </w:t>
            </w:r>
            <w:r>
              <w:rPr>
                <w:rFonts w:hint="eastAsia"/>
                <w:color w:val="auto"/>
              </w:rPr>
              <w:t>锅炉排污单位废气产污环节名称、污染物项目、排放形式及污染防治设施一览表（节选）</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637"/>
              <w:gridCol w:w="717"/>
              <w:gridCol w:w="810"/>
              <w:gridCol w:w="2965"/>
              <w:gridCol w:w="1203"/>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12" w:type="dxa"/>
                  <w:gridSpan w:val="5"/>
                  <w:vAlign w:val="center"/>
                </w:tcPr>
                <w:p>
                  <w:pPr>
                    <w:pStyle w:val="68"/>
                    <w:rPr>
                      <w:rFonts w:hint="eastAsia"/>
                      <w:b/>
                      <w:bCs/>
                      <w:color w:val="auto"/>
                    </w:rPr>
                  </w:pPr>
                  <w:r>
                    <w:rPr>
                      <w:rFonts w:hint="eastAsia"/>
                      <w:b/>
                      <w:bCs/>
                      <w:color w:val="auto"/>
                    </w:rPr>
                    <w:t>可行技术</w:t>
                  </w:r>
                </w:p>
              </w:tc>
              <w:tc>
                <w:tcPr>
                  <w:tcW w:w="2029" w:type="dxa"/>
                  <w:gridSpan w:val="2"/>
                  <w:vAlign w:val="center"/>
                </w:tcPr>
                <w:p>
                  <w:pPr>
                    <w:pStyle w:val="68"/>
                    <w:rPr>
                      <w:b/>
                      <w:bCs/>
                      <w:color w:val="auto"/>
                    </w:rPr>
                  </w:pPr>
                  <w:r>
                    <w:rPr>
                      <w:rFonts w:hint="eastAsia"/>
                      <w:b/>
                      <w:bCs/>
                      <w:color w:val="auto"/>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pPr>
                    <w:pStyle w:val="68"/>
                    <w:rPr>
                      <w:b/>
                      <w:bCs/>
                      <w:color w:val="auto"/>
                    </w:rPr>
                  </w:pPr>
                  <w:r>
                    <w:rPr>
                      <w:rFonts w:hint="eastAsia"/>
                      <w:b/>
                      <w:bCs/>
                      <w:color w:val="auto"/>
                    </w:rPr>
                    <w:t>主要</w:t>
                  </w:r>
                  <w:r>
                    <w:rPr>
                      <w:rFonts w:hint="eastAsia"/>
                      <w:b/>
                      <w:bCs/>
                      <w:color w:val="auto"/>
                      <w:shd w:val="clear" w:fill="FFFFFF"/>
                    </w:rPr>
                    <w:t>产生</w:t>
                  </w:r>
                  <w:r>
                    <w:rPr>
                      <w:rFonts w:hint="eastAsia"/>
                      <w:b/>
                      <w:bCs/>
                      <w:color w:val="auto"/>
                    </w:rPr>
                    <w:t>单元</w:t>
                  </w:r>
                </w:p>
              </w:tc>
              <w:tc>
                <w:tcPr>
                  <w:tcW w:w="637" w:type="dxa"/>
                  <w:vAlign w:val="center"/>
                </w:tcPr>
                <w:p>
                  <w:pPr>
                    <w:pStyle w:val="68"/>
                    <w:rPr>
                      <w:rFonts w:hint="default" w:eastAsia="宋体"/>
                      <w:b/>
                      <w:bCs/>
                      <w:color w:val="auto"/>
                      <w:lang w:val="en-US" w:eastAsia="zh-CN"/>
                    </w:rPr>
                  </w:pPr>
                  <w:r>
                    <w:rPr>
                      <w:rFonts w:hint="eastAsia"/>
                      <w:b/>
                      <w:bCs/>
                      <w:color w:val="auto"/>
                      <w:lang w:val="en-US" w:eastAsia="zh-CN"/>
                    </w:rPr>
                    <w:t>生产设施</w:t>
                  </w:r>
                </w:p>
              </w:tc>
              <w:tc>
                <w:tcPr>
                  <w:tcW w:w="717" w:type="dxa"/>
                  <w:vAlign w:val="center"/>
                </w:tcPr>
                <w:p>
                  <w:pPr>
                    <w:pStyle w:val="68"/>
                    <w:rPr>
                      <w:b/>
                      <w:bCs/>
                      <w:color w:val="auto"/>
                    </w:rPr>
                  </w:pPr>
                  <w:r>
                    <w:rPr>
                      <w:rFonts w:hint="eastAsia"/>
                      <w:b/>
                      <w:bCs/>
                      <w:color w:val="auto"/>
                    </w:rPr>
                    <w:t>废气产污节点名称</w:t>
                  </w:r>
                </w:p>
              </w:tc>
              <w:tc>
                <w:tcPr>
                  <w:tcW w:w="810" w:type="dxa"/>
                  <w:vAlign w:val="center"/>
                </w:tcPr>
                <w:p>
                  <w:pPr>
                    <w:pStyle w:val="68"/>
                    <w:rPr>
                      <w:rFonts w:hint="default" w:eastAsia="宋体"/>
                      <w:b/>
                      <w:bCs/>
                      <w:color w:val="auto"/>
                      <w:lang w:val="en-US" w:eastAsia="zh-CN"/>
                    </w:rPr>
                  </w:pPr>
                  <w:r>
                    <w:rPr>
                      <w:rFonts w:hint="eastAsia"/>
                      <w:b/>
                      <w:bCs/>
                      <w:color w:val="auto"/>
                      <w:lang w:val="en-US" w:eastAsia="zh-CN"/>
                    </w:rPr>
                    <w:t>污染物项目</w:t>
                  </w:r>
                </w:p>
              </w:tc>
              <w:tc>
                <w:tcPr>
                  <w:tcW w:w="2965" w:type="dxa"/>
                  <w:vAlign w:val="center"/>
                </w:tcPr>
                <w:p>
                  <w:pPr>
                    <w:pStyle w:val="68"/>
                    <w:rPr>
                      <w:b/>
                      <w:bCs/>
                      <w:color w:val="auto"/>
                    </w:rPr>
                  </w:pPr>
                  <w:r>
                    <w:rPr>
                      <w:rFonts w:hint="eastAsia"/>
                      <w:b/>
                      <w:bCs/>
                      <w:color w:val="auto"/>
                    </w:rPr>
                    <w:t>可行技术（参考）</w:t>
                  </w:r>
                </w:p>
              </w:tc>
              <w:tc>
                <w:tcPr>
                  <w:tcW w:w="1203" w:type="dxa"/>
                  <w:vAlign w:val="center"/>
                </w:tcPr>
                <w:p>
                  <w:pPr>
                    <w:pStyle w:val="68"/>
                    <w:rPr>
                      <w:b/>
                      <w:bCs/>
                      <w:color w:val="auto"/>
                    </w:rPr>
                  </w:pPr>
                  <w:r>
                    <w:rPr>
                      <w:rFonts w:hint="eastAsia"/>
                      <w:b/>
                      <w:bCs/>
                      <w:color w:val="auto"/>
                    </w:rPr>
                    <w:t>废气治理工艺</w:t>
                  </w:r>
                </w:p>
              </w:tc>
              <w:tc>
                <w:tcPr>
                  <w:tcW w:w="826" w:type="dxa"/>
                  <w:vAlign w:val="center"/>
                </w:tcPr>
                <w:p>
                  <w:pPr>
                    <w:pStyle w:val="68"/>
                    <w:rPr>
                      <w:b/>
                      <w:bCs/>
                      <w:color w:val="auto"/>
                    </w:rPr>
                  </w:pPr>
                  <w:r>
                    <w:rPr>
                      <w:rFonts w:hint="eastAsia"/>
                      <w:b/>
                      <w:bCs/>
                      <w:color w:val="auto"/>
                    </w:rPr>
                    <w:t>是否可行技术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vAlign w:val="center"/>
                </w:tcPr>
                <w:p>
                  <w:pPr>
                    <w:pStyle w:val="68"/>
                    <w:jc w:val="both"/>
                    <w:rPr>
                      <w:rFonts w:hint="default" w:eastAsia="宋体"/>
                      <w:color w:val="auto"/>
                      <w:lang w:val="en-US" w:eastAsia="zh-CN"/>
                    </w:rPr>
                  </w:pPr>
                  <w:r>
                    <w:rPr>
                      <w:rFonts w:hint="eastAsia"/>
                      <w:color w:val="auto"/>
                      <w:lang w:val="en-US" w:eastAsia="zh-CN"/>
                    </w:rPr>
                    <w:t>热力生产单元</w:t>
                  </w:r>
                </w:p>
              </w:tc>
              <w:tc>
                <w:tcPr>
                  <w:tcW w:w="637" w:type="dxa"/>
                  <w:vMerge w:val="restart"/>
                  <w:vAlign w:val="center"/>
                </w:tcPr>
                <w:p>
                  <w:pPr>
                    <w:pStyle w:val="68"/>
                    <w:jc w:val="both"/>
                    <w:rPr>
                      <w:rFonts w:hint="default"/>
                      <w:color w:val="auto"/>
                      <w:lang w:val="en-US" w:eastAsia="zh-CN"/>
                    </w:rPr>
                  </w:pPr>
                  <w:r>
                    <w:rPr>
                      <w:rFonts w:hint="eastAsia"/>
                      <w:color w:val="auto"/>
                      <w:lang w:val="en-US" w:eastAsia="zh-CN"/>
                    </w:rPr>
                    <w:t>生物质锅炉</w:t>
                  </w:r>
                </w:p>
              </w:tc>
              <w:tc>
                <w:tcPr>
                  <w:tcW w:w="717" w:type="dxa"/>
                  <w:vMerge w:val="restart"/>
                  <w:vAlign w:val="center"/>
                </w:tcPr>
                <w:p>
                  <w:pPr>
                    <w:pStyle w:val="68"/>
                    <w:rPr>
                      <w:rFonts w:hint="eastAsia" w:eastAsia="宋体"/>
                      <w:color w:val="auto"/>
                      <w:lang w:val="en-US" w:eastAsia="zh-CN"/>
                    </w:rPr>
                  </w:pPr>
                  <w:r>
                    <w:rPr>
                      <w:rFonts w:hint="eastAsia"/>
                      <w:color w:val="auto"/>
                      <w:lang w:val="en-US" w:eastAsia="zh-CN"/>
                    </w:rPr>
                    <w:t>烟气</w:t>
                  </w:r>
                </w:p>
              </w:tc>
              <w:tc>
                <w:tcPr>
                  <w:tcW w:w="810" w:type="dxa"/>
                  <w:vAlign w:val="center"/>
                </w:tcPr>
                <w:p>
                  <w:pPr>
                    <w:pStyle w:val="68"/>
                    <w:rPr>
                      <w:rFonts w:hint="eastAsia"/>
                      <w:color w:val="auto"/>
                    </w:rPr>
                  </w:pPr>
                  <w:r>
                    <w:rPr>
                      <w:rFonts w:hint="eastAsia"/>
                      <w:color w:val="auto"/>
                    </w:rPr>
                    <w:t>二氧化硫</w:t>
                  </w:r>
                </w:p>
              </w:tc>
              <w:tc>
                <w:tcPr>
                  <w:tcW w:w="2965" w:type="dxa"/>
                  <w:vAlign w:val="center"/>
                </w:tcPr>
                <w:p>
                  <w:pPr>
                    <w:pStyle w:val="68"/>
                    <w:rPr>
                      <w:color w:val="auto"/>
                    </w:rPr>
                  </w:pPr>
                  <w:r>
                    <w:rPr>
                      <w:rFonts w:hint="eastAsia"/>
                      <w:color w:val="auto"/>
                    </w:rPr>
                    <w:t>石灰石/石灰-石膏法、</w:t>
                  </w:r>
                  <w:r>
                    <w:rPr>
                      <w:rFonts w:hint="eastAsia"/>
                      <w:color w:val="auto"/>
                      <w:shd w:val="clear" w:fill="FFFFFF"/>
                    </w:rPr>
                    <w:t>钠</w:t>
                  </w:r>
                  <w:r>
                    <w:rPr>
                      <w:rFonts w:hint="eastAsia"/>
                      <w:color w:val="auto"/>
                    </w:rPr>
                    <w:t>碱法、双碱法、氨法、氧化镁法、烟气循环流化床法、喷雾干燥法、炉内喷钙法、密相</w:t>
                  </w:r>
                  <w:r>
                    <w:rPr>
                      <w:rFonts w:hint="eastAsia"/>
                      <w:color w:val="auto"/>
                      <w:shd w:val="clear" w:fill="FFFFFF"/>
                    </w:rPr>
                    <w:t>干塔</w:t>
                  </w:r>
                  <w:r>
                    <w:rPr>
                      <w:rFonts w:hint="eastAsia"/>
                      <w:color w:val="auto"/>
                    </w:rPr>
                    <w:t>法、其他</w:t>
                  </w:r>
                </w:p>
              </w:tc>
              <w:tc>
                <w:tcPr>
                  <w:tcW w:w="1203" w:type="dxa"/>
                  <w:vAlign w:val="center"/>
                </w:tcPr>
                <w:p>
                  <w:pPr>
                    <w:pStyle w:val="68"/>
                    <w:rPr>
                      <w:color w:val="auto"/>
                      <w:lang w:eastAsia="zh-CN"/>
                    </w:rPr>
                  </w:pPr>
                  <w:r>
                    <w:rPr>
                      <w:rFonts w:hint="eastAsia"/>
                      <w:color w:val="auto"/>
                      <w:lang w:val="en-US" w:eastAsia="zh-CN"/>
                    </w:rPr>
                    <w:t>/</w:t>
                  </w:r>
                </w:p>
              </w:tc>
              <w:tc>
                <w:tcPr>
                  <w:tcW w:w="826" w:type="dxa"/>
                  <w:vAlign w:val="center"/>
                </w:tcPr>
                <w:p>
                  <w:pPr>
                    <w:pStyle w:val="68"/>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pStyle w:val="68"/>
                    <w:rPr>
                      <w:color w:val="auto"/>
                    </w:rPr>
                  </w:pPr>
                </w:p>
              </w:tc>
              <w:tc>
                <w:tcPr>
                  <w:tcW w:w="637" w:type="dxa"/>
                  <w:vMerge w:val="continue"/>
                  <w:vAlign w:val="center"/>
                </w:tcPr>
                <w:p>
                  <w:pPr>
                    <w:pStyle w:val="68"/>
                    <w:rPr>
                      <w:color w:val="auto"/>
                    </w:rPr>
                  </w:pPr>
                </w:p>
              </w:tc>
              <w:tc>
                <w:tcPr>
                  <w:tcW w:w="717" w:type="dxa"/>
                  <w:vMerge w:val="continue"/>
                  <w:vAlign w:val="center"/>
                </w:tcPr>
                <w:p>
                  <w:pPr>
                    <w:pStyle w:val="68"/>
                    <w:rPr>
                      <w:color w:val="auto"/>
                    </w:rPr>
                  </w:pPr>
                </w:p>
              </w:tc>
              <w:tc>
                <w:tcPr>
                  <w:tcW w:w="810" w:type="dxa"/>
                  <w:vAlign w:val="center"/>
                </w:tcPr>
                <w:p>
                  <w:pPr>
                    <w:pStyle w:val="68"/>
                    <w:rPr>
                      <w:rFonts w:hint="eastAsia"/>
                      <w:color w:val="auto"/>
                    </w:rPr>
                  </w:pPr>
                  <w:r>
                    <w:rPr>
                      <w:rFonts w:hint="eastAsia"/>
                      <w:color w:val="auto"/>
                    </w:rPr>
                    <w:t>氮氧化物</w:t>
                  </w:r>
                </w:p>
              </w:tc>
              <w:tc>
                <w:tcPr>
                  <w:tcW w:w="2965" w:type="dxa"/>
                  <w:vAlign w:val="center"/>
                </w:tcPr>
                <w:p>
                  <w:pPr>
                    <w:pStyle w:val="68"/>
                    <w:rPr>
                      <w:color w:val="auto"/>
                    </w:rPr>
                  </w:pPr>
                  <w:r>
                    <w:rPr>
                      <w:rFonts w:hint="eastAsia"/>
                      <w:color w:val="auto"/>
                    </w:rPr>
                    <w:t>低氮燃烧、SNCR法、SNCR-SCR联合脱硝、SCR法、其他</w:t>
                  </w:r>
                </w:p>
              </w:tc>
              <w:tc>
                <w:tcPr>
                  <w:tcW w:w="1203" w:type="dxa"/>
                  <w:vAlign w:val="center"/>
                </w:tcPr>
                <w:p>
                  <w:pPr>
                    <w:pStyle w:val="68"/>
                    <w:rPr>
                      <w:color w:val="auto"/>
                    </w:rPr>
                  </w:pPr>
                  <w:r>
                    <w:rPr>
                      <w:rFonts w:hint="eastAsia"/>
                      <w:color w:val="auto"/>
                    </w:rPr>
                    <w:t>低氮燃烧</w:t>
                  </w:r>
                </w:p>
              </w:tc>
              <w:tc>
                <w:tcPr>
                  <w:tcW w:w="826" w:type="dxa"/>
                  <w:vAlign w:val="center"/>
                </w:tcPr>
                <w:p>
                  <w:pPr>
                    <w:pStyle w:val="68"/>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pStyle w:val="68"/>
                    <w:rPr>
                      <w:color w:val="auto"/>
                    </w:rPr>
                  </w:pPr>
                </w:p>
              </w:tc>
              <w:tc>
                <w:tcPr>
                  <w:tcW w:w="637" w:type="dxa"/>
                  <w:vMerge w:val="continue"/>
                  <w:vAlign w:val="center"/>
                </w:tcPr>
                <w:p>
                  <w:pPr>
                    <w:pStyle w:val="68"/>
                    <w:rPr>
                      <w:color w:val="auto"/>
                    </w:rPr>
                  </w:pPr>
                </w:p>
              </w:tc>
              <w:tc>
                <w:tcPr>
                  <w:tcW w:w="717" w:type="dxa"/>
                  <w:vMerge w:val="continue"/>
                  <w:vAlign w:val="center"/>
                </w:tcPr>
                <w:p>
                  <w:pPr>
                    <w:pStyle w:val="68"/>
                    <w:rPr>
                      <w:color w:val="auto"/>
                    </w:rPr>
                  </w:pPr>
                </w:p>
              </w:tc>
              <w:tc>
                <w:tcPr>
                  <w:tcW w:w="810" w:type="dxa"/>
                  <w:vAlign w:val="center"/>
                </w:tcPr>
                <w:p>
                  <w:pPr>
                    <w:pStyle w:val="68"/>
                    <w:rPr>
                      <w:rFonts w:hint="eastAsia"/>
                      <w:color w:val="auto"/>
                    </w:rPr>
                  </w:pPr>
                  <w:r>
                    <w:rPr>
                      <w:rFonts w:hint="eastAsia"/>
                      <w:color w:val="auto"/>
                    </w:rPr>
                    <w:t>颗粒物</w:t>
                  </w:r>
                </w:p>
              </w:tc>
              <w:tc>
                <w:tcPr>
                  <w:tcW w:w="2965" w:type="dxa"/>
                  <w:vAlign w:val="center"/>
                </w:tcPr>
                <w:p>
                  <w:pPr>
                    <w:pStyle w:val="68"/>
                    <w:rPr>
                      <w:color w:val="auto"/>
                    </w:rPr>
                  </w:pPr>
                  <w:r>
                    <w:rPr>
                      <w:rFonts w:hint="eastAsia"/>
                      <w:color w:val="auto"/>
                    </w:rPr>
                    <w:t>袋式除尘器、旋风除尘器、旋风除尘器+袋式除尘器、其他</w:t>
                  </w:r>
                </w:p>
              </w:tc>
              <w:tc>
                <w:tcPr>
                  <w:tcW w:w="1203" w:type="dxa"/>
                  <w:vAlign w:val="center"/>
                </w:tcPr>
                <w:p>
                  <w:pPr>
                    <w:pStyle w:val="68"/>
                    <w:rPr>
                      <w:color w:val="auto"/>
                    </w:rPr>
                  </w:pPr>
                  <w:r>
                    <w:rPr>
                      <w:rFonts w:hint="eastAsia"/>
                      <w:color w:val="auto"/>
                    </w:rPr>
                    <w:t>袋式除尘器</w:t>
                  </w:r>
                </w:p>
              </w:tc>
              <w:tc>
                <w:tcPr>
                  <w:tcW w:w="826" w:type="dxa"/>
                  <w:vAlign w:val="center"/>
                </w:tcPr>
                <w:p>
                  <w:pPr>
                    <w:pStyle w:val="68"/>
                    <w:rPr>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pStyle w:val="68"/>
                    <w:rPr>
                      <w:color w:val="auto"/>
                    </w:rPr>
                  </w:pPr>
                </w:p>
              </w:tc>
              <w:tc>
                <w:tcPr>
                  <w:tcW w:w="637" w:type="dxa"/>
                  <w:vMerge w:val="continue"/>
                  <w:vAlign w:val="center"/>
                </w:tcPr>
                <w:p>
                  <w:pPr>
                    <w:pStyle w:val="68"/>
                    <w:rPr>
                      <w:color w:val="auto"/>
                    </w:rPr>
                  </w:pPr>
                </w:p>
              </w:tc>
              <w:tc>
                <w:tcPr>
                  <w:tcW w:w="717" w:type="dxa"/>
                  <w:vMerge w:val="continue"/>
                  <w:vAlign w:val="center"/>
                </w:tcPr>
                <w:p>
                  <w:pPr>
                    <w:pStyle w:val="68"/>
                    <w:rPr>
                      <w:color w:val="auto"/>
                    </w:rPr>
                  </w:pPr>
                </w:p>
              </w:tc>
              <w:tc>
                <w:tcPr>
                  <w:tcW w:w="810" w:type="dxa"/>
                  <w:vAlign w:val="center"/>
                </w:tcPr>
                <w:p>
                  <w:pPr>
                    <w:pStyle w:val="68"/>
                    <w:rPr>
                      <w:rFonts w:hint="eastAsia"/>
                      <w:color w:val="auto"/>
                    </w:rPr>
                  </w:pPr>
                  <w:r>
                    <w:rPr>
                      <w:rFonts w:hint="eastAsia"/>
                      <w:color w:val="auto"/>
                    </w:rPr>
                    <w:t>汞及其化合物</w:t>
                  </w:r>
                </w:p>
              </w:tc>
              <w:tc>
                <w:tcPr>
                  <w:tcW w:w="2965" w:type="dxa"/>
                  <w:vAlign w:val="center"/>
                </w:tcPr>
                <w:p>
                  <w:pPr>
                    <w:pStyle w:val="68"/>
                    <w:rPr>
                      <w:color w:val="auto"/>
                    </w:rPr>
                  </w:pPr>
                  <w:r>
                    <w:rPr>
                      <w:rFonts w:hint="eastAsia"/>
                      <w:color w:val="auto"/>
                    </w:rPr>
                    <w:t>协同控制b、其他</w:t>
                  </w:r>
                </w:p>
              </w:tc>
              <w:tc>
                <w:tcPr>
                  <w:tcW w:w="1203" w:type="dxa"/>
                  <w:vAlign w:val="center"/>
                </w:tcPr>
                <w:p>
                  <w:pPr>
                    <w:pStyle w:val="68"/>
                    <w:rPr>
                      <w:rFonts w:hint="eastAsia" w:eastAsia="宋体"/>
                      <w:color w:val="auto"/>
                      <w:lang w:val="en-US" w:eastAsia="zh-CN"/>
                    </w:rPr>
                  </w:pPr>
                  <w:r>
                    <w:rPr>
                      <w:rFonts w:hint="eastAsia"/>
                      <w:color w:val="auto"/>
                      <w:lang w:val="en-US" w:eastAsia="zh-CN"/>
                    </w:rPr>
                    <w:t>/</w:t>
                  </w:r>
                </w:p>
              </w:tc>
              <w:tc>
                <w:tcPr>
                  <w:tcW w:w="826" w:type="dxa"/>
                  <w:vAlign w:val="center"/>
                </w:tcPr>
                <w:p>
                  <w:pPr>
                    <w:pStyle w:val="68"/>
                    <w:ind w:firstLine="0" w:firstLineChars="0"/>
                    <w:rPr>
                      <w:rFonts w:hint="eastAsia"/>
                      <w:color w:val="auto"/>
                    </w:rPr>
                  </w:pPr>
                  <w:r>
                    <w:rPr>
                      <w:rFonts w:hint="eastAsia"/>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pStyle w:val="68"/>
                    <w:rPr>
                      <w:color w:val="auto"/>
                    </w:rPr>
                  </w:pPr>
                </w:p>
              </w:tc>
              <w:tc>
                <w:tcPr>
                  <w:tcW w:w="637" w:type="dxa"/>
                  <w:vMerge w:val="continue"/>
                  <w:vAlign w:val="center"/>
                </w:tcPr>
                <w:p>
                  <w:pPr>
                    <w:pStyle w:val="68"/>
                    <w:rPr>
                      <w:color w:val="auto"/>
                    </w:rPr>
                  </w:pPr>
                </w:p>
              </w:tc>
              <w:tc>
                <w:tcPr>
                  <w:tcW w:w="717" w:type="dxa"/>
                  <w:vMerge w:val="continue"/>
                  <w:vAlign w:val="center"/>
                </w:tcPr>
                <w:p>
                  <w:pPr>
                    <w:pStyle w:val="68"/>
                    <w:rPr>
                      <w:color w:val="auto"/>
                    </w:rPr>
                  </w:pPr>
                </w:p>
              </w:tc>
              <w:tc>
                <w:tcPr>
                  <w:tcW w:w="810" w:type="dxa"/>
                  <w:vAlign w:val="center"/>
                </w:tcPr>
                <w:p>
                  <w:pPr>
                    <w:pStyle w:val="68"/>
                    <w:rPr>
                      <w:rFonts w:hint="eastAsia"/>
                      <w:color w:val="auto"/>
                    </w:rPr>
                  </w:pPr>
                  <w:r>
                    <w:rPr>
                      <w:rFonts w:hint="eastAsia"/>
                      <w:color w:val="auto"/>
                    </w:rPr>
                    <w:t>烟气黑度</w:t>
                  </w:r>
                </w:p>
              </w:tc>
              <w:tc>
                <w:tcPr>
                  <w:tcW w:w="2965" w:type="dxa"/>
                  <w:vAlign w:val="center"/>
                </w:tcPr>
                <w:p>
                  <w:pPr>
                    <w:pStyle w:val="68"/>
                    <w:rPr>
                      <w:rFonts w:hint="eastAsia" w:eastAsia="宋体"/>
                      <w:color w:val="auto"/>
                      <w:lang w:val="en-US" w:eastAsia="zh-CN"/>
                    </w:rPr>
                  </w:pPr>
                  <w:r>
                    <w:rPr>
                      <w:rFonts w:hint="eastAsia"/>
                      <w:color w:val="auto"/>
                      <w:lang w:val="en-US" w:eastAsia="zh-CN"/>
                    </w:rPr>
                    <w:t>/</w:t>
                  </w:r>
                </w:p>
              </w:tc>
              <w:tc>
                <w:tcPr>
                  <w:tcW w:w="1203" w:type="dxa"/>
                  <w:vAlign w:val="center"/>
                </w:tcPr>
                <w:p>
                  <w:pPr>
                    <w:pStyle w:val="68"/>
                    <w:rPr>
                      <w:rFonts w:hint="eastAsia" w:eastAsia="宋体"/>
                      <w:color w:val="auto"/>
                      <w:lang w:val="en-US" w:eastAsia="zh-CN"/>
                    </w:rPr>
                  </w:pPr>
                  <w:r>
                    <w:rPr>
                      <w:rFonts w:hint="eastAsia"/>
                      <w:color w:val="auto"/>
                      <w:lang w:val="en-US" w:eastAsia="zh-CN"/>
                    </w:rPr>
                    <w:t>/</w:t>
                  </w:r>
                </w:p>
              </w:tc>
              <w:tc>
                <w:tcPr>
                  <w:tcW w:w="826" w:type="dxa"/>
                  <w:vAlign w:val="center"/>
                </w:tcPr>
                <w:p>
                  <w:pPr>
                    <w:pStyle w:val="68"/>
                    <w:ind w:firstLine="0" w:firstLineChars="0"/>
                    <w:rPr>
                      <w:rFonts w:hint="eastAsia"/>
                      <w:color w:val="auto"/>
                    </w:rPr>
                  </w:pPr>
                  <w:r>
                    <w:rPr>
                      <w:rFonts w:hint="eastAsia"/>
                      <w:color w:val="auto"/>
                    </w:rPr>
                    <w:t>是</w:t>
                  </w:r>
                </w:p>
              </w:tc>
            </w:tr>
          </w:tbl>
          <w:p>
            <w:pPr>
              <w:pStyle w:val="75"/>
              <w:rPr>
                <w:color w:val="auto"/>
              </w:rPr>
            </w:pPr>
            <w:r>
              <w:rPr>
                <w:rFonts w:hint="eastAsia"/>
                <w:color w:val="auto"/>
              </w:rPr>
              <w:t>4.2.1.</w:t>
            </w:r>
            <w:r>
              <w:rPr>
                <w:color w:val="auto"/>
              </w:rPr>
              <w:t>7</w:t>
            </w:r>
            <w:r>
              <w:rPr>
                <w:rFonts w:hint="eastAsia"/>
                <w:color w:val="auto"/>
              </w:rPr>
              <w:t>恶臭气体对周边环境敏感点的影响分析</w:t>
            </w:r>
          </w:p>
          <w:p>
            <w:pPr>
              <w:ind w:firstLine="480"/>
              <w:rPr>
                <w:color w:val="auto"/>
              </w:rPr>
            </w:pPr>
            <w:r>
              <w:rPr>
                <w:rFonts w:hint="eastAsia"/>
                <w:color w:val="auto"/>
              </w:rPr>
              <w:t>由于本项目东侧散户距离</w:t>
            </w:r>
            <w:r>
              <w:rPr>
                <w:rFonts w:hint="eastAsia"/>
                <w:color w:val="auto"/>
                <w:shd w:val="clear" w:fill="FFFFFF"/>
              </w:rPr>
              <w:t>厂界</w:t>
            </w:r>
            <w:r>
              <w:rPr>
                <w:rFonts w:hint="eastAsia"/>
                <w:color w:val="auto"/>
              </w:rPr>
              <w:t>较近，本次评价采用《环境影响评价技术导则大气环境》（HJ2.2-2018）中推荐的AERSCREEN模型，预测项目运营后恶臭对周边环境敏感点的影响，本次评价</w:t>
            </w:r>
            <w:r>
              <w:rPr>
                <w:rFonts w:hint="eastAsia"/>
                <w:color w:val="auto"/>
                <w:lang w:eastAsia="zh-CN"/>
              </w:rPr>
              <w:t>不再</w:t>
            </w:r>
            <w:r>
              <w:rPr>
                <w:rFonts w:hint="eastAsia"/>
                <w:color w:val="auto"/>
              </w:rPr>
              <w:t>重复罗列预测参数、</w:t>
            </w:r>
            <w:r>
              <w:rPr>
                <w:rFonts w:hint="eastAsia"/>
                <w:color w:val="auto"/>
                <w:shd w:val="clear" w:fill="FFFFFF"/>
              </w:rPr>
              <w:t>源强</w:t>
            </w:r>
            <w:r>
              <w:rPr>
                <w:rFonts w:hint="eastAsia"/>
                <w:color w:val="auto"/>
              </w:rPr>
              <w:t>参数等。</w:t>
            </w:r>
          </w:p>
          <w:p>
            <w:pPr>
              <w:pStyle w:val="71"/>
              <w:rPr>
                <w:color w:val="auto"/>
              </w:rPr>
            </w:pPr>
            <w:r>
              <w:rPr>
                <w:rFonts w:hint="eastAsia"/>
                <w:color w:val="auto"/>
              </w:rPr>
              <w:t>表4.2</w:t>
            </w:r>
            <w:r>
              <w:rPr>
                <w:color w:val="auto"/>
              </w:rPr>
              <w:t>-1</w:t>
            </w:r>
            <w:r>
              <w:rPr>
                <w:rFonts w:hint="eastAsia"/>
                <w:color w:val="auto"/>
                <w:lang w:val="en-US" w:eastAsia="zh-CN"/>
              </w:rPr>
              <w:t xml:space="preserve">5 </w:t>
            </w:r>
            <w:r>
              <w:rPr>
                <w:color w:val="auto"/>
              </w:rPr>
              <w:t xml:space="preserve"> Pmax和D10%预测和计算结果一览表</w:t>
            </w:r>
          </w:p>
          <w:tbl>
            <w:tblPr>
              <w:tblStyle w:val="29"/>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94"/>
              <w:gridCol w:w="1419"/>
              <w:gridCol w:w="1982"/>
              <w:gridCol w:w="1370"/>
              <w:gridCol w:w="168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Align w:val="center"/>
                </w:tcPr>
                <w:p>
                  <w:pPr>
                    <w:pStyle w:val="68"/>
                    <w:rPr>
                      <w:b/>
                      <w:bCs/>
                      <w:color w:val="auto"/>
                    </w:rPr>
                  </w:pPr>
                  <w:r>
                    <w:rPr>
                      <w:b/>
                      <w:bCs/>
                      <w:color w:val="auto"/>
                    </w:rPr>
                    <w:t>污染源名称</w:t>
                  </w:r>
                </w:p>
              </w:tc>
              <w:tc>
                <w:tcPr>
                  <w:tcW w:w="904" w:type="pct"/>
                  <w:vAlign w:val="center"/>
                </w:tcPr>
                <w:p>
                  <w:pPr>
                    <w:pStyle w:val="68"/>
                    <w:rPr>
                      <w:b/>
                      <w:bCs/>
                      <w:color w:val="auto"/>
                    </w:rPr>
                  </w:pPr>
                  <w:r>
                    <w:rPr>
                      <w:b/>
                      <w:bCs/>
                      <w:color w:val="auto"/>
                    </w:rPr>
                    <w:t>评价因子</w:t>
                  </w:r>
                </w:p>
              </w:tc>
              <w:tc>
                <w:tcPr>
                  <w:tcW w:w="1263" w:type="pct"/>
                  <w:vAlign w:val="center"/>
                </w:tcPr>
                <w:p>
                  <w:pPr>
                    <w:pStyle w:val="68"/>
                    <w:rPr>
                      <w:b/>
                      <w:bCs/>
                      <w:color w:val="auto"/>
                    </w:rPr>
                  </w:pPr>
                  <w:r>
                    <w:rPr>
                      <w:b/>
                      <w:bCs/>
                      <w:color w:val="auto"/>
                    </w:rPr>
                    <w:t>评价标准</w:t>
                  </w:r>
                  <w:r>
                    <w:rPr>
                      <w:rFonts w:hint="eastAsia"/>
                      <w:b/>
                      <w:bCs/>
                      <w:color w:val="auto"/>
                      <w:lang w:eastAsia="zh-CN"/>
                    </w:rPr>
                    <w:t>（</w:t>
                  </w:r>
                  <w:r>
                    <w:rPr>
                      <w:b/>
                      <w:bCs/>
                      <w:color w:val="auto"/>
                    </w:rPr>
                    <w:t>μg/m³</w:t>
                  </w:r>
                  <w:r>
                    <w:rPr>
                      <w:rFonts w:hint="eastAsia"/>
                      <w:b/>
                      <w:bCs/>
                      <w:color w:val="auto"/>
                      <w:lang w:eastAsia="zh-CN"/>
                    </w:rPr>
                    <w:t>）</w:t>
                  </w:r>
                </w:p>
              </w:tc>
              <w:tc>
                <w:tcPr>
                  <w:tcW w:w="873" w:type="pct"/>
                  <w:vAlign w:val="center"/>
                </w:tcPr>
                <w:p>
                  <w:pPr>
                    <w:pStyle w:val="68"/>
                    <w:rPr>
                      <w:b/>
                      <w:bCs/>
                      <w:color w:val="auto"/>
                    </w:rPr>
                  </w:pPr>
                  <w:r>
                    <w:rPr>
                      <w:b/>
                      <w:bCs/>
                      <w:color w:val="auto"/>
                    </w:rPr>
                    <w:t>Cmax(μg/m³)</w:t>
                  </w:r>
                </w:p>
              </w:tc>
              <w:tc>
                <w:tcPr>
                  <w:tcW w:w="1072" w:type="pct"/>
                  <w:vAlign w:val="center"/>
                </w:tcPr>
                <w:p>
                  <w:pPr>
                    <w:pStyle w:val="68"/>
                    <w:rPr>
                      <w:b/>
                      <w:bCs/>
                      <w:color w:val="auto"/>
                    </w:rPr>
                  </w:pPr>
                  <w:r>
                    <w:rPr>
                      <w:b/>
                      <w:bCs/>
                      <w:color w:val="auto"/>
                    </w:rPr>
                    <w:t>Pmax(%)</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restart"/>
                  <w:vAlign w:val="center"/>
                </w:tcPr>
                <w:p>
                  <w:pPr>
                    <w:pStyle w:val="68"/>
                    <w:rPr>
                      <w:color w:val="auto"/>
                      <w:lang w:eastAsia="zh-CN"/>
                    </w:rPr>
                  </w:pPr>
                  <w:r>
                    <w:rPr>
                      <w:rFonts w:hint="eastAsia"/>
                      <w:color w:val="auto"/>
                      <w:lang w:eastAsia="zh-CN"/>
                    </w:rPr>
                    <w:t>DA</w:t>
                  </w:r>
                  <w:r>
                    <w:rPr>
                      <w:color w:val="auto"/>
                      <w:lang w:eastAsia="zh-CN"/>
                    </w:rPr>
                    <w:t>001</w:t>
                  </w:r>
                  <w:r>
                    <w:rPr>
                      <w:rFonts w:hint="eastAsia"/>
                      <w:color w:val="auto"/>
                      <w:lang w:eastAsia="zh-CN"/>
                    </w:rPr>
                    <w:t>非正常工况</w:t>
                  </w:r>
                </w:p>
              </w:tc>
              <w:tc>
                <w:tcPr>
                  <w:tcW w:w="904" w:type="pct"/>
                  <w:vAlign w:val="center"/>
                </w:tcPr>
                <w:p>
                  <w:pPr>
                    <w:pStyle w:val="68"/>
                    <w:rPr>
                      <w:color w:val="auto"/>
                    </w:rPr>
                  </w:pPr>
                  <w:r>
                    <w:rPr>
                      <w:color w:val="auto"/>
                    </w:rPr>
                    <w:t>H</w:t>
                  </w:r>
                  <w:r>
                    <w:rPr>
                      <w:color w:val="auto"/>
                      <w:vertAlign w:val="subscript"/>
                    </w:rPr>
                    <w:t>2</w:t>
                  </w:r>
                  <w:r>
                    <w:rPr>
                      <w:color w:val="auto"/>
                    </w:rPr>
                    <w:t>S</w:t>
                  </w:r>
                </w:p>
              </w:tc>
              <w:tc>
                <w:tcPr>
                  <w:tcW w:w="1263" w:type="pct"/>
                  <w:vAlign w:val="center"/>
                </w:tcPr>
                <w:p>
                  <w:pPr>
                    <w:pStyle w:val="68"/>
                    <w:rPr>
                      <w:color w:val="auto"/>
                    </w:rPr>
                  </w:pPr>
                  <w:r>
                    <w:rPr>
                      <w:color w:val="auto"/>
                    </w:rPr>
                    <w:t>10.0</w:t>
                  </w:r>
                </w:p>
              </w:tc>
              <w:tc>
                <w:tcPr>
                  <w:tcW w:w="873" w:type="pct"/>
                  <w:vAlign w:val="center"/>
                </w:tcPr>
                <w:p>
                  <w:pPr>
                    <w:pStyle w:val="68"/>
                    <w:rPr>
                      <w:color w:val="auto"/>
                    </w:rPr>
                  </w:pPr>
                  <w:r>
                    <w:rPr>
                      <w:color w:val="auto"/>
                    </w:rPr>
                    <w:t>0.0132</w:t>
                  </w:r>
                </w:p>
              </w:tc>
              <w:tc>
                <w:tcPr>
                  <w:tcW w:w="1072" w:type="pct"/>
                  <w:vAlign w:val="center"/>
                </w:tcPr>
                <w:p>
                  <w:pPr>
                    <w:pStyle w:val="68"/>
                    <w:rPr>
                      <w:color w:val="auto"/>
                    </w:rPr>
                  </w:pPr>
                  <w:r>
                    <w:rPr>
                      <w:color w:val="auto"/>
                    </w:rPr>
                    <w:t>0.1322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continue"/>
                  <w:vAlign w:val="center"/>
                </w:tcPr>
                <w:p>
                  <w:pPr>
                    <w:pStyle w:val="68"/>
                    <w:rPr>
                      <w:color w:val="auto"/>
                    </w:rPr>
                  </w:pPr>
                </w:p>
              </w:tc>
              <w:tc>
                <w:tcPr>
                  <w:tcW w:w="904" w:type="pct"/>
                  <w:vAlign w:val="center"/>
                </w:tcPr>
                <w:p>
                  <w:pPr>
                    <w:pStyle w:val="68"/>
                    <w:rPr>
                      <w:color w:val="auto"/>
                    </w:rPr>
                  </w:pPr>
                  <w:r>
                    <w:rPr>
                      <w:color w:val="auto"/>
                    </w:rPr>
                    <w:t>NH</w:t>
                  </w:r>
                  <w:r>
                    <w:rPr>
                      <w:color w:val="auto"/>
                      <w:vertAlign w:val="subscript"/>
                    </w:rPr>
                    <w:t>3</w:t>
                  </w:r>
                </w:p>
              </w:tc>
              <w:tc>
                <w:tcPr>
                  <w:tcW w:w="1263" w:type="pct"/>
                  <w:vAlign w:val="center"/>
                </w:tcPr>
                <w:p>
                  <w:pPr>
                    <w:pStyle w:val="68"/>
                    <w:rPr>
                      <w:color w:val="auto"/>
                    </w:rPr>
                  </w:pPr>
                  <w:r>
                    <w:rPr>
                      <w:color w:val="auto"/>
                    </w:rPr>
                    <w:t>200.0</w:t>
                  </w:r>
                </w:p>
              </w:tc>
              <w:tc>
                <w:tcPr>
                  <w:tcW w:w="873" w:type="pct"/>
                  <w:vAlign w:val="center"/>
                </w:tcPr>
                <w:p>
                  <w:pPr>
                    <w:pStyle w:val="68"/>
                    <w:rPr>
                      <w:color w:val="auto"/>
                    </w:rPr>
                  </w:pPr>
                  <w:r>
                    <w:rPr>
                      <w:color w:val="auto"/>
                    </w:rPr>
                    <w:t>0.0240</w:t>
                  </w:r>
                </w:p>
              </w:tc>
              <w:tc>
                <w:tcPr>
                  <w:tcW w:w="1072" w:type="pct"/>
                  <w:vAlign w:val="center"/>
                </w:tcPr>
                <w:p>
                  <w:pPr>
                    <w:pStyle w:val="68"/>
                    <w:rPr>
                      <w:color w:val="auto"/>
                    </w:rPr>
                  </w:pPr>
                  <w:r>
                    <w:rPr>
                      <w:color w:val="auto"/>
                    </w:rPr>
                    <w:t>0.0120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restart"/>
                  <w:vAlign w:val="center"/>
                </w:tcPr>
                <w:p>
                  <w:pPr>
                    <w:pStyle w:val="68"/>
                    <w:rPr>
                      <w:color w:val="auto"/>
                    </w:rPr>
                  </w:pPr>
                  <w:r>
                    <w:rPr>
                      <w:rFonts w:hint="eastAsia"/>
                      <w:color w:val="auto"/>
                      <w:lang w:eastAsia="zh-CN"/>
                    </w:rPr>
                    <w:t>无组织</w:t>
                  </w:r>
                </w:p>
              </w:tc>
              <w:tc>
                <w:tcPr>
                  <w:tcW w:w="904" w:type="pct"/>
                  <w:vAlign w:val="center"/>
                </w:tcPr>
                <w:p>
                  <w:pPr>
                    <w:pStyle w:val="68"/>
                    <w:rPr>
                      <w:color w:val="auto"/>
                    </w:rPr>
                  </w:pPr>
                  <w:r>
                    <w:rPr>
                      <w:color w:val="auto"/>
                    </w:rPr>
                    <w:t>H</w:t>
                  </w:r>
                  <w:r>
                    <w:rPr>
                      <w:color w:val="auto"/>
                      <w:vertAlign w:val="subscript"/>
                    </w:rPr>
                    <w:t>2</w:t>
                  </w:r>
                  <w:r>
                    <w:rPr>
                      <w:color w:val="auto"/>
                    </w:rPr>
                    <w:t>S</w:t>
                  </w:r>
                </w:p>
              </w:tc>
              <w:tc>
                <w:tcPr>
                  <w:tcW w:w="1263" w:type="pct"/>
                  <w:vAlign w:val="center"/>
                </w:tcPr>
                <w:p>
                  <w:pPr>
                    <w:pStyle w:val="68"/>
                    <w:rPr>
                      <w:color w:val="auto"/>
                    </w:rPr>
                  </w:pPr>
                  <w:r>
                    <w:rPr>
                      <w:color w:val="auto"/>
                    </w:rPr>
                    <w:t>10.0</w:t>
                  </w:r>
                </w:p>
              </w:tc>
              <w:tc>
                <w:tcPr>
                  <w:tcW w:w="873" w:type="pct"/>
                  <w:vAlign w:val="center"/>
                </w:tcPr>
                <w:p>
                  <w:pPr>
                    <w:pStyle w:val="68"/>
                    <w:rPr>
                      <w:color w:val="auto"/>
                    </w:rPr>
                  </w:pPr>
                  <w:r>
                    <w:rPr>
                      <w:color w:val="auto"/>
                    </w:rPr>
                    <w:t>0.3701</w:t>
                  </w:r>
                </w:p>
              </w:tc>
              <w:tc>
                <w:tcPr>
                  <w:tcW w:w="1072" w:type="pct"/>
                  <w:vAlign w:val="center"/>
                </w:tcPr>
                <w:p>
                  <w:pPr>
                    <w:pStyle w:val="68"/>
                    <w:rPr>
                      <w:color w:val="auto"/>
                    </w:rPr>
                  </w:pPr>
                  <w:r>
                    <w:rPr>
                      <w:color w:val="auto"/>
                    </w:rPr>
                    <w:t>3.7010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continue"/>
                  <w:vAlign w:val="center"/>
                </w:tcPr>
                <w:p>
                  <w:pPr>
                    <w:pStyle w:val="68"/>
                    <w:rPr>
                      <w:color w:val="auto"/>
                    </w:rPr>
                  </w:pPr>
                </w:p>
              </w:tc>
              <w:tc>
                <w:tcPr>
                  <w:tcW w:w="904" w:type="pct"/>
                  <w:vAlign w:val="center"/>
                </w:tcPr>
                <w:p>
                  <w:pPr>
                    <w:pStyle w:val="68"/>
                    <w:rPr>
                      <w:color w:val="auto"/>
                    </w:rPr>
                  </w:pPr>
                  <w:r>
                    <w:rPr>
                      <w:color w:val="auto"/>
                    </w:rPr>
                    <w:t>NH</w:t>
                  </w:r>
                  <w:r>
                    <w:rPr>
                      <w:color w:val="auto"/>
                      <w:vertAlign w:val="subscript"/>
                    </w:rPr>
                    <w:t>3</w:t>
                  </w:r>
                </w:p>
              </w:tc>
              <w:tc>
                <w:tcPr>
                  <w:tcW w:w="1263" w:type="pct"/>
                  <w:vAlign w:val="center"/>
                </w:tcPr>
                <w:p>
                  <w:pPr>
                    <w:pStyle w:val="68"/>
                    <w:rPr>
                      <w:color w:val="auto"/>
                    </w:rPr>
                  </w:pPr>
                  <w:r>
                    <w:rPr>
                      <w:color w:val="auto"/>
                    </w:rPr>
                    <w:t>200.0</w:t>
                  </w:r>
                </w:p>
              </w:tc>
              <w:tc>
                <w:tcPr>
                  <w:tcW w:w="873" w:type="pct"/>
                  <w:vAlign w:val="center"/>
                </w:tcPr>
                <w:p>
                  <w:pPr>
                    <w:pStyle w:val="68"/>
                    <w:rPr>
                      <w:color w:val="auto"/>
                    </w:rPr>
                  </w:pPr>
                  <w:r>
                    <w:rPr>
                      <w:color w:val="auto"/>
                    </w:rPr>
                    <w:t>2.4677</w:t>
                  </w:r>
                </w:p>
              </w:tc>
              <w:tc>
                <w:tcPr>
                  <w:tcW w:w="1072" w:type="pct"/>
                  <w:vAlign w:val="center"/>
                </w:tcPr>
                <w:p>
                  <w:pPr>
                    <w:pStyle w:val="68"/>
                    <w:rPr>
                      <w:color w:val="auto"/>
                    </w:rPr>
                  </w:pPr>
                  <w:r>
                    <w:rPr>
                      <w:color w:val="auto"/>
                    </w:rPr>
                    <w:t>1.2338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restart"/>
                  <w:vAlign w:val="center"/>
                </w:tcPr>
                <w:p>
                  <w:pPr>
                    <w:pStyle w:val="68"/>
                    <w:rPr>
                      <w:color w:val="auto"/>
                    </w:rPr>
                  </w:pPr>
                  <w:r>
                    <w:rPr>
                      <w:rFonts w:hint="eastAsia"/>
                      <w:color w:val="auto"/>
                      <w:lang w:eastAsia="zh-CN"/>
                    </w:rPr>
                    <w:t>DA</w:t>
                  </w:r>
                  <w:r>
                    <w:rPr>
                      <w:color w:val="auto"/>
                      <w:lang w:eastAsia="zh-CN"/>
                    </w:rPr>
                    <w:t>001</w:t>
                  </w:r>
                  <w:r>
                    <w:rPr>
                      <w:rFonts w:hint="eastAsia"/>
                      <w:color w:val="auto"/>
                      <w:lang w:eastAsia="zh-CN"/>
                    </w:rPr>
                    <w:t>正常工况</w:t>
                  </w:r>
                </w:p>
              </w:tc>
              <w:tc>
                <w:tcPr>
                  <w:tcW w:w="904" w:type="pct"/>
                  <w:vAlign w:val="center"/>
                </w:tcPr>
                <w:p>
                  <w:pPr>
                    <w:pStyle w:val="68"/>
                    <w:rPr>
                      <w:color w:val="auto"/>
                    </w:rPr>
                  </w:pPr>
                  <w:r>
                    <w:rPr>
                      <w:color w:val="auto"/>
                    </w:rPr>
                    <w:t>H</w:t>
                  </w:r>
                  <w:r>
                    <w:rPr>
                      <w:color w:val="auto"/>
                      <w:vertAlign w:val="subscript"/>
                    </w:rPr>
                    <w:t>2</w:t>
                  </w:r>
                  <w:r>
                    <w:rPr>
                      <w:color w:val="auto"/>
                    </w:rPr>
                    <w:t>S</w:t>
                  </w:r>
                </w:p>
              </w:tc>
              <w:tc>
                <w:tcPr>
                  <w:tcW w:w="1263" w:type="pct"/>
                  <w:vAlign w:val="center"/>
                </w:tcPr>
                <w:p>
                  <w:pPr>
                    <w:pStyle w:val="68"/>
                    <w:rPr>
                      <w:color w:val="auto"/>
                    </w:rPr>
                  </w:pPr>
                  <w:r>
                    <w:rPr>
                      <w:color w:val="auto"/>
                    </w:rPr>
                    <w:t>10.0</w:t>
                  </w:r>
                </w:p>
              </w:tc>
              <w:tc>
                <w:tcPr>
                  <w:tcW w:w="873" w:type="pct"/>
                  <w:vAlign w:val="center"/>
                </w:tcPr>
                <w:p>
                  <w:pPr>
                    <w:pStyle w:val="68"/>
                    <w:rPr>
                      <w:color w:val="auto"/>
                    </w:rPr>
                  </w:pPr>
                  <w:r>
                    <w:rPr>
                      <w:color w:val="auto"/>
                    </w:rPr>
                    <w:t>0.0010</w:t>
                  </w:r>
                </w:p>
              </w:tc>
              <w:tc>
                <w:tcPr>
                  <w:tcW w:w="1072" w:type="pct"/>
                  <w:vAlign w:val="center"/>
                </w:tcPr>
                <w:p>
                  <w:pPr>
                    <w:pStyle w:val="68"/>
                    <w:rPr>
                      <w:color w:val="auto"/>
                    </w:rPr>
                  </w:pPr>
                  <w:r>
                    <w:rPr>
                      <w:color w:val="auto"/>
                    </w:rPr>
                    <w:t>0.0101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888" w:type="pct"/>
                  <w:vMerge w:val="continue"/>
                  <w:vAlign w:val="center"/>
                </w:tcPr>
                <w:p>
                  <w:pPr>
                    <w:pStyle w:val="68"/>
                    <w:rPr>
                      <w:color w:val="auto"/>
                    </w:rPr>
                  </w:pPr>
                </w:p>
              </w:tc>
              <w:tc>
                <w:tcPr>
                  <w:tcW w:w="904" w:type="pct"/>
                  <w:vAlign w:val="center"/>
                </w:tcPr>
                <w:p>
                  <w:pPr>
                    <w:pStyle w:val="68"/>
                    <w:rPr>
                      <w:color w:val="auto"/>
                    </w:rPr>
                  </w:pPr>
                  <w:r>
                    <w:rPr>
                      <w:color w:val="auto"/>
                    </w:rPr>
                    <w:t>NH</w:t>
                  </w:r>
                  <w:r>
                    <w:rPr>
                      <w:color w:val="auto"/>
                      <w:vertAlign w:val="subscript"/>
                    </w:rPr>
                    <w:t>3</w:t>
                  </w:r>
                </w:p>
              </w:tc>
              <w:tc>
                <w:tcPr>
                  <w:tcW w:w="1263" w:type="pct"/>
                  <w:vAlign w:val="center"/>
                </w:tcPr>
                <w:p>
                  <w:pPr>
                    <w:pStyle w:val="68"/>
                    <w:rPr>
                      <w:color w:val="auto"/>
                    </w:rPr>
                  </w:pPr>
                  <w:r>
                    <w:rPr>
                      <w:color w:val="auto"/>
                    </w:rPr>
                    <w:t>200.0</w:t>
                  </w:r>
                </w:p>
              </w:tc>
              <w:tc>
                <w:tcPr>
                  <w:tcW w:w="873" w:type="pct"/>
                  <w:vAlign w:val="center"/>
                </w:tcPr>
                <w:p>
                  <w:pPr>
                    <w:pStyle w:val="68"/>
                    <w:rPr>
                      <w:color w:val="auto"/>
                    </w:rPr>
                  </w:pPr>
                  <w:r>
                    <w:rPr>
                      <w:color w:val="auto"/>
                    </w:rPr>
                    <w:t>0.0072</w:t>
                  </w:r>
                </w:p>
              </w:tc>
              <w:tc>
                <w:tcPr>
                  <w:tcW w:w="1072" w:type="pct"/>
                  <w:vAlign w:val="center"/>
                </w:tcPr>
                <w:p>
                  <w:pPr>
                    <w:pStyle w:val="68"/>
                    <w:rPr>
                      <w:color w:val="auto"/>
                    </w:rPr>
                  </w:pPr>
                  <w:r>
                    <w:rPr>
                      <w:color w:val="auto"/>
                    </w:rPr>
                    <w:t>0.0036</w:t>
                  </w:r>
                </w:p>
              </w:tc>
            </w:tr>
          </w:tbl>
          <w:p>
            <w:pPr>
              <w:ind w:firstLine="480"/>
              <w:rPr>
                <w:color w:val="auto"/>
              </w:rPr>
            </w:pPr>
            <w:r>
              <w:rPr>
                <w:rFonts w:hint="eastAsia"/>
                <w:color w:val="auto"/>
              </w:rPr>
              <w:t>根据上表，预测结果表明无组织排放的</w:t>
            </w:r>
            <w:r>
              <w:rPr>
                <w:color w:val="auto"/>
              </w:rPr>
              <w:t>H</w:t>
            </w:r>
            <w:r>
              <w:rPr>
                <w:color w:val="auto"/>
                <w:vertAlign w:val="subscript"/>
              </w:rPr>
              <w:t>2</w:t>
            </w:r>
            <w:r>
              <w:rPr>
                <w:color w:val="auto"/>
              </w:rPr>
              <w:t>S Cmax</w:t>
            </w:r>
            <w:r>
              <w:rPr>
                <w:rFonts w:hint="eastAsia"/>
                <w:color w:val="auto"/>
              </w:rPr>
              <w:t>为</w:t>
            </w:r>
            <w:r>
              <w:rPr>
                <w:color w:val="auto"/>
              </w:rPr>
              <w:t>0.3701μg/m³</w:t>
            </w:r>
            <w:r>
              <w:rPr>
                <w:rFonts w:hint="eastAsia"/>
                <w:color w:val="auto"/>
              </w:rPr>
              <w:t>，</w:t>
            </w:r>
            <w:r>
              <w:rPr>
                <w:rFonts w:hint="eastAsia"/>
                <w:color w:val="auto"/>
                <w:shd w:val="clear" w:fill="FFFFFF"/>
              </w:rPr>
              <w:t>占标</w:t>
            </w:r>
            <w:r>
              <w:rPr>
                <w:rFonts w:hint="eastAsia"/>
                <w:color w:val="auto"/>
              </w:rPr>
              <w:t>率为</w:t>
            </w:r>
            <w:r>
              <w:rPr>
                <w:color w:val="auto"/>
              </w:rPr>
              <w:t>3.7010%</w:t>
            </w:r>
            <w:r>
              <w:rPr>
                <w:rFonts w:hint="eastAsia"/>
                <w:color w:val="auto"/>
              </w:rPr>
              <w:t>，对周边环境影响较大的排放源为无组织。</w:t>
            </w:r>
          </w:p>
          <w:p>
            <w:pPr>
              <w:ind w:firstLine="480"/>
              <w:rPr>
                <w:color w:val="auto"/>
              </w:rPr>
            </w:pPr>
            <w:r>
              <w:rPr>
                <w:rFonts w:hint="eastAsia"/>
                <w:color w:val="auto"/>
              </w:rPr>
              <w:t>按照正常工况，非正常工况2种情形，分别将各预测结果与环境敏感点现状监测数据叠加，则环境敏感点落地浓度见下表：</w:t>
            </w:r>
          </w:p>
          <w:p>
            <w:pPr>
              <w:pStyle w:val="71"/>
              <w:rPr>
                <w:color w:val="auto"/>
              </w:rPr>
            </w:pPr>
            <w:r>
              <w:rPr>
                <w:rFonts w:hint="eastAsia"/>
                <w:color w:val="auto"/>
              </w:rPr>
              <w:t>表4.2</w:t>
            </w:r>
            <w:r>
              <w:rPr>
                <w:color w:val="auto"/>
              </w:rPr>
              <w:t>-</w:t>
            </w:r>
            <w:r>
              <w:rPr>
                <w:rFonts w:hint="eastAsia"/>
                <w:color w:val="auto"/>
                <w:lang w:val="en-US" w:eastAsia="zh-CN"/>
              </w:rPr>
              <w:t xml:space="preserve">16 </w:t>
            </w:r>
            <w:r>
              <w:rPr>
                <w:color w:val="auto"/>
              </w:rPr>
              <w:t xml:space="preserve"> </w:t>
            </w:r>
            <w:r>
              <w:rPr>
                <w:rFonts w:hint="eastAsia"/>
                <w:color w:val="auto"/>
              </w:rPr>
              <w:t>环境敏感点</w:t>
            </w:r>
            <w:r>
              <w:rPr>
                <w:color w:val="auto"/>
              </w:rPr>
              <w:t>预测和计算结果一览表</w:t>
            </w:r>
          </w:p>
          <w:tbl>
            <w:tblPr>
              <w:tblStyle w:val="29"/>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70"/>
              <w:gridCol w:w="1133"/>
              <w:gridCol w:w="1012"/>
              <w:gridCol w:w="920"/>
              <w:gridCol w:w="901"/>
              <w:gridCol w:w="1410"/>
              <w:gridCol w:w="150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0" w:hRule="atLeast"/>
              </w:trPr>
              <w:tc>
                <w:tcPr>
                  <w:tcW w:w="2571" w:type="pct"/>
                  <w:gridSpan w:val="4"/>
                  <w:vAlign w:val="center"/>
                </w:tcPr>
                <w:p>
                  <w:pPr>
                    <w:pStyle w:val="68"/>
                    <w:rPr>
                      <w:b/>
                      <w:bCs/>
                      <w:color w:val="auto"/>
                    </w:rPr>
                  </w:pPr>
                  <w:r>
                    <w:rPr>
                      <w:b/>
                      <w:bCs/>
                      <w:color w:val="auto"/>
                    </w:rPr>
                    <w:t>离散点信息</w:t>
                  </w:r>
                </w:p>
              </w:tc>
              <w:tc>
                <w:tcPr>
                  <w:tcW w:w="574" w:type="pct"/>
                  <w:vMerge w:val="restart"/>
                  <w:vAlign w:val="center"/>
                </w:tcPr>
                <w:p>
                  <w:pPr>
                    <w:pStyle w:val="68"/>
                    <w:rPr>
                      <w:b/>
                      <w:bCs/>
                      <w:color w:val="auto"/>
                    </w:rPr>
                  </w:pPr>
                  <w:r>
                    <w:rPr>
                      <w:rFonts w:hint="eastAsia"/>
                      <w:b/>
                      <w:bCs/>
                      <w:color w:val="auto"/>
                      <w:lang w:eastAsia="zh-CN"/>
                    </w:rPr>
                    <w:t>污染源</w:t>
                  </w:r>
                </w:p>
              </w:tc>
              <w:tc>
                <w:tcPr>
                  <w:tcW w:w="1855" w:type="pct"/>
                  <w:gridSpan w:val="2"/>
                  <w:vAlign w:val="center"/>
                </w:tcPr>
                <w:p>
                  <w:pPr>
                    <w:pStyle w:val="68"/>
                    <w:rPr>
                      <w:b/>
                      <w:bCs/>
                      <w:color w:val="auto"/>
                    </w:rPr>
                  </w:pPr>
                  <w:r>
                    <w:rPr>
                      <w:rFonts w:hint="eastAsia"/>
                      <w:b/>
                      <w:bCs/>
                      <w:color w:val="auto"/>
                      <w:lang w:eastAsia="zh-CN"/>
                    </w:rPr>
                    <w:t>浓度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618" w:type="pct"/>
                  <w:vMerge w:val="restart"/>
                  <w:vAlign w:val="center"/>
                </w:tcPr>
                <w:p>
                  <w:pPr>
                    <w:pStyle w:val="68"/>
                    <w:rPr>
                      <w:b/>
                      <w:bCs/>
                      <w:color w:val="auto"/>
                    </w:rPr>
                  </w:pPr>
                  <w:r>
                    <w:rPr>
                      <w:b/>
                      <w:bCs/>
                      <w:color w:val="auto"/>
                    </w:rPr>
                    <w:t>离散点名称</w:t>
                  </w:r>
                </w:p>
              </w:tc>
              <w:tc>
                <w:tcPr>
                  <w:tcW w:w="1367" w:type="pct"/>
                  <w:gridSpan w:val="2"/>
                  <w:vAlign w:val="center"/>
                </w:tcPr>
                <w:p>
                  <w:pPr>
                    <w:pStyle w:val="68"/>
                    <w:rPr>
                      <w:b/>
                      <w:bCs/>
                      <w:color w:val="auto"/>
                    </w:rPr>
                  </w:pPr>
                  <w:r>
                    <w:rPr>
                      <w:rFonts w:hint="eastAsia"/>
                      <w:b/>
                      <w:bCs/>
                      <w:color w:val="auto"/>
                      <w:lang w:eastAsia="zh-CN"/>
                    </w:rPr>
                    <w:t>现状监测最大值</w:t>
                  </w:r>
                </w:p>
              </w:tc>
              <w:tc>
                <w:tcPr>
                  <w:tcW w:w="586" w:type="pct"/>
                  <w:vMerge w:val="restart"/>
                  <w:vAlign w:val="center"/>
                </w:tcPr>
                <w:p>
                  <w:pPr>
                    <w:pStyle w:val="68"/>
                    <w:rPr>
                      <w:b/>
                      <w:bCs/>
                      <w:color w:val="auto"/>
                    </w:rPr>
                  </w:pPr>
                  <w:r>
                    <w:rPr>
                      <w:b/>
                      <w:bCs/>
                      <w:color w:val="auto"/>
                    </w:rPr>
                    <w:t>海拔</w:t>
                  </w:r>
                  <w:r>
                    <w:rPr>
                      <w:rFonts w:hint="eastAsia"/>
                      <w:b/>
                      <w:bCs/>
                      <w:color w:val="auto"/>
                      <w:lang w:eastAsia="zh-CN"/>
                    </w:rPr>
                    <w:t>（</w:t>
                  </w:r>
                  <w:r>
                    <w:rPr>
                      <w:b/>
                      <w:bCs/>
                      <w:color w:val="auto"/>
                    </w:rPr>
                    <w:t>m</w:t>
                  </w:r>
                  <w:r>
                    <w:rPr>
                      <w:rFonts w:hint="eastAsia"/>
                      <w:b/>
                      <w:bCs/>
                      <w:color w:val="auto"/>
                      <w:lang w:eastAsia="zh-CN"/>
                    </w:rPr>
                    <w:t>）</w:t>
                  </w:r>
                </w:p>
              </w:tc>
              <w:tc>
                <w:tcPr>
                  <w:tcW w:w="574" w:type="pct"/>
                  <w:vMerge w:val="continue"/>
                  <w:vAlign w:val="center"/>
                </w:tcPr>
                <w:p>
                  <w:pPr>
                    <w:pStyle w:val="68"/>
                    <w:rPr>
                      <w:b/>
                      <w:bCs/>
                      <w:color w:val="auto"/>
                    </w:rPr>
                  </w:pPr>
                </w:p>
              </w:tc>
              <w:tc>
                <w:tcPr>
                  <w:tcW w:w="898" w:type="pct"/>
                  <w:vMerge w:val="restart"/>
                  <w:vAlign w:val="center"/>
                </w:tcPr>
                <w:p>
                  <w:pPr>
                    <w:pStyle w:val="68"/>
                    <w:rPr>
                      <w:b/>
                      <w:bCs/>
                      <w:color w:val="auto"/>
                    </w:rPr>
                  </w:pPr>
                  <w:r>
                    <w:rPr>
                      <w:b/>
                      <w:bCs/>
                      <w:color w:val="auto"/>
                    </w:rPr>
                    <w:t>H</w:t>
                  </w:r>
                  <w:r>
                    <w:rPr>
                      <w:b/>
                      <w:bCs/>
                      <w:color w:val="auto"/>
                      <w:vertAlign w:val="subscript"/>
                    </w:rPr>
                    <w:t>2</w:t>
                  </w:r>
                  <w:r>
                    <w:rPr>
                      <w:b/>
                      <w:bCs/>
                      <w:color w:val="auto"/>
                    </w:rPr>
                    <w:t>S(μg/m³)</w:t>
                  </w:r>
                </w:p>
              </w:tc>
              <w:tc>
                <w:tcPr>
                  <w:tcW w:w="957" w:type="pct"/>
                  <w:vMerge w:val="restart"/>
                  <w:vAlign w:val="center"/>
                </w:tcPr>
                <w:p>
                  <w:pPr>
                    <w:pStyle w:val="68"/>
                    <w:rPr>
                      <w:b/>
                      <w:bCs/>
                      <w:color w:val="auto"/>
                    </w:rPr>
                  </w:pPr>
                  <w:r>
                    <w:rPr>
                      <w:b/>
                      <w:bCs/>
                      <w:color w:val="auto"/>
                    </w:rPr>
                    <w:t>NH</w:t>
                  </w:r>
                  <w:r>
                    <w:rPr>
                      <w:b/>
                      <w:bCs/>
                      <w:color w:val="auto"/>
                      <w:vertAlign w:val="subscript"/>
                    </w:rPr>
                    <w:t>3</w:t>
                  </w:r>
                  <w:r>
                    <w:rPr>
                      <w:b/>
                      <w:bCs/>
                      <w:color w:val="auto"/>
                    </w:rPr>
                    <w:t>(μg/m³)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618" w:type="pct"/>
                  <w:vMerge w:val="continue"/>
                  <w:vAlign w:val="center"/>
                </w:tcPr>
                <w:p>
                  <w:pPr>
                    <w:pStyle w:val="68"/>
                    <w:rPr>
                      <w:b/>
                      <w:bCs/>
                      <w:color w:val="auto"/>
                    </w:rPr>
                  </w:pPr>
                </w:p>
              </w:tc>
              <w:tc>
                <w:tcPr>
                  <w:tcW w:w="722" w:type="pct"/>
                  <w:vAlign w:val="center"/>
                </w:tcPr>
                <w:p>
                  <w:pPr>
                    <w:pStyle w:val="68"/>
                    <w:rPr>
                      <w:b/>
                      <w:bCs/>
                      <w:color w:val="auto"/>
                    </w:rPr>
                  </w:pPr>
                  <w:r>
                    <w:rPr>
                      <w:b/>
                      <w:bCs/>
                      <w:color w:val="auto"/>
                    </w:rPr>
                    <w:t>H</w:t>
                  </w:r>
                  <w:r>
                    <w:rPr>
                      <w:b/>
                      <w:bCs/>
                      <w:color w:val="auto"/>
                      <w:vertAlign w:val="subscript"/>
                    </w:rPr>
                    <w:t>2</w:t>
                  </w:r>
                  <w:r>
                    <w:rPr>
                      <w:b/>
                      <w:bCs/>
                      <w:color w:val="auto"/>
                    </w:rPr>
                    <w:t>S</w:t>
                  </w:r>
                </w:p>
                <w:p>
                  <w:pPr>
                    <w:pStyle w:val="68"/>
                    <w:rPr>
                      <w:b/>
                      <w:bCs/>
                      <w:color w:val="auto"/>
                    </w:rPr>
                  </w:pPr>
                  <w:r>
                    <w:rPr>
                      <w:b/>
                      <w:bCs/>
                      <w:color w:val="auto"/>
                    </w:rPr>
                    <w:t>(μg/m³)</w:t>
                  </w:r>
                </w:p>
              </w:tc>
              <w:tc>
                <w:tcPr>
                  <w:tcW w:w="645" w:type="pct"/>
                  <w:vAlign w:val="center"/>
                </w:tcPr>
                <w:p>
                  <w:pPr>
                    <w:pStyle w:val="68"/>
                    <w:rPr>
                      <w:b/>
                      <w:bCs/>
                      <w:color w:val="auto"/>
                      <w:vertAlign w:val="subscript"/>
                    </w:rPr>
                  </w:pPr>
                  <w:r>
                    <w:rPr>
                      <w:b/>
                      <w:bCs/>
                      <w:color w:val="auto"/>
                    </w:rPr>
                    <w:t>NH</w:t>
                  </w:r>
                  <w:r>
                    <w:rPr>
                      <w:b/>
                      <w:bCs/>
                      <w:color w:val="auto"/>
                      <w:vertAlign w:val="subscript"/>
                    </w:rPr>
                    <w:t>3</w:t>
                  </w:r>
                </w:p>
                <w:p>
                  <w:pPr>
                    <w:pStyle w:val="68"/>
                    <w:rPr>
                      <w:b/>
                      <w:bCs/>
                      <w:color w:val="auto"/>
                    </w:rPr>
                  </w:pPr>
                  <w:r>
                    <w:rPr>
                      <w:b/>
                      <w:bCs/>
                      <w:color w:val="auto"/>
                    </w:rPr>
                    <w:t>(μg/m³)</w:t>
                  </w:r>
                </w:p>
              </w:tc>
              <w:tc>
                <w:tcPr>
                  <w:tcW w:w="586" w:type="pct"/>
                  <w:vMerge w:val="continue"/>
                  <w:vAlign w:val="center"/>
                </w:tcPr>
                <w:p>
                  <w:pPr>
                    <w:pStyle w:val="68"/>
                    <w:rPr>
                      <w:b/>
                      <w:bCs/>
                      <w:color w:val="auto"/>
                    </w:rPr>
                  </w:pPr>
                </w:p>
              </w:tc>
              <w:tc>
                <w:tcPr>
                  <w:tcW w:w="574" w:type="pct"/>
                  <w:vMerge w:val="continue"/>
                  <w:vAlign w:val="center"/>
                </w:tcPr>
                <w:p>
                  <w:pPr>
                    <w:pStyle w:val="68"/>
                    <w:rPr>
                      <w:color w:val="auto"/>
                    </w:rPr>
                  </w:pPr>
                </w:p>
              </w:tc>
              <w:tc>
                <w:tcPr>
                  <w:tcW w:w="898" w:type="pct"/>
                  <w:vMerge w:val="continue"/>
                  <w:vAlign w:val="center"/>
                </w:tcPr>
                <w:p>
                  <w:pPr>
                    <w:pStyle w:val="68"/>
                    <w:rPr>
                      <w:color w:val="auto"/>
                    </w:rPr>
                  </w:pPr>
                </w:p>
              </w:tc>
              <w:tc>
                <w:tcPr>
                  <w:tcW w:w="957" w:type="pct"/>
                  <w:vMerge w:val="continue"/>
                  <w:vAlign w:val="center"/>
                </w:tcPr>
                <w:p>
                  <w:pPr>
                    <w:pStyle w:val="68"/>
                    <w:rPr>
                      <w:color w:val="auto"/>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000" w:type="pct"/>
                  <w:gridSpan w:val="7"/>
                  <w:vAlign w:val="center"/>
                </w:tcPr>
                <w:p>
                  <w:pPr>
                    <w:pStyle w:val="68"/>
                    <w:rPr>
                      <w:color w:val="auto"/>
                    </w:rPr>
                  </w:pPr>
                  <w:r>
                    <w:rPr>
                      <w:rFonts w:hint="eastAsia"/>
                      <w:b/>
                      <w:bCs/>
                      <w:color w:val="auto"/>
                      <w:lang w:eastAsia="zh-CN"/>
                    </w:rPr>
                    <w:t>正常工况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restart"/>
                  <w:vAlign w:val="center"/>
                </w:tcPr>
                <w:p>
                  <w:pPr>
                    <w:pStyle w:val="68"/>
                    <w:rPr>
                      <w:color w:val="auto"/>
                    </w:rPr>
                  </w:pPr>
                  <w:r>
                    <w:rPr>
                      <w:rFonts w:hint="eastAsia"/>
                      <w:color w:val="auto"/>
                      <w:lang w:eastAsia="zh-CN"/>
                    </w:rPr>
                    <w:t>东侧</w:t>
                  </w:r>
                  <w:r>
                    <w:rPr>
                      <w:color w:val="auto"/>
                    </w:rPr>
                    <w:t>散户</w:t>
                  </w:r>
                </w:p>
              </w:tc>
              <w:tc>
                <w:tcPr>
                  <w:tcW w:w="722" w:type="pct"/>
                  <w:vMerge w:val="restart"/>
                  <w:vAlign w:val="center"/>
                </w:tcPr>
                <w:p>
                  <w:pPr>
                    <w:pStyle w:val="68"/>
                    <w:rPr>
                      <w:color w:val="auto"/>
                      <w:lang w:eastAsia="zh-CN"/>
                    </w:rPr>
                  </w:pPr>
                  <w:r>
                    <w:rPr>
                      <w:rFonts w:hint="eastAsia"/>
                      <w:color w:val="auto"/>
                      <w:lang w:eastAsia="zh-CN"/>
                    </w:rPr>
                    <w:t>5</w:t>
                  </w:r>
                </w:p>
              </w:tc>
              <w:tc>
                <w:tcPr>
                  <w:tcW w:w="645" w:type="pct"/>
                  <w:vMerge w:val="restart"/>
                  <w:vAlign w:val="center"/>
                </w:tcPr>
                <w:p>
                  <w:pPr>
                    <w:pStyle w:val="68"/>
                    <w:rPr>
                      <w:color w:val="auto"/>
                      <w:lang w:eastAsia="zh-CN"/>
                    </w:rPr>
                  </w:pPr>
                  <w:r>
                    <w:rPr>
                      <w:rFonts w:hint="eastAsia"/>
                      <w:color w:val="auto"/>
                      <w:lang w:eastAsia="zh-CN"/>
                    </w:rPr>
                    <w:t>7</w:t>
                  </w:r>
                  <w:r>
                    <w:rPr>
                      <w:color w:val="auto"/>
                      <w:lang w:eastAsia="zh-CN"/>
                    </w:rPr>
                    <w:t>0</w:t>
                  </w:r>
                </w:p>
              </w:tc>
              <w:tc>
                <w:tcPr>
                  <w:tcW w:w="586" w:type="pct"/>
                  <w:vMerge w:val="restart"/>
                  <w:vAlign w:val="center"/>
                </w:tcPr>
                <w:p>
                  <w:pPr>
                    <w:pStyle w:val="68"/>
                    <w:rPr>
                      <w:color w:val="auto"/>
                    </w:rPr>
                  </w:pPr>
                  <w:r>
                    <w:rPr>
                      <w:color w:val="auto"/>
                    </w:rPr>
                    <w:t>1849.0</w:t>
                  </w:r>
                </w:p>
              </w:tc>
              <w:tc>
                <w:tcPr>
                  <w:tcW w:w="574" w:type="pct"/>
                  <w:vAlign w:val="center"/>
                </w:tcPr>
                <w:p>
                  <w:pPr>
                    <w:pStyle w:val="68"/>
                    <w:rPr>
                      <w:color w:val="auto"/>
                    </w:rPr>
                  </w:pPr>
                  <w:r>
                    <w:rPr>
                      <w:rFonts w:hint="eastAsia"/>
                      <w:color w:val="auto"/>
                      <w:lang w:eastAsia="zh-CN"/>
                    </w:rPr>
                    <w:t>无组织</w:t>
                  </w:r>
                </w:p>
              </w:tc>
              <w:tc>
                <w:tcPr>
                  <w:tcW w:w="898" w:type="pct"/>
                  <w:vAlign w:val="center"/>
                </w:tcPr>
                <w:p>
                  <w:pPr>
                    <w:pStyle w:val="68"/>
                    <w:rPr>
                      <w:color w:val="auto"/>
                    </w:rPr>
                  </w:pPr>
                  <w:r>
                    <w:rPr>
                      <w:color w:val="auto"/>
                    </w:rPr>
                    <w:t>0.3078</w:t>
                  </w:r>
                </w:p>
              </w:tc>
              <w:tc>
                <w:tcPr>
                  <w:tcW w:w="957" w:type="pct"/>
                  <w:vAlign w:val="center"/>
                </w:tcPr>
                <w:p>
                  <w:pPr>
                    <w:pStyle w:val="68"/>
                    <w:rPr>
                      <w:color w:val="auto"/>
                    </w:rPr>
                  </w:pPr>
                  <w:r>
                    <w:rPr>
                      <w:color w:val="auto"/>
                    </w:rPr>
                    <w:t>2.0517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lang w:eastAsia="zh-CN"/>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lang w:eastAsia="zh-CN"/>
                    </w:rPr>
                  </w:pPr>
                  <w:r>
                    <w:rPr>
                      <w:rFonts w:hint="eastAsia"/>
                      <w:color w:val="auto"/>
                      <w:lang w:eastAsia="zh-CN"/>
                    </w:rPr>
                    <w:t>D</w:t>
                  </w:r>
                  <w:r>
                    <w:rPr>
                      <w:color w:val="auto"/>
                      <w:lang w:eastAsia="zh-CN"/>
                    </w:rPr>
                    <w:t>A001</w:t>
                  </w:r>
                </w:p>
              </w:tc>
              <w:tc>
                <w:tcPr>
                  <w:tcW w:w="898" w:type="pct"/>
                  <w:vAlign w:val="center"/>
                </w:tcPr>
                <w:p>
                  <w:pPr>
                    <w:pStyle w:val="68"/>
                    <w:rPr>
                      <w:color w:val="auto"/>
                    </w:rPr>
                  </w:pPr>
                  <w:r>
                    <w:rPr>
                      <w:color w:val="auto"/>
                    </w:rPr>
                    <w:t>0.00001</w:t>
                  </w:r>
                </w:p>
              </w:tc>
              <w:tc>
                <w:tcPr>
                  <w:tcW w:w="957" w:type="pct"/>
                  <w:vAlign w:val="center"/>
                </w:tcPr>
                <w:p>
                  <w:pPr>
                    <w:pStyle w:val="68"/>
                    <w:rPr>
                      <w:color w:val="auto"/>
                    </w:rPr>
                  </w:pPr>
                  <w:r>
                    <w:rPr>
                      <w:color w:val="auto"/>
                    </w:rPr>
                    <w:t>0.0002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lang w:eastAsia="zh-CN"/>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lang w:eastAsia="zh-CN"/>
                    </w:rPr>
                  </w:pPr>
                  <w:r>
                    <w:rPr>
                      <w:rFonts w:hint="eastAsia"/>
                      <w:color w:val="auto"/>
                      <w:lang w:eastAsia="zh-CN"/>
                    </w:rPr>
                    <w:t>叠加后</w:t>
                  </w:r>
                </w:p>
              </w:tc>
              <w:tc>
                <w:tcPr>
                  <w:tcW w:w="898" w:type="pct"/>
                  <w:vAlign w:val="center"/>
                </w:tcPr>
                <w:p>
                  <w:pPr>
                    <w:pStyle w:val="68"/>
                    <w:rPr>
                      <w:color w:val="auto"/>
                      <w:lang w:eastAsia="zh-CN"/>
                    </w:rPr>
                  </w:pPr>
                  <w:r>
                    <w:rPr>
                      <w:rFonts w:hint="eastAsia"/>
                      <w:color w:val="auto"/>
                      <w:lang w:eastAsia="zh-CN"/>
                    </w:rPr>
                    <w:t>5</w:t>
                  </w:r>
                  <w:r>
                    <w:rPr>
                      <w:color w:val="auto"/>
                      <w:lang w:eastAsia="zh-CN"/>
                    </w:rPr>
                    <w:t>.30781</w:t>
                  </w:r>
                </w:p>
              </w:tc>
              <w:tc>
                <w:tcPr>
                  <w:tcW w:w="957" w:type="pct"/>
                  <w:vAlign w:val="center"/>
                </w:tcPr>
                <w:p>
                  <w:pPr>
                    <w:pStyle w:val="68"/>
                    <w:rPr>
                      <w:color w:val="auto"/>
                      <w:lang w:eastAsia="zh-CN"/>
                    </w:rPr>
                  </w:pPr>
                  <w:r>
                    <w:rPr>
                      <w:rFonts w:hint="eastAsia"/>
                      <w:color w:val="auto"/>
                      <w:lang w:eastAsia="zh-CN"/>
                    </w:rPr>
                    <w:t>7</w:t>
                  </w:r>
                  <w:r>
                    <w:rPr>
                      <w:color w:val="auto"/>
                      <w:lang w:eastAsia="zh-CN"/>
                    </w:rPr>
                    <w:t>2.0573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8" w:hRule="atLeast"/>
              </w:trPr>
              <w:tc>
                <w:tcPr>
                  <w:tcW w:w="618" w:type="pct"/>
                  <w:vMerge w:val="continue"/>
                  <w:vAlign w:val="center"/>
                </w:tcPr>
                <w:p>
                  <w:pPr>
                    <w:pStyle w:val="68"/>
                    <w:rPr>
                      <w:color w:val="auto"/>
                      <w:lang w:eastAsia="zh-CN"/>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1160" w:type="pct"/>
                  <w:gridSpan w:val="2"/>
                  <w:vAlign w:val="center"/>
                </w:tcPr>
                <w:p>
                  <w:pPr>
                    <w:pStyle w:val="68"/>
                    <w:rPr>
                      <w:color w:val="auto"/>
                      <w:lang w:eastAsia="zh-CN"/>
                    </w:rPr>
                  </w:pPr>
                  <w:r>
                    <w:rPr>
                      <w:rFonts w:hint="eastAsia"/>
                      <w:color w:val="auto"/>
                      <w:lang w:eastAsia="zh-CN"/>
                    </w:rPr>
                    <w:t>叠加后</w:t>
                  </w:r>
                  <w:r>
                    <w:rPr>
                      <w:rFonts w:hint="eastAsia"/>
                      <w:color w:val="auto"/>
                      <w:shd w:val="clear" w:fill="FFFFFF"/>
                      <w:lang w:eastAsia="zh-CN"/>
                    </w:rPr>
                    <w:t>占标率</w:t>
                  </w:r>
                </w:p>
              </w:tc>
              <w:tc>
                <w:tcPr>
                  <w:tcW w:w="898" w:type="pct"/>
                  <w:vAlign w:val="center"/>
                </w:tcPr>
                <w:p>
                  <w:pPr>
                    <w:pStyle w:val="68"/>
                    <w:rPr>
                      <w:color w:val="auto"/>
                      <w:lang w:eastAsia="zh-CN"/>
                    </w:rPr>
                  </w:pPr>
                  <w:r>
                    <w:rPr>
                      <w:rFonts w:hint="eastAsia"/>
                      <w:color w:val="auto"/>
                      <w:lang w:eastAsia="zh-CN"/>
                    </w:rPr>
                    <w:t>5</w:t>
                  </w:r>
                  <w:r>
                    <w:rPr>
                      <w:color w:val="auto"/>
                      <w:lang w:eastAsia="zh-CN"/>
                    </w:rPr>
                    <w:t>3.1%</w:t>
                  </w:r>
                </w:p>
              </w:tc>
              <w:tc>
                <w:tcPr>
                  <w:tcW w:w="957" w:type="pct"/>
                  <w:vAlign w:val="center"/>
                </w:tcPr>
                <w:p>
                  <w:pPr>
                    <w:pStyle w:val="68"/>
                    <w:rPr>
                      <w:color w:val="auto"/>
                      <w:lang w:eastAsia="zh-CN"/>
                    </w:rPr>
                  </w:pPr>
                  <w:r>
                    <w:rPr>
                      <w:color w:val="auto"/>
                      <w:lang w:eastAsia="zh-CN"/>
                    </w:rPr>
                    <w:t>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restart"/>
                  <w:vAlign w:val="center"/>
                </w:tcPr>
                <w:p>
                  <w:pPr>
                    <w:pStyle w:val="68"/>
                    <w:rPr>
                      <w:color w:val="auto"/>
                    </w:rPr>
                  </w:pPr>
                  <w:r>
                    <w:rPr>
                      <w:color w:val="auto"/>
                    </w:rPr>
                    <w:t>彩云中学</w:t>
                  </w: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restart"/>
                  <w:vAlign w:val="center"/>
                </w:tcPr>
                <w:p>
                  <w:pPr>
                    <w:pStyle w:val="68"/>
                    <w:rPr>
                      <w:color w:val="auto"/>
                    </w:rPr>
                  </w:pPr>
                  <w:r>
                    <w:rPr>
                      <w:color w:val="auto"/>
                    </w:rPr>
                    <w:t>1847.0</w:t>
                  </w:r>
                </w:p>
              </w:tc>
              <w:tc>
                <w:tcPr>
                  <w:tcW w:w="574" w:type="pct"/>
                  <w:vAlign w:val="center"/>
                </w:tcPr>
                <w:p>
                  <w:pPr>
                    <w:pStyle w:val="68"/>
                    <w:rPr>
                      <w:color w:val="auto"/>
                    </w:rPr>
                  </w:pPr>
                  <w:r>
                    <w:rPr>
                      <w:rFonts w:hint="eastAsia"/>
                      <w:color w:val="auto"/>
                      <w:lang w:eastAsia="zh-CN"/>
                    </w:rPr>
                    <w:t>无组织</w:t>
                  </w:r>
                </w:p>
              </w:tc>
              <w:tc>
                <w:tcPr>
                  <w:tcW w:w="898" w:type="pct"/>
                  <w:vAlign w:val="center"/>
                </w:tcPr>
                <w:p>
                  <w:pPr>
                    <w:pStyle w:val="68"/>
                    <w:rPr>
                      <w:color w:val="auto"/>
                    </w:rPr>
                  </w:pPr>
                  <w:r>
                    <w:rPr>
                      <w:color w:val="auto"/>
                    </w:rPr>
                    <w:t>0.1152</w:t>
                  </w:r>
                </w:p>
              </w:tc>
              <w:tc>
                <w:tcPr>
                  <w:tcW w:w="957" w:type="pct"/>
                  <w:vAlign w:val="center"/>
                </w:tcPr>
                <w:p>
                  <w:pPr>
                    <w:pStyle w:val="68"/>
                    <w:rPr>
                      <w:color w:val="auto"/>
                    </w:rPr>
                  </w:pPr>
                  <w:r>
                    <w:rPr>
                      <w:color w:val="auto"/>
                    </w:rPr>
                    <w:t>0.7682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D</w:t>
                  </w:r>
                  <w:r>
                    <w:rPr>
                      <w:color w:val="auto"/>
                      <w:lang w:eastAsia="zh-CN"/>
                    </w:rPr>
                    <w:t>A001</w:t>
                  </w:r>
                </w:p>
              </w:tc>
              <w:tc>
                <w:tcPr>
                  <w:tcW w:w="898" w:type="pct"/>
                  <w:vAlign w:val="center"/>
                </w:tcPr>
                <w:p>
                  <w:pPr>
                    <w:pStyle w:val="68"/>
                    <w:rPr>
                      <w:color w:val="auto"/>
                    </w:rPr>
                  </w:pPr>
                  <w:r>
                    <w:rPr>
                      <w:color w:val="auto"/>
                    </w:rPr>
                    <w:t>0.0005</w:t>
                  </w:r>
                </w:p>
              </w:tc>
              <w:tc>
                <w:tcPr>
                  <w:tcW w:w="957" w:type="pct"/>
                  <w:vAlign w:val="center"/>
                </w:tcPr>
                <w:p>
                  <w:pPr>
                    <w:pStyle w:val="68"/>
                    <w:rPr>
                      <w:color w:val="auto"/>
                    </w:rPr>
                  </w:pPr>
                  <w:r>
                    <w:rPr>
                      <w:color w:val="auto"/>
                    </w:rPr>
                    <w:t>0.0037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叠加后</w:t>
                  </w:r>
                </w:p>
              </w:tc>
              <w:tc>
                <w:tcPr>
                  <w:tcW w:w="898" w:type="pct"/>
                  <w:vAlign w:val="center"/>
                </w:tcPr>
                <w:p>
                  <w:pPr>
                    <w:pStyle w:val="68"/>
                    <w:rPr>
                      <w:color w:val="auto"/>
                      <w:lang w:eastAsia="zh-CN"/>
                    </w:rPr>
                  </w:pPr>
                  <w:r>
                    <w:rPr>
                      <w:rFonts w:hint="eastAsia"/>
                      <w:color w:val="auto"/>
                      <w:lang w:eastAsia="zh-CN"/>
                    </w:rPr>
                    <w:t>5</w:t>
                  </w:r>
                  <w:r>
                    <w:rPr>
                      <w:color w:val="auto"/>
                      <w:lang w:eastAsia="zh-CN"/>
                    </w:rPr>
                    <w:t>.1157</w:t>
                  </w:r>
                </w:p>
              </w:tc>
              <w:tc>
                <w:tcPr>
                  <w:tcW w:w="957" w:type="pct"/>
                  <w:vAlign w:val="center"/>
                </w:tcPr>
                <w:p>
                  <w:pPr>
                    <w:pStyle w:val="68"/>
                    <w:rPr>
                      <w:color w:val="auto"/>
                      <w:lang w:eastAsia="zh-CN"/>
                    </w:rPr>
                  </w:pPr>
                  <w:r>
                    <w:rPr>
                      <w:rFonts w:hint="eastAsia"/>
                      <w:color w:val="auto"/>
                      <w:lang w:eastAsia="zh-CN"/>
                    </w:rPr>
                    <w:t>7</w:t>
                  </w:r>
                  <w:r>
                    <w:rPr>
                      <w:color w:val="auto"/>
                      <w:lang w:eastAsia="zh-CN"/>
                    </w:rPr>
                    <w:t>0.7719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1160" w:type="pct"/>
                  <w:gridSpan w:val="2"/>
                  <w:vAlign w:val="center"/>
                </w:tcPr>
                <w:p>
                  <w:pPr>
                    <w:pStyle w:val="68"/>
                    <w:rPr>
                      <w:color w:val="auto"/>
                      <w:lang w:eastAsia="zh-CN"/>
                    </w:rPr>
                  </w:pPr>
                  <w:r>
                    <w:rPr>
                      <w:rFonts w:hint="eastAsia"/>
                      <w:color w:val="auto"/>
                      <w:lang w:eastAsia="zh-CN"/>
                    </w:rPr>
                    <w:t>叠加后</w:t>
                  </w:r>
                  <w:r>
                    <w:rPr>
                      <w:rFonts w:hint="eastAsia"/>
                      <w:color w:val="auto"/>
                      <w:shd w:val="clear" w:fill="FFFFFF"/>
                      <w:lang w:eastAsia="zh-CN"/>
                    </w:rPr>
                    <w:t>占标率</w:t>
                  </w:r>
                </w:p>
              </w:tc>
              <w:tc>
                <w:tcPr>
                  <w:tcW w:w="898" w:type="pct"/>
                  <w:vAlign w:val="center"/>
                </w:tcPr>
                <w:p>
                  <w:pPr>
                    <w:pStyle w:val="68"/>
                    <w:rPr>
                      <w:color w:val="auto"/>
                      <w:lang w:eastAsia="zh-CN"/>
                    </w:rPr>
                  </w:pPr>
                  <w:r>
                    <w:rPr>
                      <w:rFonts w:hint="eastAsia"/>
                      <w:color w:val="auto"/>
                      <w:lang w:eastAsia="zh-CN"/>
                    </w:rPr>
                    <w:t>5</w:t>
                  </w:r>
                  <w:r>
                    <w:rPr>
                      <w:color w:val="auto"/>
                      <w:lang w:eastAsia="zh-CN"/>
                    </w:rPr>
                    <w:t>1.2%</w:t>
                  </w:r>
                </w:p>
              </w:tc>
              <w:tc>
                <w:tcPr>
                  <w:tcW w:w="957" w:type="pct"/>
                  <w:vAlign w:val="center"/>
                </w:tcPr>
                <w:p>
                  <w:pPr>
                    <w:pStyle w:val="68"/>
                    <w:rPr>
                      <w:color w:val="auto"/>
                      <w:lang w:eastAsia="zh-CN"/>
                    </w:rPr>
                  </w:pPr>
                  <w:r>
                    <w:rPr>
                      <w:rFonts w:hint="eastAsia"/>
                      <w:color w:val="auto"/>
                      <w:lang w:eastAsia="zh-CN"/>
                    </w:rPr>
                    <w:t>3</w:t>
                  </w:r>
                  <w:r>
                    <w:rPr>
                      <w:color w:val="auto"/>
                      <w:lang w:eastAsia="zh-CN"/>
                    </w:rPr>
                    <w:t>5.38%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000" w:type="pct"/>
                  <w:gridSpan w:val="7"/>
                  <w:vAlign w:val="center"/>
                </w:tcPr>
                <w:p>
                  <w:pPr>
                    <w:pStyle w:val="68"/>
                    <w:rPr>
                      <w:color w:val="auto"/>
                    </w:rPr>
                  </w:pPr>
                  <w:r>
                    <w:rPr>
                      <w:rFonts w:hint="eastAsia"/>
                      <w:b/>
                      <w:bCs/>
                      <w:color w:val="auto"/>
                      <w:lang w:eastAsia="zh-CN"/>
                    </w:rPr>
                    <w:t>非正常工况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restart"/>
                  <w:vAlign w:val="center"/>
                </w:tcPr>
                <w:p>
                  <w:pPr>
                    <w:pStyle w:val="68"/>
                    <w:rPr>
                      <w:color w:val="auto"/>
                    </w:rPr>
                  </w:pPr>
                  <w:r>
                    <w:rPr>
                      <w:rFonts w:hint="eastAsia"/>
                      <w:color w:val="auto"/>
                      <w:lang w:eastAsia="zh-CN"/>
                    </w:rPr>
                    <w:t>东侧</w:t>
                  </w:r>
                  <w:r>
                    <w:rPr>
                      <w:color w:val="auto"/>
                    </w:rPr>
                    <w:t>散户</w:t>
                  </w:r>
                </w:p>
              </w:tc>
              <w:tc>
                <w:tcPr>
                  <w:tcW w:w="722" w:type="pct"/>
                  <w:vMerge w:val="restart"/>
                  <w:vAlign w:val="center"/>
                </w:tcPr>
                <w:p>
                  <w:pPr>
                    <w:pStyle w:val="68"/>
                    <w:rPr>
                      <w:color w:val="auto"/>
                      <w:lang w:eastAsia="zh-CN"/>
                    </w:rPr>
                  </w:pPr>
                  <w:r>
                    <w:rPr>
                      <w:rFonts w:hint="eastAsia"/>
                      <w:color w:val="auto"/>
                      <w:lang w:eastAsia="zh-CN"/>
                    </w:rPr>
                    <w:t>5</w:t>
                  </w:r>
                </w:p>
              </w:tc>
              <w:tc>
                <w:tcPr>
                  <w:tcW w:w="645" w:type="pct"/>
                  <w:vMerge w:val="restart"/>
                  <w:vAlign w:val="center"/>
                </w:tcPr>
                <w:p>
                  <w:pPr>
                    <w:pStyle w:val="68"/>
                    <w:rPr>
                      <w:color w:val="auto"/>
                      <w:lang w:eastAsia="zh-CN"/>
                    </w:rPr>
                  </w:pPr>
                  <w:r>
                    <w:rPr>
                      <w:rFonts w:hint="eastAsia"/>
                      <w:color w:val="auto"/>
                      <w:lang w:eastAsia="zh-CN"/>
                    </w:rPr>
                    <w:t>7</w:t>
                  </w:r>
                  <w:r>
                    <w:rPr>
                      <w:color w:val="auto"/>
                      <w:lang w:eastAsia="zh-CN"/>
                    </w:rPr>
                    <w:t>0</w:t>
                  </w:r>
                </w:p>
              </w:tc>
              <w:tc>
                <w:tcPr>
                  <w:tcW w:w="586" w:type="pct"/>
                  <w:vMerge w:val="restart"/>
                  <w:vAlign w:val="center"/>
                </w:tcPr>
                <w:p>
                  <w:pPr>
                    <w:pStyle w:val="68"/>
                    <w:rPr>
                      <w:color w:val="auto"/>
                    </w:rPr>
                  </w:pPr>
                  <w:r>
                    <w:rPr>
                      <w:color w:val="auto"/>
                    </w:rPr>
                    <w:t>1849.0</w:t>
                  </w:r>
                </w:p>
              </w:tc>
              <w:tc>
                <w:tcPr>
                  <w:tcW w:w="574" w:type="pct"/>
                  <w:vAlign w:val="center"/>
                </w:tcPr>
                <w:p>
                  <w:pPr>
                    <w:pStyle w:val="68"/>
                    <w:rPr>
                      <w:color w:val="auto"/>
                    </w:rPr>
                  </w:pPr>
                  <w:r>
                    <w:rPr>
                      <w:rFonts w:hint="eastAsia"/>
                      <w:color w:val="auto"/>
                      <w:lang w:eastAsia="zh-CN"/>
                    </w:rPr>
                    <w:t>无组织</w:t>
                  </w:r>
                </w:p>
              </w:tc>
              <w:tc>
                <w:tcPr>
                  <w:tcW w:w="898" w:type="pct"/>
                  <w:vAlign w:val="center"/>
                </w:tcPr>
                <w:p>
                  <w:pPr>
                    <w:pStyle w:val="68"/>
                    <w:rPr>
                      <w:color w:val="auto"/>
                    </w:rPr>
                  </w:pPr>
                  <w:r>
                    <w:rPr>
                      <w:color w:val="auto"/>
                    </w:rPr>
                    <w:t>0.3078</w:t>
                  </w:r>
                </w:p>
              </w:tc>
              <w:tc>
                <w:tcPr>
                  <w:tcW w:w="957" w:type="pct"/>
                  <w:vAlign w:val="center"/>
                </w:tcPr>
                <w:p>
                  <w:pPr>
                    <w:pStyle w:val="68"/>
                    <w:rPr>
                      <w:color w:val="auto"/>
                    </w:rPr>
                  </w:pPr>
                  <w:r>
                    <w:rPr>
                      <w:color w:val="auto"/>
                    </w:rPr>
                    <w:t>2.0517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D</w:t>
                  </w:r>
                  <w:r>
                    <w:rPr>
                      <w:color w:val="auto"/>
                      <w:lang w:eastAsia="zh-CN"/>
                    </w:rPr>
                    <w:t>A001</w:t>
                  </w:r>
                </w:p>
              </w:tc>
              <w:tc>
                <w:tcPr>
                  <w:tcW w:w="898" w:type="pct"/>
                  <w:vAlign w:val="center"/>
                </w:tcPr>
                <w:p>
                  <w:pPr>
                    <w:pStyle w:val="68"/>
                    <w:rPr>
                      <w:color w:val="auto"/>
                    </w:rPr>
                  </w:pPr>
                  <w:r>
                    <w:rPr>
                      <w:color w:val="auto"/>
                    </w:rPr>
                    <w:t>0.39</w:t>
                  </w:r>
                </w:p>
              </w:tc>
              <w:tc>
                <w:tcPr>
                  <w:tcW w:w="957" w:type="pct"/>
                  <w:vAlign w:val="center"/>
                </w:tcPr>
                <w:p>
                  <w:pPr>
                    <w:pStyle w:val="68"/>
                    <w:rPr>
                      <w:color w:val="auto"/>
                    </w:rPr>
                  </w:pPr>
                  <w:r>
                    <w:rPr>
                      <w:color w:val="auto"/>
                    </w:rPr>
                    <w:t>2.83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02"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叠加后</w:t>
                  </w:r>
                </w:p>
              </w:tc>
              <w:tc>
                <w:tcPr>
                  <w:tcW w:w="898" w:type="pct"/>
                  <w:vAlign w:val="center"/>
                </w:tcPr>
                <w:p>
                  <w:pPr>
                    <w:pStyle w:val="68"/>
                    <w:rPr>
                      <w:color w:val="auto"/>
                      <w:lang w:eastAsia="zh-CN"/>
                    </w:rPr>
                  </w:pPr>
                  <w:r>
                    <w:rPr>
                      <w:color w:val="auto"/>
                      <w:lang w:eastAsia="zh-CN"/>
                    </w:rPr>
                    <w:t>5.6978</w:t>
                  </w:r>
                </w:p>
              </w:tc>
              <w:tc>
                <w:tcPr>
                  <w:tcW w:w="957" w:type="pct"/>
                  <w:vAlign w:val="center"/>
                </w:tcPr>
                <w:p>
                  <w:pPr>
                    <w:pStyle w:val="68"/>
                    <w:rPr>
                      <w:color w:val="auto"/>
                      <w:lang w:eastAsia="zh-CN"/>
                    </w:rPr>
                  </w:pPr>
                  <w:r>
                    <w:rPr>
                      <w:color w:val="auto"/>
                      <w:lang w:eastAsia="zh-CN"/>
                    </w:rPr>
                    <w:t>74.8817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1160" w:type="pct"/>
                  <w:gridSpan w:val="2"/>
                  <w:vAlign w:val="center"/>
                </w:tcPr>
                <w:p>
                  <w:pPr>
                    <w:pStyle w:val="68"/>
                    <w:rPr>
                      <w:color w:val="auto"/>
                      <w:lang w:eastAsia="zh-CN"/>
                    </w:rPr>
                  </w:pPr>
                  <w:r>
                    <w:rPr>
                      <w:rFonts w:hint="eastAsia"/>
                      <w:color w:val="auto"/>
                      <w:lang w:eastAsia="zh-CN"/>
                    </w:rPr>
                    <w:t>叠加后</w:t>
                  </w:r>
                  <w:r>
                    <w:rPr>
                      <w:rFonts w:hint="eastAsia"/>
                      <w:color w:val="auto"/>
                      <w:shd w:val="clear" w:fill="FFFFFF"/>
                      <w:lang w:eastAsia="zh-CN"/>
                    </w:rPr>
                    <w:t>占标率</w:t>
                  </w:r>
                </w:p>
              </w:tc>
              <w:tc>
                <w:tcPr>
                  <w:tcW w:w="898" w:type="pct"/>
                  <w:vAlign w:val="center"/>
                </w:tcPr>
                <w:p>
                  <w:pPr>
                    <w:pStyle w:val="68"/>
                    <w:rPr>
                      <w:color w:val="auto"/>
                      <w:lang w:eastAsia="zh-CN"/>
                    </w:rPr>
                  </w:pPr>
                  <w:r>
                    <w:rPr>
                      <w:color w:val="auto"/>
                      <w:lang w:eastAsia="zh-CN"/>
                    </w:rPr>
                    <w:t>56.98%</w:t>
                  </w:r>
                </w:p>
              </w:tc>
              <w:tc>
                <w:tcPr>
                  <w:tcW w:w="957" w:type="pct"/>
                  <w:vAlign w:val="center"/>
                </w:tcPr>
                <w:p>
                  <w:pPr>
                    <w:pStyle w:val="68"/>
                    <w:rPr>
                      <w:color w:val="auto"/>
                      <w:lang w:eastAsia="zh-CN"/>
                    </w:rPr>
                  </w:pPr>
                  <w:r>
                    <w:rPr>
                      <w:color w:val="auto"/>
                      <w:lang w:eastAsia="zh-CN"/>
                    </w:rPr>
                    <w:t>37.44%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restart"/>
                  <w:vAlign w:val="center"/>
                </w:tcPr>
                <w:p>
                  <w:pPr>
                    <w:pStyle w:val="68"/>
                    <w:rPr>
                      <w:color w:val="auto"/>
                    </w:rPr>
                  </w:pPr>
                  <w:r>
                    <w:rPr>
                      <w:color w:val="auto"/>
                    </w:rPr>
                    <w:t>彩云中学</w:t>
                  </w: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restart"/>
                  <w:vAlign w:val="center"/>
                </w:tcPr>
                <w:p>
                  <w:pPr>
                    <w:pStyle w:val="68"/>
                    <w:rPr>
                      <w:color w:val="auto"/>
                    </w:rPr>
                  </w:pPr>
                  <w:r>
                    <w:rPr>
                      <w:color w:val="auto"/>
                    </w:rPr>
                    <w:t>1847.0</w:t>
                  </w:r>
                </w:p>
              </w:tc>
              <w:tc>
                <w:tcPr>
                  <w:tcW w:w="574" w:type="pct"/>
                  <w:vAlign w:val="center"/>
                </w:tcPr>
                <w:p>
                  <w:pPr>
                    <w:pStyle w:val="68"/>
                    <w:rPr>
                      <w:color w:val="auto"/>
                    </w:rPr>
                  </w:pPr>
                  <w:r>
                    <w:rPr>
                      <w:rFonts w:hint="eastAsia"/>
                      <w:color w:val="auto"/>
                      <w:lang w:eastAsia="zh-CN"/>
                    </w:rPr>
                    <w:t>无组织</w:t>
                  </w:r>
                </w:p>
              </w:tc>
              <w:tc>
                <w:tcPr>
                  <w:tcW w:w="898" w:type="pct"/>
                  <w:vAlign w:val="center"/>
                </w:tcPr>
                <w:p>
                  <w:pPr>
                    <w:pStyle w:val="68"/>
                    <w:rPr>
                      <w:color w:val="auto"/>
                    </w:rPr>
                  </w:pPr>
                  <w:r>
                    <w:rPr>
                      <w:color w:val="auto"/>
                    </w:rPr>
                    <w:t>0.1152</w:t>
                  </w:r>
                </w:p>
              </w:tc>
              <w:tc>
                <w:tcPr>
                  <w:tcW w:w="957" w:type="pct"/>
                  <w:vAlign w:val="center"/>
                </w:tcPr>
                <w:p>
                  <w:pPr>
                    <w:pStyle w:val="68"/>
                    <w:rPr>
                      <w:color w:val="auto"/>
                    </w:rPr>
                  </w:pPr>
                  <w:r>
                    <w:rPr>
                      <w:color w:val="auto"/>
                    </w:rPr>
                    <w:t>0.7682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D</w:t>
                  </w:r>
                  <w:r>
                    <w:rPr>
                      <w:color w:val="auto"/>
                      <w:lang w:eastAsia="zh-CN"/>
                    </w:rPr>
                    <w:t>A001</w:t>
                  </w:r>
                </w:p>
              </w:tc>
              <w:tc>
                <w:tcPr>
                  <w:tcW w:w="898" w:type="pct"/>
                  <w:vAlign w:val="center"/>
                </w:tcPr>
                <w:p>
                  <w:pPr>
                    <w:pStyle w:val="68"/>
                    <w:rPr>
                      <w:color w:val="auto"/>
                    </w:rPr>
                  </w:pPr>
                  <w:r>
                    <w:rPr>
                      <w:color w:val="auto"/>
                    </w:rPr>
                    <w:t>0.099</w:t>
                  </w:r>
                </w:p>
              </w:tc>
              <w:tc>
                <w:tcPr>
                  <w:tcW w:w="957" w:type="pct"/>
                  <w:vAlign w:val="center"/>
                </w:tcPr>
                <w:p>
                  <w:pPr>
                    <w:pStyle w:val="68"/>
                    <w:rPr>
                      <w:color w:val="auto"/>
                    </w:rPr>
                  </w:pPr>
                  <w:r>
                    <w:rPr>
                      <w:color w:val="auto"/>
                    </w:rPr>
                    <w:t>0.179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586" w:type="pct"/>
                  <w:vMerge w:val="continue"/>
                  <w:vAlign w:val="center"/>
                </w:tcPr>
                <w:p>
                  <w:pPr>
                    <w:pStyle w:val="68"/>
                    <w:rPr>
                      <w:color w:val="auto"/>
                    </w:rPr>
                  </w:pPr>
                </w:p>
              </w:tc>
              <w:tc>
                <w:tcPr>
                  <w:tcW w:w="574" w:type="pct"/>
                  <w:vAlign w:val="center"/>
                </w:tcPr>
                <w:p>
                  <w:pPr>
                    <w:pStyle w:val="68"/>
                    <w:rPr>
                      <w:color w:val="auto"/>
                    </w:rPr>
                  </w:pPr>
                  <w:r>
                    <w:rPr>
                      <w:rFonts w:hint="eastAsia"/>
                      <w:color w:val="auto"/>
                      <w:lang w:eastAsia="zh-CN"/>
                    </w:rPr>
                    <w:t>叠加后</w:t>
                  </w:r>
                </w:p>
              </w:tc>
              <w:tc>
                <w:tcPr>
                  <w:tcW w:w="898" w:type="pct"/>
                  <w:vAlign w:val="center"/>
                </w:tcPr>
                <w:p>
                  <w:pPr>
                    <w:pStyle w:val="68"/>
                    <w:rPr>
                      <w:color w:val="auto"/>
                      <w:lang w:eastAsia="zh-CN"/>
                    </w:rPr>
                  </w:pPr>
                  <w:r>
                    <w:rPr>
                      <w:rFonts w:hint="eastAsia"/>
                      <w:color w:val="auto"/>
                      <w:lang w:eastAsia="zh-CN"/>
                    </w:rPr>
                    <w:t>5</w:t>
                  </w:r>
                  <w:r>
                    <w:rPr>
                      <w:color w:val="auto"/>
                      <w:lang w:eastAsia="zh-CN"/>
                    </w:rPr>
                    <w:t>.1251</w:t>
                  </w:r>
                </w:p>
              </w:tc>
              <w:tc>
                <w:tcPr>
                  <w:tcW w:w="957" w:type="pct"/>
                  <w:vAlign w:val="center"/>
                </w:tcPr>
                <w:p>
                  <w:pPr>
                    <w:pStyle w:val="68"/>
                    <w:rPr>
                      <w:color w:val="auto"/>
                      <w:lang w:eastAsia="zh-CN"/>
                    </w:rPr>
                  </w:pPr>
                  <w:r>
                    <w:rPr>
                      <w:rFonts w:hint="eastAsia"/>
                      <w:color w:val="auto"/>
                      <w:lang w:eastAsia="zh-CN"/>
                    </w:rPr>
                    <w:t>7</w:t>
                  </w:r>
                  <w:r>
                    <w:rPr>
                      <w:color w:val="auto"/>
                      <w:lang w:eastAsia="zh-CN"/>
                    </w:rPr>
                    <w:t>0.9472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618" w:type="pct"/>
                  <w:vMerge w:val="continue"/>
                  <w:vAlign w:val="center"/>
                </w:tcPr>
                <w:p>
                  <w:pPr>
                    <w:pStyle w:val="68"/>
                    <w:rPr>
                      <w:color w:val="auto"/>
                    </w:rPr>
                  </w:pPr>
                </w:p>
              </w:tc>
              <w:tc>
                <w:tcPr>
                  <w:tcW w:w="722" w:type="pct"/>
                  <w:vMerge w:val="continue"/>
                  <w:vAlign w:val="center"/>
                </w:tcPr>
                <w:p>
                  <w:pPr>
                    <w:pStyle w:val="68"/>
                    <w:rPr>
                      <w:color w:val="auto"/>
                    </w:rPr>
                  </w:pPr>
                </w:p>
              </w:tc>
              <w:tc>
                <w:tcPr>
                  <w:tcW w:w="645" w:type="pct"/>
                  <w:vMerge w:val="continue"/>
                  <w:vAlign w:val="center"/>
                </w:tcPr>
                <w:p>
                  <w:pPr>
                    <w:pStyle w:val="68"/>
                    <w:rPr>
                      <w:color w:val="auto"/>
                    </w:rPr>
                  </w:pPr>
                </w:p>
              </w:tc>
              <w:tc>
                <w:tcPr>
                  <w:tcW w:w="1160" w:type="pct"/>
                  <w:gridSpan w:val="2"/>
                  <w:vAlign w:val="center"/>
                </w:tcPr>
                <w:p>
                  <w:pPr>
                    <w:pStyle w:val="68"/>
                    <w:rPr>
                      <w:color w:val="auto"/>
                      <w:lang w:eastAsia="zh-CN"/>
                    </w:rPr>
                  </w:pPr>
                  <w:r>
                    <w:rPr>
                      <w:rFonts w:hint="eastAsia"/>
                      <w:color w:val="auto"/>
                      <w:lang w:eastAsia="zh-CN"/>
                    </w:rPr>
                    <w:t>叠加后</w:t>
                  </w:r>
                  <w:r>
                    <w:rPr>
                      <w:rFonts w:hint="eastAsia"/>
                      <w:color w:val="auto"/>
                      <w:shd w:val="clear" w:fill="FFFFFF"/>
                      <w:lang w:eastAsia="zh-CN"/>
                    </w:rPr>
                    <w:t>占标率</w:t>
                  </w:r>
                </w:p>
              </w:tc>
              <w:tc>
                <w:tcPr>
                  <w:tcW w:w="898" w:type="pct"/>
                  <w:vAlign w:val="center"/>
                </w:tcPr>
                <w:p>
                  <w:pPr>
                    <w:pStyle w:val="68"/>
                    <w:rPr>
                      <w:color w:val="auto"/>
                      <w:lang w:eastAsia="zh-CN"/>
                    </w:rPr>
                  </w:pPr>
                  <w:r>
                    <w:rPr>
                      <w:color w:val="auto"/>
                      <w:lang w:eastAsia="zh-CN"/>
                    </w:rPr>
                    <w:t>52.14%</w:t>
                  </w:r>
                </w:p>
              </w:tc>
              <w:tc>
                <w:tcPr>
                  <w:tcW w:w="957" w:type="pct"/>
                  <w:vAlign w:val="center"/>
                </w:tcPr>
                <w:p>
                  <w:pPr>
                    <w:pStyle w:val="68"/>
                    <w:rPr>
                      <w:color w:val="auto"/>
                      <w:lang w:eastAsia="zh-CN"/>
                    </w:rPr>
                  </w:pPr>
                  <w:r>
                    <w:rPr>
                      <w:color w:val="auto"/>
                      <w:lang w:eastAsia="zh-CN"/>
                    </w:rPr>
                    <w:t>35.5%</w:t>
                  </w:r>
                </w:p>
              </w:tc>
            </w:tr>
          </w:tbl>
          <w:p>
            <w:pPr>
              <w:ind w:firstLine="480"/>
              <w:rPr>
                <w:color w:val="auto"/>
              </w:rPr>
            </w:pPr>
            <w:r>
              <w:rPr>
                <w:rFonts w:hint="eastAsia"/>
                <w:color w:val="auto"/>
              </w:rPr>
              <w:t>根据上表计算结果，在正常工况下，叠加背景值后，项目东侧散户</w:t>
            </w:r>
            <w:r>
              <w:rPr>
                <w:color w:val="auto"/>
              </w:rPr>
              <w:t>H</w:t>
            </w:r>
            <w:r>
              <w:rPr>
                <w:color w:val="auto"/>
                <w:vertAlign w:val="subscript"/>
              </w:rPr>
              <w:t>2</w:t>
            </w:r>
            <w:r>
              <w:rPr>
                <w:color w:val="auto"/>
              </w:rPr>
              <w:t>S</w:t>
            </w:r>
            <w:r>
              <w:rPr>
                <w:rFonts w:hint="eastAsia"/>
                <w:color w:val="auto"/>
                <w:shd w:val="clear" w:fill="FFFFFF"/>
              </w:rPr>
              <w:t>占标</w:t>
            </w:r>
            <w:r>
              <w:rPr>
                <w:rFonts w:hint="eastAsia"/>
                <w:color w:val="auto"/>
              </w:rPr>
              <w:t>率为5</w:t>
            </w:r>
            <w:r>
              <w:rPr>
                <w:color w:val="auto"/>
              </w:rPr>
              <w:t>3.</w:t>
            </w:r>
            <w:r>
              <w:rPr>
                <w:rFonts w:hint="eastAsia"/>
                <w:color w:val="auto"/>
              </w:rPr>
              <w:t>1</w:t>
            </w:r>
            <w:r>
              <w:rPr>
                <w:color w:val="auto"/>
              </w:rPr>
              <w:t>%</w:t>
            </w:r>
            <w:r>
              <w:rPr>
                <w:rFonts w:hint="eastAsia"/>
                <w:color w:val="auto"/>
              </w:rPr>
              <w:t>，</w:t>
            </w:r>
            <w:r>
              <w:rPr>
                <w:color w:val="auto"/>
              </w:rPr>
              <w:t>NH</w:t>
            </w:r>
            <w:r>
              <w:rPr>
                <w:color w:val="auto"/>
                <w:vertAlign w:val="subscript"/>
              </w:rPr>
              <w:t>3</w:t>
            </w:r>
            <w:r>
              <w:rPr>
                <w:color w:val="auto"/>
                <w:shd w:val="clear" w:fill="FFFFFF"/>
              </w:rPr>
              <w:t>占标率</w:t>
            </w:r>
            <w:r>
              <w:rPr>
                <w:rFonts w:hint="eastAsia"/>
                <w:color w:val="auto"/>
              </w:rPr>
              <w:t>3</w:t>
            </w:r>
            <w:r>
              <w:rPr>
                <w:color w:val="auto"/>
              </w:rPr>
              <w:t>6%</w:t>
            </w:r>
            <w:r>
              <w:rPr>
                <w:rFonts w:hint="eastAsia"/>
                <w:color w:val="auto"/>
              </w:rPr>
              <w:t>；彩云中学</w:t>
            </w:r>
            <w:r>
              <w:rPr>
                <w:color w:val="auto"/>
              </w:rPr>
              <w:t>H</w:t>
            </w:r>
            <w:r>
              <w:rPr>
                <w:color w:val="auto"/>
                <w:vertAlign w:val="subscript"/>
              </w:rPr>
              <w:t>2</w:t>
            </w:r>
            <w:r>
              <w:rPr>
                <w:color w:val="auto"/>
              </w:rPr>
              <w:t>S</w:t>
            </w:r>
            <w:r>
              <w:rPr>
                <w:rFonts w:hint="eastAsia"/>
                <w:color w:val="auto"/>
                <w:shd w:val="clear" w:fill="FFFFFF"/>
              </w:rPr>
              <w:t>占标</w:t>
            </w:r>
            <w:r>
              <w:rPr>
                <w:rFonts w:hint="eastAsia"/>
                <w:color w:val="auto"/>
              </w:rPr>
              <w:t>率为</w:t>
            </w:r>
            <w:r>
              <w:rPr>
                <w:color w:val="auto"/>
              </w:rPr>
              <w:t>51.2%</w:t>
            </w:r>
            <w:r>
              <w:rPr>
                <w:rFonts w:hint="eastAsia"/>
                <w:color w:val="auto"/>
              </w:rPr>
              <w:t>，</w:t>
            </w:r>
            <w:r>
              <w:rPr>
                <w:color w:val="auto"/>
              </w:rPr>
              <w:t>NH</w:t>
            </w:r>
            <w:r>
              <w:rPr>
                <w:color w:val="auto"/>
                <w:vertAlign w:val="subscript"/>
              </w:rPr>
              <w:t>3</w:t>
            </w:r>
            <w:r>
              <w:rPr>
                <w:color w:val="auto"/>
                <w:shd w:val="clear" w:fill="FFFFFF"/>
              </w:rPr>
              <w:t>占标率</w:t>
            </w:r>
            <w:r>
              <w:rPr>
                <w:color w:val="auto"/>
              </w:rPr>
              <w:t>35.3%</w:t>
            </w:r>
            <w:r>
              <w:rPr>
                <w:rFonts w:hint="eastAsia"/>
                <w:color w:val="auto"/>
              </w:rPr>
              <w:t>。</w:t>
            </w:r>
          </w:p>
          <w:p>
            <w:pPr>
              <w:ind w:firstLine="480"/>
              <w:rPr>
                <w:color w:val="auto"/>
              </w:rPr>
            </w:pPr>
            <w:r>
              <w:rPr>
                <w:rFonts w:hint="eastAsia"/>
                <w:color w:val="auto"/>
              </w:rPr>
              <w:t>在非正常工况下，叠加背景值后，项目东侧散户</w:t>
            </w:r>
            <w:r>
              <w:rPr>
                <w:color w:val="auto"/>
              </w:rPr>
              <w:t>H</w:t>
            </w:r>
            <w:r>
              <w:rPr>
                <w:color w:val="auto"/>
                <w:vertAlign w:val="subscript"/>
              </w:rPr>
              <w:t>2</w:t>
            </w:r>
            <w:r>
              <w:rPr>
                <w:color w:val="auto"/>
              </w:rPr>
              <w:t>S</w:t>
            </w:r>
            <w:r>
              <w:rPr>
                <w:rFonts w:hint="eastAsia"/>
                <w:color w:val="auto"/>
                <w:shd w:val="clear" w:fill="FFFFFF"/>
              </w:rPr>
              <w:t>占标</w:t>
            </w:r>
            <w:r>
              <w:rPr>
                <w:rFonts w:hint="eastAsia"/>
                <w:color w:val="auto"/>
              </w:rPr>
              <w:t>率为</w:t>
            </w:r>
            <w:r>
              <w:rPr>
                <w:color w:val="auto"/>
              </w:rPr>
              <w:t>56.98%</w:t>
            </w:r>
            <w:r>
              <w:rPr>
                <w:rFonts w:hint="eastAsia"/>
                <w:color w:val="auto"/>
              </w:rPr>
              <w:t>，</w:t>
            </w:r>
            <w:r>
              <w:rPr>
                <w:color w:val="auto"/>
              </w:rPr>
              <w:t>NH</w:t>
            </w:r>
            <w:r>
              <w:rPr>
                <w:color w:val="auto"/>
                <w:vertAlign w:val="subscript"/>
              </w:rPr>
              <w:t>3</w:t>
            </w:r>
            <w:r>
              <w:rPr>
                <w:color w:val="auto"/>
                <w:shd w:val="clear" w:fill="FFFFFF"/>
              </w:rPr>
              <w:t>占标率</w:t>
            </w:r>
            <w:r>
              <w:rPr>
                <w:color w:val="auto"/>
              </w:rPr>
              <w:t>37.44%</w:t>
            </w:r>
            <w:r>
              <w:rPr>
                <w:rFonts w:hint="eastAsia"/>
                <w:color w:val="auto"/>
              </w:rPr>
              <w:t>；彩云中学</w:t>
            </w:r>
            <w:r>
              <w:rPr>
                <w:color w:val="auto"/>
              </w:rPr>
              <w:t>H</w:t>
            </w:r>
            <w:r>
              <w:rPr>
                <w:color w:val="auto"/>
                <w:vertAlign w:val="subscript"/>
              </w:rPr>
              <w:t>2</w:t>
            </w:r>
            <w:r>
              <w:rPr>
                <w:color w:val="auto"/>
              </w:rPr>
              <w:t>S</w:t>
            </w:r>
            <w:r>
              <w:rPr>
                <w:rFonts w:hint="eastAsia"/>
                <w:color w:val="auto"/>
                <w:shd w:val="clear" w:fill="FFFFFF"/>
              </w:rPr>
              <w:t>占标</w:t>
            </w:r>
            <w:r>
              <w:rPr>
                <w:rFonts w:hint="eastAsia"/>
                <w:color w:val="auto"/>
              </w:rPr>
              <w:t>率为5</w:t>
            </w:r>
            <w:r>
              <w:rPr>
                <w:color w:val="auto"/>
              </w:rPr>
              <w:t>2.14%</w:t>
            </w:r>
            <w:r>
              <w:rPr>
                <w:rFonts w:hint="eastAsia"/>
                <w:color w:val="auto"/>
              </w:rPr>
              <w:t>，</w:t>
            </w:r>
            <w:r>
              <w:rPr>
                <w:color w:val="auto"/>
              </w:rPr>
              <w:t>NH</w:t>
            </w:r>
            <w:r>
              <w:rPr>
                <w:color w:val="auto"/>
                <w:vertAlign w:val="subscript"/>
              </w:rPr>
              <w:t>3</w:t>
            </w:r>
            <w:r>
              <w:rPr>
                <w:color w:val="auto"/>
                <w:shd w:val="clear" w:fill="FFFFFF"/>
              </w:rPr>
              <w:t>占标率</w:t>
            </w:r>
            <w:r>
              <w:rPr>
                <w:color w:val="auto"/>
              </w:rPr>
              <w:t>35.5%</w:t>
            </w:r>
            <w:r>
              <w:rPr>
                <w:rFonts w:hint="eastAsia"/>
                <w:color w:val="auto"/>
              </w:rPr>
              <w:t>。</w:t>
            </w:r>
          </w:p>
          <w:p>
            <w:pPr>
              <w:ind w:firstLine="480"/>
              <w:rPr>
                <w:color w:val="auto"/>
              </w:rPr>
            </w:pPr>
            <w:r>
              <w:rPr>
                <w:rFonts w:hint="eastAsia"/>
                <w:color w:val="auto"/>
              </w:rPr>
              <w:t>根据上述结果，正常工况下项目排放的废气对东侧散户和彩云中学影响较小，在非正常排放工况下，项目东侧散户</w:t>
            </w:r>
            <w:r>
              <w:rPr>
                <w:color w:val="auto"/>
              </w:rPr>
              <w:t>H</w:t>
            </w:r>
            <w:r>
              <w:rPr>
                <w:color w:val="auto"/>
                <w:vertAlign w:val="subscript"/>
              </w:rPr>
              <w:t>2</w:t>
            </w:r>
            <w:r>
              <w:rPr>
                <w:color w:val="auto"/>
              </w:rPr>
              <w:t>S</w:t>
            </w:r>
            <w:r>
              <w:rPr>
                <w:rFonts w:hint="eastAsia"/>
                <w:color w:val="auto"/>
              </w:rPr>
              <w:t>、</w:t>
            </w:r>
            <w:r>
              <w:rPr>
                <w:color w:val="auto"/>
              </w:rPr>
              <w:t>NH</w:t>
            </w:r>
            <w:r>
              <w:rPr>
                <w:color w:val="auto"/>
                <w:vertAlign w:val="subscript"/>
              </w:rPr>
              <w:t>3</w:t>
            </w:r>
            <w:r>
              <w:rPr>
                <w:color w:val="auto"/>
                <w:shd w:val="clear" w:fill="FFFFFF"/>
              </w:rPr>
              <w:t>占标</w:t>
            </w:r>
            <w:r>
              <w:rPr>
                <w:color w:val="auto"/>
              </w:rPr>
              <w:t>率</w:t>
            </w:r>
            <w:r>
              <w:rPr>
                <w:rFonts w:hint="eastAsia"/>
                <w:color w:val="auto"/>
              </w:rPr>
              <w:t>相比正常工况均有增加，对其产生不利影响，建设单位已向项目东侧散户征求意见（详见附件13），东侧散户同意本项目建设</w:t>
            </w:r>
            <w:r>
              <w:rPr>
                <w:rFonts w:hint="eastAsia"/>
                <w:color w:val="auto"/>
                <w:lang w:eastAsia="zh-CN"/>
              </w:rPr>
              <w:t>，</w:t>
            </w:r>
            <w:r>
              <w:rPr>
                <w:rFonts w:hint="eastAsia"/>
                <w:color w:val="auto"/>
              </w:rPr>
              <w:t>由于彩云中学距离项目区较远，同时位于侧风向，非正常工况对彩云中学的影响较小。</w:t>
            </w:r>
          </w:p>
          <w:p>
            <w:pPr>
              <w:ind w:firstLine="480"/>
              <w:rPr>
                <w:color w:val="auto"/>
              </w:rPr>
            </w:pPr>
            <w:r>
              <w:rPr>
                <w:rFonts w:hint="eastAsia"/>
                <w:color w:val="auto"/>
              </w:rPr>
              <w:t>综上，运营期需加强对废气治理设备的维护，避免设备运行异常，造成超标排放。</w:t>
            </w:r>
          </w:p>
          <w:p>
            <w:pPr>
              <w:pStyle w:val="61"/>
              <w:spacing w:before="60" w:after="60"/>
              <w:rPr>
                <w:color w:val="auto"/>
              </w:rPr>
            </w:pPr>
            <w:r>
              <w:rPr>
                <w:rFonts w:hint="eastAsia"/>
                <w:color w:val="auto"/>
              </w:rPr>
              <w:t>4.2.2废水环境影响和保护措施</w:t>
            </w:r>
          </w:p>
          <w:p>
            <w:pPr>
              <w:pStyle w:val="61"/>
              <w:spacing w:before="60" w:after="60"/>
              <w:rPr>
                <w:color w:val="auto"/>
              </w:rPr>
            </w:pPr>
            <w:r>
              <w:rPr>
                <w:color w:val="auto"/>
              </w:rPr>
              <w:t>4.2.2.1</w:t>
            </w:r>
            <w:r>
              <w:rPr>
                <w:rFonts w:hint="eastAsia"/>
                <w:color w:val="auto"/>
              </w:rPr>
              <w:t>废水产生和排放情况</w:t>
            </w:r>
          </w:p>
          <w:p>
            <w:pPr>
              <w:pStyle w:val="84"/>
              <w:ind w:firstLine="482"/>
              <w:rPr>
                <w:color w:val="auto"/>
              </w:rPr>
            </w:pPr>
            <w:r>
              <w:rPr>
                <w:rFonts w:hint="eastAsia"/>
                <w:color w:val="auto"/>
              </w:rPr>
              <w:t>1</w:t>
            </w:r>
            <w:r>
              <w:rPr>
                <w:color w:val="auto"/>
              </w:rPr>
              <w:t>.</w:t>
            </w:r>
            <w:r>
              <w:rPr>
                <w:rFonts w:hint="eastAsia"/>
                <w:color w:val="auto"/>
              </w:rPr>
              <w:t>废水排放口基本情况</w:t>
            </w:r>
          </w:p>
          <w:p>
            <w:pPr>
              <w:ind w:firstLine="480"/>
              <w:rPr>
                <w:color w:val="auto"/>
              </w:rPr>
            </w:pPr>
            <w:r>
              <w:rPr>
                <w:rFonts w:hint="eastAsia"/>
                <w:color w:val="auto"/>
              </w:rPr>
              <w:t>由于项目场地周边暂未配套建设污水收集管网，也不在集镇规划区域，厂内无污水排放口设置的条件，因此建设单位与师宗县彩云镇污水处理站协商后，本项目生产废水</w:t>
            </w:r>
            <w:r>
              <w:rPr>
                <w:rFonts w:hint="eastAsia"/>
                <w:color w:val="auto"/>
                <w:shd w:val="clear" w:fill="FFFFFF"/>
              </w:rPr>
              <w:t>经</w:t>
            </w:r>
            <w:r>
              <w:rPr>
                <w:rFonts w:hint="eastAsia"/>
                <w:color w:val="auto"/>
              </w:rPr>
              <w:t>一体化污水处理站处理后排入厂区污水池暂存，定期采用罐车运送至彩云镇污水处理站进行处置，全厂不设排放口。</w:t>
            </w:r>
          </w:p>
          <w:p>
            <w:pPr>
              <w:pStyle w:val="84"/>
              <w:ind w:firstLine="482"/>
              <w:rPr>
                <w:color w:val="auto"/>
              </w:rPr>
            </w:pPr>
            <w:r>
              <w:rPr>
                <w:rFonts w:hint="eastAsia"/>
                <w:color w:val="auto"/>
              </w:rPr>
              <w:t>2.废水治理措施</w:t>
            </w:r>
          </w:p>
          <w:p>
            <w:pPr>
              <w:autoSpaceDE w:val="0"/>
              <w:adjustRightInd w:val="0"/>
              <w:snapToGrid w:val="0"/>
              <w:ind w:firstLine="480"/>
              <w:rPr>
                <w:color w:val="auto"/>
                <w:kern w:val="0"/>
              </w:rPr>
            </w:pPr>
            <w:r>
              <w:rPr>
                <w:rFonts w:hint="eastAsia"/>
                <w:color w:val="auto"/>
                <w:kern w:val="0"/>
              </w:rPr>
              <w:t>本项目废水污染治理措施见下表。</w:t>
            </w:r>
          </w:p>
          <w:p>
            <w:pPr>
              <w:pStyle w:val="8"/>
              <w:rPr>
                <w:rFonts w:ascii="Times New Roman" w:hAnsi="Times New Roman" w:cs="Times New Roman"/>
                <w:color w:val="auto"/>
              </w:rPr>
            </w:pPr>
            <w:r>
              <w:rPr>
                <w:rFonts w:ascii="Times New Roman" w:hAnsi="Times New Roman" w:cs="Times New Roman"/>
                <w:color w:val="auto"/>
              </w:rPr>
              <w:t>表4</w:t>
            </w:r>
            <w:r>
              <w:rPr>
                <w:rFonts w:hint="eastAsia" w:ascii="Times New Roman" w:hAnsi="Times New Roman" w:cs="Times New Roman"/>
                <w:color w:val="auto"/>
              </w:rPr>
              <w:t>.2-</w:t>
            </w:r>
            <w:r>
              <w:rPr>
                <w:rFonts w:ascii="Times New Roman" w:hAnsi="Times New Roman" w:cs="Times New Roman"/>
                <w:color w:val="auto"/>
              </w:rPr>
              <w:t>1</w:t>
            </w:r>
            <w:r>
              <w:rPr>
                <w:rFonts w:hint="eastAsia" w:ascii="Times New Roman" w:hAnsi="Times New Roman" w:cs="Times New Roman"/>
                <w:color w:val="auto"/>
                <w:lang w:val="en-US" w:eastAsia="zh-CN"/>
              </w:rPr>
              <w:t xml:space="preserve">7 </w:t>
            </w:r>
            <w:r>
              <w:rPr>
                <w:rFonts w:ascii="Times New Roman" w:hAnsi="Times New Roman" w:cs="Times New Roman"/>
                <w:color w:val="auto"/>
              </w:rPr>
              <w:t xml:space="preserve"> </w:t>
            </w:r>
            <w:r>
              <w:rPr>
                <w:rFonts w:hint="eastAsia" w:ascii="Times New Roman" w:hAnsi="Times New Roman" w:cs="Times New Roman"/>
                <w:color w:val="auto"/>
              </w:rPr>
              <w:t>废水</w:t>
            </w:r>
            <w:r>
              <w:rPr>
                <w:rFonts w:ascii="Times New Roman" w:hAnsi="Times New Roman" w:cs="Times New Roman"/>
                <w:color w:val="auto"/>
              </w:rPr>
              <w:t>污染物治理设施概况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205"/>
              <w:gridCol w:w="1749"/>
              <w:gridCol w:w="2670"/>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7" w:type="pct"/>
                  <w:vMerge w:val="restart"/>
                  <w:vAlign w:val="center"/>
                </w:tcPr>
                <w:p>
                  <w:pPr>
                    <w:pStyle w:val="68"/>
                    <w:rPr>
                      <w:rFonts w:hint="eastAsia"/>
                      <w:b/>
                      <w:bCs/>
                      <w:color w:val="auto"/>
                    </w:rPr>
                  </w:pPr>
                  <w:r>
                    <w:rPr>
                      <w:rFonts w:hint="eastAsia"/>
                      <w:b/>
                      <w:bCs/>
                      <w:color w:val="auto"/>
                    </w:rPr>
                    <w:t>产</w:t>
                  </w:r>
                  <w:r>
                    <w:rPr>
                      <w:rFonts w:hint="eastAsia"/>
                      <w:b/>
                      <w:bCs/>
                      <w:color w:val="auto"/>
                      <w:shd w:val="clear" w:fill="FFFFFF"/>
                    </w:rPr>
                    <w:t>污</w:t>
                  </w:r>
                </w:p>
                <w:p>
                  <w:pPr>
                    <w:pStyle w:val="68"/>
                    <w:rPr>
                      <w:b/>
                      <w:bCs/>
                      <w:color w:val="auto"/>
                    </w:rPr>
                  </w:pPr>
                  <w:r>
                    <w:rPr>
                      <w:rFonts w:hint="eastAsia"/>
                      <w:b/>
                      <w:bCs/>
                      <w:color w:val="auto"/>
                    </w:rPr>
                    <w:t>环节</w:t>
                  </w:r>
                </w:p>
              </w:tc>
              <w:tc>
                <w:tcPr>
                  <w:tcW w:w="768" w:type="pct"/>
                  <w:vMerge w:val="restart"/>
                  <w:vAlign w:val="center"/>
                </w:tcPr>
                <w:p>
                  <w:pPr>
                    <w:pStyle w:val="68"/>
                    <w:rPr>
                      <w:b/>
                      <w:bCs/>
                      <w:color w:val="auto"/>
                    </w:rPr>
                  </w:pPr>
                  <w:r>
                    <w:rPr>
                      <w:rFonts w:hint="eastAsia"/>
                      <w:b/>
                      <w:bCs/>
                      <w:color w:val="auto"/>
                    </w:rPr>
                    <w:t>废水类别</w:t>
                  </w:r>
                </w:p>
              </w:tc>
              <w:tc>
                <w:tcPr>
                  <w:tcW w:w="3684" w:type="pct"/>
                  <w:gridSpan w:val="3"/>
                  <w:vAlign w:val="center"/>
                </w:tcPr>
                <w:p>
                  <w:pPr>
                    <w:pStyle w:val="68"/>
                    <w:rPr>
                      <w:b/>
                      <w:bCs/>
                      <w:color w:val="auto"/>
                    </w:rPr>
                  </w:pPr>
                  <w:r>
                    <w:rPr>
                      <w:rFonts w:hint="eastAsia"/>
                      <w:b/>
                      <w:bCs/>
                      <w:color w:val="auto"/>
                    </w:rPr>
                    <w:t>污染物治理设施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47" w:type="pct"/>
                  <w:vMerge w:val="continue"/>
                  <w:vAlign w:val="center"/>
                </w:tcPr>
                <w:p>
                  <w:pPr>
                    <w:pStyle w:val="68"/>
                    <w:rPr>
                      <w:b/>
                      <w:bCs/>
                      <w:color w:val="auto"/>
                    </w:rPr>
                  </w:pPr>
                </w:p>
              </w:tc>
              <w:tc>
                <w:tcPr>
                  <w:tcW w:w="768" w:type="pct"/>
                  <w:vMerge w:val="continue"/>
                  <w:vAlign w:val="center"/>
                </w:tcPr>
                <w:p>
                  <w:pPr>
                    <w:pStyle w:val="68"/>
                    <w:rPr>
                      <w:b/>
                      <w:bCs/>
                      <w:color w:val="auto"/>
                    </w:rPr>
                  </w:pPr>
                </w:p>
              </w:tc>
              <w:tc>
                <w:tcPr>
                  <w:tcW w:w="1115" w:type="pct"/>
                  <w:vAlign w:val="center"/>
                </w:tcPr>
                <w:p>
                  <w:pPr>
                    <w:pStyle w:val="68"/>
                    <w:rPr>
                      <w:b/>
                      <w:bCs/>
                      <w:color w:val="auto"/>
                    </w:rPr>
                  </w:pPr>
                  <w:r>
                    <w:rPr>
                      <w:rFonts w:hint="eastAsia"/>
                      <w:b/>
                      <w:bCs/>
                      <w:color w:val="auto"/>
                      <w:lang w:eastAsia="zh-CN"/>
                    </w:rPr>
                    <w:t>收集/</w:t>
                  </w:r>
                  <w:r>
                    <w:rPr>
                      <w:rFonts w:hint="eastAsia"/>
                      <w:b/>
                      <w:bCs/>
                      <w:color w:val="auto"/>
                    </w:rPr>
                    <w:t>治理</w:t>
                  </w:r>
                  <w:r>
                    <w:rPr>
                      <w:rFonts w:hint="eastAsia"/>
                      <w:b/>
                      <w:bCs/>
                      <w:color w:val="auto"/>
                      <w:lang w:eastAsia="zh-CN"/>
                    </w:rPr>
                    <w:t>设施</w:t>
                  </w:r>
                </w:p>
              </w:tc>
              <w:tc>
                <w:tcPr>
                  <w:tcW w:w="1702" w:type="pct"/>
                  <w:vAlign w:val="center"/>
                </w:tcPr>
                <w:p>
                  <w:pPr>
                    <w:pStyle w:val="68"/>
                    <w:rPr>
                      <w:b/>
                      <w:bCs/>
                      <w:color w:val="auto"/>
                    </w:rPr>
                  </w:pPr>
                  <w:r>
                    <w:rPr>
                      <w:rFonts w:hint="eastAsia"/>
                      <w:b/>
                      <w:bCs/>
                      <w:color w:val="auto"/>
                      <w:lang w:eastAsia="zh-CN"/>
                    </w:rPr>
                    <w:t>设施规格</w:t>
                  </w:r>
                </w:p>
              </w:tc>
              <w:tc>
                <w:tcPr>
                  <w:tcW w:w="865" w:type="pct"/>
                  <w:vAlign w:val="center"/>
                </w:tcPr>
                <w:p>
                  <w:pPr>
                    <w:pStyle w:val="68"/>
                    <w:rPr>
                      <w:b/>
                      <w:bCs/>
                      <w:color w:val="auto"/>
                    </w:rPr>
                  </w:pPr>
                  <w:r>
                    <w:rPr>
                      <w:rFonts w:hint="eastAsia"/>
                      <w:b/>
                      <w:bCs/>
                      <w:color w:val="auto"/>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47" w:type="pct"/>
                  <w:vAlign w:val="center"/>
                </w:tcPr>
                <w:p>
                  <w:pPr>
                    <w:pStyle w:val="68"/>
                    <w:rPr>
                      <w:color w:val="auto"/>
                      <w:lang w:eastAsia="zh-CN"/>
                    </w:rPr>
                  </w:pPr>
                  <w:r>
                    <w:rPr>
                      <w:rFonts w:hint="eastAsia"/>
                      <w:color w:val="auto"/>
                      <w:lang w:eastAsia="zh-CN"/>
                    </w:rPr>
                    <w:t>餐厨垃圾处置</w:t>
                  </w:r>
                </w:p>
              </w:tc>
              <w:tc>
                <w:tcPr>
                  <w:tcW w:w="768" w:type="pct"/>
                  <w:vAlign w:val="center"/>
                </w:tcPr>
                <w:p>
                  <w:pPr>
                    <w:pStyle w:val="68"/>
                    <w:rPr>
                      <w:color w:val="auto"/>
                      <w:lang w:eastAsia="zh-CN"/>
                    </w:rPr>
                  </w:pPr>
                  <w:r>
                    <w:rPr>
                      <w:rFonts w:hint="eastAsia"/>
                      <w:color w:val="auto"/>
                      <w:lang w:eastAsia="zh-CN"/>
                    </w:rPr>
                    <w:t>生产废水</w:t>
                  </w:r>
                </w:p>
              </w:tc>
              <w:tc>
                <w:tcPr>
                  <w:tcW w:w="1115" w:type="pct"/>
                  <w:vAlign w:val="center"/>
                </w:tcPr>
                <w:p>
                  <w:pPr>
                    <w:pStyle w:val="68"/>
                    <w:rPr>
                      <w:color w:val="auto"/>
                      <w:lang w:eastAsia="zh-CN"/>
                    </w:rPr>
                  </w:pPr>
                  <w:r>
                    <w:rPr>
                      <w:rFonts w:hint="eastAsia"/>
                      <w:color w:val="auto"/>
                      <w:lang w:eastAsia="zh-CN"/>
                    </w:rPr>
                    <w:t>一体化污水处理站</w:t>
                  </w:r>
                </w:p>
              </w:tc>
              <w:tc>
                <w:tcPr>
                  <w:tcW w:w="1702" w:type="pct"/>
                  <w:vAlign w:val="center"/>
                </w:tcPr>
                <w:p>
                  <w:pPr>
                    <w:pStyle w:val="68"/>
                    <w:rPr>
                      <w:color w:val="auto"/>
                      <w:lang w:eastAsia="zh-CN"/>
                    </w:rPr>
                  </w:pPr>
                  <w:r>
                    <w:rPr>
                      <w:rFonts w:hint="eastAsia"/>
                      <w:color w:val="auto"/>
                      <w:lang w:eastAsia="zh-CN"/>
                    </w:rPr>
                    <w:t>处理规模</w:t>
                  </w:r>
                  <w:r>
                    <w:rPr>
                      <w:rFonts w:hint="eastAsia"/>
                      <w:color w:val="auto"/>
                      <w:lang w:val="en-US" w:eastAsia="zh-CN"/>
                    </w:rPr>
                    <w:t>31</w:t>
                  </w:r>
                  <w:r>
                    <w:rPr>
                      <w:rFonts w:hint="eastAsia"/>
                      <w:color w:val="auto"/>
                      <w:lang w:eastAsia="zh-CN"/>
                    </w:rPr>
                    <w:t>m³</w:t>
                  </w:r>
                  <w:r>
                    <w:rPr>
                      <w:color w:val="auto"/>
                      <w:lang w:eastAsia="zh-CN"/>
                    </w:rPr>
                    <w:t>/</w:t>
                  </w:r>
                  <w:r>
                    <w:rPr>
                      <w:rFonts w:hint="eastAsia"/>
                      <w:color w:val="auto"/>
                      <w:lang w:eastAsia="zh-CN"/>
                    </w:rPr>
                    <w:t>d，工艺：</w:t>
                  </w:r>
                  <w:r>
                    <w:rPr>
                      <w:rFonts w:hint="eastAsia"/>
                      <w:color w:val="auto"/>
                    </w:rPr>
                    <w:t>格栅+调节池+气浮沉淀预处理+UASB 厌氧处理+两级AO+MBR膜处理</w:t>
                  </w:r>
                </w:p>
              </w:tc>
              <w:tc>
                <w:tcPr>
                  <w:tcW w:w="865" w:type="pct"/>
                  <w:vAlign w:val="center"/>
                </w:tcPr>
                <w:p>
                  <w:pPr>
                    <w:pStyle w:val="68"/>
                    <w:rPr>
                      <w:color w:val="auto"/>
                      <w:lang w:eastAsia="zh-CN"/>
                    </w:rPr>
                  </w:pPr>
                  <w:r>
                    <w:rPr>
                      <w:rFonts w:hint="eastAsia"/>
                      <w:color w:val="auto"/>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47" w:type="pct"/>
                  <w:vAlign w:val="center"/>
                </w:tcPr>
                <w:p>
                  <w:pPr>
                    <w:pStyle w:val="68"/>
                    <w:rPr>
                      <w:color w:val="auto"/>
                      <w:lang w:eastAsia="zh-CN"/>
                    </w:rPr>
                  </w:pPr>
                  <w:r>
                    <w:rPr>
                      <w:rFonts w:hint="eastAsia"/>
                      <w:color w:val="auto"/>
                      <w:lang w:eastAsia="zh-CN"/>
                    </w:rPr>
                    <w:t>办公</w:t>
                  </w:r>
                </w:p>
              </w:tc>
              <w:tc>
                <w:tcPr>
                  <w:tcW w:w="768" w:type="pct"/>
                  <w:vAlign w:val="center"/>
                </w:tcPr>
                <w:p>
                  <w:pPr>
                    <w:pStyle w:val="68"/>
                    <w:rPr>
                      <w:color w:val="auto"/>
                    </w:rPr>
                  </w:pPr>
                  <w:r>
                    <w:rPr>
                      <w:rFonts w:hint="eastAsia"/>
                      <w:color w:val="auto"/>
                      <w:lang w:eastAsia="zh-CN"/>
                    </w:rPr>
                    <w:t>生活污水</w:t>
                  </w:r>
                </w:p>
              </w:tc>
              <w:tc>
                <w:tcPr>
                  <w:tcW w:w="1115" w:type="pct"/>
                  <w:vAlign w:val="center"/>
                </w:tcPr>
                <w:p>
                  <w:pPr>
                    <w:pStyle w:val="68"/>
                    <w:rPr>
                      <w:color w:val="auto"/>
                      <w:lang w:eastAsia="zh-CN"/>
                    </w:rPr>
                  </w:pPr>
                  <w:r>
                    <w:rPr>
                      <w:rFonts w:hint="eastAsia"/>
                      <w:color w:val="auto"/>
                      <w:lang w:eastAsia="zh-CN"/>
                    </w:rPr>
                    <w:t>化粪池</w:t>
                  </w:r>
                </w:p>
              </w:tc>
              <w:tc>
                <w:tcPr>
                  <w:tcW w:w="1702" w:type="pct"/>
                  <w:vAlign w:val="center"/>
                </w:tcPr>
                <w:p>
                  <w:pPr>
                    <w:pStyle w:val="68"/>
                    <w:rPr>
                      <w:color w:val="auto"/>
                      <w:lang w:eastAsia="zh-CN"/>
                    </w:rPr>
                  </w:pPr>
                  <w:r>
                    <w:rPr>
                      <w:rFonts w:hint="eastAsia"/>
                      <w:color w:val="auto"/>
                      <w:lang w:eastAsia="zh-CN"/>
                    </w:rPr>
                    <w:t>化粪池1个，容积</w:t>
                  </w:r>
                  <w:r>
                    <w:rPr>
                      <w:color w:val="auto"/>
                      <w:lang w:eastAsia="zh-CN"/>
                    </w:rPr>
                    <w:t>5</w:t>
                  </w:r>
                  <w:r>
                    <w:rPr>
                      <w:rFonts w:hint="eastAsia"/>
                      <w:color w:val="auto"/>
                      <w:lang w:val="en-US" w:eastAsia="zh-CN"/>
                    </w:rPr>
                    <w:t>m³</w:t>
                  </w:r>
                </w:p>
              </w:tc>
              <w:tc>
                <w:tcPr>
                  <w:tcW w:w="865" w:type="pct"/>
                  <w:vAlign w:val="center"/>
                </w:tcPr>
                <w:p>
                  <w:pPr>
                    <w:pStyle w:val="68"/>
                    <w:rPr>
                      <w:color w:val="auto"/>
                      <w:lang w:eastAsia="zh-CN"/>
                    </w:rPr>
                  </w:pPr>
                  <w:r>
                    <w:rPr>
                      <w:rFonts w:hint="eastAsia"/>
                      <w:color w:val="auto"/>
                      <w:lang w:eastAsia="zh-CN"/>
                    </w:rPr>
                    <w:t>/</w:t>
                  </w:r>
                </w:p>
              </w:tc>
            </w:tr>
          </w:tbl>
          <w:p>
            <w:pPr>
              <w:pStyle w:val="75"/>
              <w:rPr>
                <w:color w:val="auto"/>
              </w:rPr>
            </w:pPr>
            <w:r>
              <w:rPr>
                <w:color w:val="auto"/>
              </w:rPr>
              <w:t>4.2.2.2</w:t>
            </w:r>
            <w:r>
              <w:rPr>
                <w:rFonts w:hint="eastAsia"/>
                <w:color w:val="auto"/>
              </w:rPr>
              <w:t>废水监测计划</w:t>
            </w:r>
          </w:p>
          <w:p>
            <w:pPr>
              <w:ind w:firstLine="480"/>
              <w:rPr>
                <w:color w:val="auto"/>
              </w:rPr>
            </w:pPr>
            <w:r>
              <w:rPr>
                <w:rFonts w:hint="eastAsia"/>
                <w:color w:val="auto"/>
              </w:rPr>
              <w:t>根据《排污许可证申请与核发技术规范环境卫生管理业》（HJ 1106-2020）中相关内容要求，本项目废水的监测要求如下：</w:t>
            </w:r>
          </w:p>
          <w:p>
            <w:pPr>
              <w:pStyle w:val="71"/>
              <w:rPr>
                <w:color w:val="auto"/>
              </w:rPr>
            </w:pPr>
            <w:r>
              <w:rPr>
                <w:color w:val="auto"/>
              </w:rPr>
              <w:t>表4</w:t>
            </w:r>
            <w:r>
              <w:rPr>
                <w:rFonts w:hint="eastAsia"/>
                <w:color w:val="auto"/>
              </w:rPr>
              <w:t>.2</w:t>
            </w:r>
            <w:r>
              <w:rPr>
                <w:color w:val="auto"/>
              </w:rPr>
              <w:t>-</w:t>
            </w:r>
            <w:r>
              <w:rPr>
                <w:rFonts w:hint="eastAsia"/>
                <w:color w:val="auto"/>
              </w:rPr>
              <w:t>1</w:t>
            </w:r>
            <w:r>
              <w:rPr>
                <w:rFonts w:hint="eastAsia"/>
                <w:color w:val="auto"/>
                <w:lang w:val="en-US" w:eastAsia="zh-CN"/>
              </w:rPr>
              <w:t xml:space="preserve">8 </w:t>
            </w:r>
            <w:r>
              <w:rPr>
                <w:color w:val="auto"/>
              </w:rPr>
              <w:t xml:space="preserve"> </w:t>
            </w:r>
            <w:r>
              <w:rPr>
                <w:rFonts w:hint="eastAsia"/>
                <w:color w:val="auto"/>
              </w:rPr>
              <w:t>废水</w:t>
            </w:r>
            <w:r>
              <w:rPr>
                <w:color w:val="auto"/>
              </w:rPr>
              <w:t>监测要求</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2259"/>
              <w:gridCol w:w="1179"/>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40" w:type="dxa"/>
                  <w:vAlign w:val="center"/>
                </w:tcPr>
                <w:p>
                  <w:pPr>
                    <w:pStyle w:val="68"/>
                    <w:rPr>
                      <w:b/>
                      <w:bCs/>
                      <w:color w:val="auto"/>
                    </w:rPr>
                  </w:pPr>
                  <w:r>
                    <w:rPr>
                      <w:rFonts w:hint="eastAsia"/>
                      <w:b/>
                      <w:bCs/>
                      <w:color w:val="auto"/>
                    </w:rPr>
                    <w:t>监测点位</w:t>
                  </w:r>
                </w:p>
              </w:tc>
              <w:tc>
                <w:tcPr>
                  <w:tcW w:w="2259" w:type="dxa"/>
                  <w:vAlign w:val="center"/>
                </w:tcPr>
                <w:p>
                  <w:pPr>
                    <w:pStyle w:val="68"/>
                    <w:rPr>
                      <w:b/>
                      <w:bCs/>
                      <w:color w:val="auto"/>
                    </w:rPr>
                  </w:pPr>
                  <w:r>
                    <w:rPr>
                      <w:rFonts w:hint="eastAsia"/>
                      <w:b/>
                      <w:bCs/>
                      <w:color w:val="auto"/>
                    </w:rPr>
                    <w:t>监测指标</w:t>
                  </w:r>
                </w:p>
              </w:tc>
              <w:tc>
                <w:tcPr>
                  <w:tcW w:w="1179" w:type="dxa"/>
                  <w:vAlign w:val="center"/>
                </w:tcPr>
                <w:p>
                  <w:pPr>
                    <w:pStyle w:val="68"/>
                    <w:rPr>
                      <w:b/>
                      <w:bCs/>
                      <w:color w:val="auto"/>
                    </w:rPr>
                  </w:pPr>
                  <w:r>
                    <w:rPr>
                      <w:rFonts w:hint="eastAsia"/>
                      <w:b/>
                      <w:bCs/>
                      <w:color w:val="auto"/>
                    </w:rPr>
                    <w:t>监测频次</w:t>
                  </w:r>
                </w:p>
              </w:tc>
              <w:tc>
                <w:tcPr>
                  <w:tcW w:w="3264" w:type="dxa"/>
                  <w:vAlign w:val="center"/>
                </w:tcPr>
                <w:p>
                  <w:pPr>
                    <w:pStyle w:val="68"/>
                    <w:rPr>
                      <w:b/>
                      <w:bCs/>
                      <w:color w:val="auto"/>
                    </w:rPr>
                  </w:pPr>
                  <w:r>
                    <w:rPr>
                      <w:rFonts w:hint="eastAsia"/>
                      <w:b/>
                      <w:bCs/>
                      <w:color w:val="auto"/>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vAlign w:val="center"/>
                </w:tcPr>
                <w:p>
                  <w:pPr>
                    <w:pStyle w:val="68"/>
                    <w:rPr>
                      <w:color w:val="auto"/>
                    </w:rPr>
                  </w:pPr>
                  <w:r>
                    <w:rPr>
                      <w:rFonts w:hint="eastAsia"/>
                      <w:color w:val="auto"/>
                      <w:lang w:eastAsia="zh-CN"/>
                    </w:rPr>
                    <w:t>污水池</w:t>
                  </w:r>
                </w:p>
              </w:tc>
              <w:tc>
                <w:tcPr>
                  <w:tcW w:w="2259" w:type="dxa"/>
                  <w:vAlign w:val="center"/>
                </w:tcPr>
                <w:p>
                  <w:pPr>
                    <w:pStyle w:val="68"/>
                    <w:rPr>
                      <w:color w:val="auto"/>
                    </w:rPr>
                  </w:pPr>
                  <w:r>
                    <w:rPr>
                      <w:rFonts w:hint="eastAsia"/>
                      <w:color w:val="auto"/>
                    </w:rPr>
                    <w:t>pH、化学需氧量、氨氮、总氮、总磷、悬浮物、五日生化需氧量、动植物油</w:t>
                  </w:r>
                </w:p>
              </w:tc>
              <w:tc>
                <w:tcPr>
                  <w:tcW w:w="1179" w:type="dxa"/>
                  <w:vAlign w:val="center"/>
                </w:tcPr>
                <w:p>
                  <w:pPr>
                    <w:pStyle w:val="68"/>
                    <w:rPr>
                      <w:rFonts w:hint="default"/>
                      <w:color w:val="auto"/>
                      <w:lang w:val="en-US"/>
                    </w:rPr>
                  </w:pPr>
                  <w:r>
                    <w:rPr>
                      <w:rFonts w:hint="eastAsia"/>
                      <w:color w:val="auto"/>
                      <w:lang w:val="en-US" w:eastAsia="zh-CN"/>
                    </w:rPr>
                    <w:t>次/</w:t>
                  </w:r>
                  <w:r>
                    <w:rPr>
                      <w:rFonts w:hint="eastAsia"/>
                      <w:color w:val="auto"/>
                      <w:lang w:eastAsia="zh-CN"/>
                    </w:rPr>
                    <w:t>年</w:t>
                  </w:r>
                </w:p>
              </w:tc>
              <w:tc>
                <w:tcPr>
                  <w:tcW w:w="3264" w:type="dxa"/>
                  <w:vAlign w:val="center"/>
                </w:tcPr>
                <w:p>
                  <w:pPr>
                    <w:pStyle w:val="68"/>
                    <w:rPr>
                      <w:rFonts w:hint="default"/>
                      <w:color w:val="auto"/>
                      <w:lang w:val="en-US"/>
                    </w:rPr>
                  </w:pPr>
                  <w:r>
                    <w:rPr>
                      <w:rFonts w:hint="eastAsia"/>
                      <w:color w:val="auto"/>
                    </w:rPr>
                    <w:t>《污水排入城镇下水道水质标准》（</w:t>
                  </w:r>
                  <w:r>
                    <w:rPr>
                      <w:color w:val="auto"/>
                    </w:rPr>
                    <w:t>GB/T31962-2015</w:t>
                  </w:r>
                  <w:r>
                    <w:rPr>
                      <w:rFonts w:hint="eastAsia"/>
                      <w:color w:val="auto"/>
                    </w:rPr>
                    <w:t>）</w:t>
                  </w:r>
                  <w:r>
                    <w:rPr>
                      <w:rFonts w:hint="eastAsia"/>
                      <w:color w:val="auto"/>
                      <w:lang w:eastAsia="zh-CN"/>
                    </w:rPr>
                    <w:t>B等级标准、</w:t>
                  </w:r>
                  <w:r>
                    <w:rPr>
                      <w:rFonts w:hint="eastAsia"/>
                      <w:color w:val="auto"/>
                      <w:lang w:val="en-US" w:eastAsia="zh-CN"/>
                    </w:rPr>
                    <w:t>《污水综合排放标准》（GB8978-1996）三级标准最严</w:t>
                  </w:r>
                  <w:r>
                    <w:rPr>
                      <w:rFonts w:hint="eastAsia"/>
                      <w:color w:val="auto"/>
                      <w:shd w:val="clear" w:fill="FFFFFF"/>
                      <w:lang w:val="en-US" w:eastAsia="zh-CN"/>
                    </w:rPr>
                    <w:t>值</w:t>
                  </w:r>
                </w:p>
              </w:tc>
            </w:tr>
          </w:tbl>
          <w:p>
            <w:pPr>
              <w:pStyle w:val="68"/>
              <w:rPr>
                <w:color w:val="auto"/>
              </w:rPr>
            </w:pPr>
          </w:p>
          <w:p>
            <w:pPr>
              <w:pStyle w:val="75"/>
              <w:rPr>
                <w:color w:val="auto"/>
              </w:rPr>
            </w:pPr>
            <w:r>
              <w:rPr>
                <w:rFonts w:hint="eastAsia"/>
                <w:color w:val="auto"/>
              </w:rPr>
              <w:t>4.2.2.</w:t>
            </w:r>
            <w:r>
              <w:rPr>
                <w:color w:val="auto"/>
              </w:rPr>
              <w:t>3</w:t>
            </w:r>
            <w:r>
              <w:rPr>
                <w:rFonts w:hint="eastAsia"/>
                <w:color w:val="auto"/>
              </w:rPr>
              <w:t>废水污染源强核算</w:t>
            </w:r>
          </w:p>
          <w:p>
            <w:pPr>
              <w:pStyle w:val="84"/>
              <w:ind w:firstLine="482"/>
              <w:rPr>
                <w:color w:val="auto"/>
              </w:rPr>
            </w:pPr>
            <w:r>
              <w:rPr>
                <w:rFonts w:hint="eastAsia"/>
                <w:color w:val="auto"/>
              </w:rPr>
              <w:t>1</w:t>
            </w:r>
            <w:r>
              <w:rPr>
                <w:color w:val="auto"/>
              </w:rPr>
              <w:t>.</w:t>
            </w:r>
            <w:r>
              <w:rPr>
                <w:rFonts w:hint="eastAsia"/>
                <w:color w:val="auto"/>
              </w:rPr>
              <w:t>餐厨垃圾脱水废水</w:t>
            </w:r>
          </w:p>
          <w:p>
            <w:pPr>
              <w:ind w:firstLine="480"/>
              <w:rPr>
                <w:rFonts w:hint="eastAsia"/>
                <w:color w:val="auto"/>
              </w:rPr>
            </w:pPr>
            <w:r>
              <w:rPr>
                <w:rFonts w:hint="eastAsia"/>
                <w:color w:val="auto"/>
              </w:rPr>
              <w:t>根据前文分析，本项目餐厨垃圾综合含水率为</w:t>
            </w:r>
            <w:r>
              <w:rPr>
                <w:color w:val="auto"/>
              </w:rPr>
              <w:t>90%，</w:t>
            </w:r>
            <w:r>
              <w:rPr>
                <w:rFonts w:hint="eastAsia"/>
                <w:color w:val="auto"/>
              </w:rPr>
              <w:t>根据设备工艺参数，</w:t>
            </w:r>
            <w:r>
              <w:rPr>
                <w:color w:val="auto"/>
              </w:rPr>
              <w:t>脱水</w:t>
            </w:r>
            <w:r>
              <w:rPr>
                <w:rFonts w:hint="eastAsia"/>
                <w:color w:val="auto"/>
              </w:rPr>
              <w:t>和三相分离去除约</w:t>
            </w:r>
            <w:r>
              <w:rPr>
                <w:color w:val="auto"/>
              </w:rPr>
              <w:t>30%</w:t>
            </w:r>
            <w:r>
              <w:rPr>
                <w:rFonts w:hint="eastAsia"/>
                <w:color w:val="auto"/>
              </w:rPr>
              <w:t>的水分，约</w:t>
            </w:r>
            <w:r>
              <w:rPr>
                <w:color w:val="auto"/>
              </w:rPr>
              <w:t>55%</w:t>
            </w:r>
            <w:r>
              <w:rPr>
                <w:rFonts w:hint="eastAsia"/>
                <w:color w:val="auto"/>
              </w:rPr>
              <w:t>的</w:t>
            </w:r>
            <w:r>
              <w:rPr>
                <w:rFonts w:hint="eastAsia"/>
                <w:color w:val="auto"/>
                <w:lang w:val="en-US" w:eastAsia="zh-CN"/>
              </w:rPr>
              <w:t>水分</w:t>
            </w:r>
            <w:r>
              <w:rPr>
                <w:rFonts w:hint="eastAsia"/>
                <w:color w:val="auto"/>
              </w:rPr>
              <w:t>保留在餐厨垃圾</w:t>
            </w:r>
            <w:r>
              <w:rPr>
                <w:rFonts w:hint="eastAsia"/>
                <w:color w:val="auto"/>
                <w:shd w:val="clear" w:fill="FFFFFF"/>
              </w:rPr>
              <w:t>干</w:t>
            </w:r>
            <w:r>
              <w:rPr>
                <w:rFonts w:hint="eastAsia"/>
                <w:color w:val="auto"/>
              </w:rPr>
              <w:t>渣中，三相分离后粗油脂中约含</w:t>
            </w:r>
            <w:r>
              <w:rPr>
                <w:color w:val="auto"/>
              </w:rPr>
              <w:t>5%</w:t>
            </w:r>
            <w:r>
              <w:rPr>
                <w:rFonts w:hint="eastAsia"/>
                <w:color w:val="auto"/>
              </w:rPr>
              <w:t>的水分。</w:t>
            </w:r>
          </w:p>
          <w:p>
            <w:pPr>
              <w:ind w:firstLine="480"/>
              <w:rPr>
                <w:rFonts w:hint="eastAsia"/>
                <w:color w:val="auto"/>
              </w:rPr>
            </w:pPr>
            <w:r>
              <w:rPr>
                <w:rFonts w:hint="eastAsia"/>
                <w:color w:val="auto"/>
              </w:rPr>
              <w:t>锅炉用水量为</w:t>
            </w:r>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锅炉产生蒸汽（5.6t）全部进入三相分离工段</w:t>
            </w:r>
            <w:r>
              <w:rPr>
                <w:rFonts w:hint="eastAsia"/>
                <w:color w:val="auto"/>
              </w:rPr>
              <w:t>，</w:t>
            </w:r>
            <w:r>
              <w:rPr>
                <w:rFonts w:hint="eastAsia"/>
                <w:color w:val="auto"/>
                <w:lang w:val="en-US" w:eastAsia="zh-CN"/>
              </w:rPr>
              <w:t>其中进入三相分离工段的蒸汽20%（1.12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，336</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外环境，80%蒸汽（4.48</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，1344</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）冷凝后进入三相分离产生的分离废水</w:t>
            </w:r>
            <w:r>
              <w:rPr>
                <w:rFonts w:hint="eastAsia"/>
                <w:color w:val="auto"/>
                <w:lang w:eastAsia="zh-CN"/>
              </w:rPr>
              <w:t>；</w:t>
            </w:r>
            <w:r>
              <w:rPr>
                <w:rFonts w:hint="eastAsia"/>
                <w:color w:val="auto"/>
                <w:lang w:val="en-US" w:eastAsia="zh-CN"/>
              </w:rPr>
              <w:t>其余锅炉产生蒸汽（12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，3600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w:t>
            </w:r>
          </w:p>
          <w:p>
            <w:pPr>
              <w:pStyle w:val="71"/>
              <w:rPr>
                <w:color w:val="auto"/>
              </w:rPr>
            </w:pPr>
            <w:r>
              <w:rPr>
                <w:rFonts w:hint="eastAsia"/>
                <w:color w:val="auto"/>
              </w:rPr>
              <w:t>表4.2</w:t>
            </w:r>
            <w:r>
              <w:rPr>
                <w:color w:val="auto"/>
              </w:rPr>
              <w:t>-1</w:t>
            </w:r>
            <w:r>
              <w:rPr>
                <w:rFonts w:hint="eastAsia"/>
                <w:color w:val="auto"/>
                <w:lang w:val="en-US" w:eastAsia="zh-CN"/>
              </w:rPr>
              <w:t xml:space="preserve">9 </w:t>
            </w:r>
            <w:r>
              <w:rPr>
                <w:color w:val="auto"/>
              </w:rPr>
              <w:t xml:space="preserve"> </w:t>
            </w:r>
            <w:r>
              <w:rPr>
                <w:rFonts w:hint="eastAsia"/>
                <w:color w:val="auto"/>
              </w:rPr>
              <w:t>垃圾脱水处理废水去向表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929"/>
              <w:gridCol w:w="1552"/>
              <w:gridCol w:w="229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pct"/>
                  <w:gridSpan w:val="3"/>
                  <w:vAlign w:val="center"/>
                </w:tcPr>
                <w:p>
                  <w:pPr>
                    <w:pStyle w:val="68"/>
                    <w:rPr>
                      <w:b/>
                      <w:bCs/>
                      <w:color w:val="auto"/>
                    </w:rPr>
                  </w:pPr>
                  <w:r>
                    <w:rPr>
                      <w:rFonts w:hint="eastAsia"/>
                      <w:b/>
                      <w:bCs/>
                      <w:color w:val="auto"/>
                      <w:lang w:eastAsia="zh-CN"/>
                    </w:rPr>
                    <w:t>原辅料带入</w:t>
                  </w:r>
                </w:p>
              </w:tc>
              <w:tc>
                <w:tcPr>
                  <w:tcW w:w="2938" w:type="pct"/>
                  <w:gridSpan w:val="2"/>
                  <w:vAlign w:val="center"/>
                </w:tcPr>
                <w:p>
                  <w:pPr>
                    <w:pStyle w:val="68"/>
                    <w:rPr>
                      <w:b/>
                      <w:bCs/>
                      <w:color w:val="auto"/>
                    </w:rPr>
                  </w:pPr>
                  <w:r>
                    <w:rPr>
                      <w:rFonts w:hint="eastAsia"/>
                      <w:b/>
                      <w:bCs/>
                      <w:color w:val="auto"/>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Merge w:val="restart"/>
                  <w:vAlign w:val="center"/>
                </w:tcPr>
                <w:p>
                  <w:pPr>
                    <w:pStyle w:val="68"/>
                    <w:rPr>
                      <w:color w:val="auto"/>
                    </w:rPr>
                  </w:pPr>
                  <w:r>
                    <w:rPr>
                      <w:rFonts w:hint="eastAsia"/>
                      <w:color w:val="auto"/>
                      <w:lang w:eastAsia="zh-CN"/>
                    </w:rPr>
                    <w:t>餐厨垃圾</w:t>
                  </w:r>
                </w:p>
              </w:tc>
              <w:tc>
                <w:tcPr>
                  <w:tcW w:w="592" w:type="pct"/>
                  <w:vAlign w:val="center"/>
                </w:tcPr>
                <w:p>
                  <w:pPr>
                    <w:pStyle w:val="68"/>
                    <w:rPr>
                      <w:color w:val="auto"/>
                    </w:rPr>
                  </w:pPr>
                  <w:r>
                    <w:rPr>
                      <w:rFonts w:hint="eastAsia"/>
                      <w:color w:val="auto"/>
                      <w:lang w:eastAsia="zh-CN"/>
                    </w:rPr>
                    <w:t>含水率</w:t>
                  </w:r>
                </w:p>
              </w:tc>
              <w:tc>
                <w:tcPr>
                  <w:tcW w:w="989" w:type="pct"/>
                  <w:vAlign w:val="center"/>
                </w:tcPr>
                <w:p>
                  <w:pPr>
                    <w:pStyle w:val="68"/>
                    <w:rPr>
                      <w:color w:val="auto"/>
                      <w:lang w:eastAsia="zh-CN"/>
                    </w:rPr>
                  </w:pPr>
                  <w:r>
                    <w:rPr>
                      <w:color w:val="auto"/>
                      <w:lang w:eastAsia="zh-CN"/>
                    </w:rPr>
                    <w:t>9</w:t>
                  </w:r>
                  <w:r>
                    <w:rPr>
                      <w:rFonts w:hint="eastAsia"/>
                      <w:color w:val="auto"/>
                      <w:lang w:eastAsia="zh-CN"/>
                    </w:rPr>
                    <w:t>0</w:t>
                  </w:r>
                  <w:r>
                    <w:rPr>
                      <w:color w:val="auto"/>
                      <w:lang w:eastAsia="zh-CN"/>
                    </w:rPr>
                    <w:t>%</w:t>
                  </w:r>
                </w:p>
              </w:tc>
              <w:tc>
                <w:tcPr>
                  <w:tcW w:w="1463" w:type="pct"/>
                  <w:vAlign w:val="center"/>
                </w:tcPr>
                <w:p>
                  <w:pPr>
                    <w:pStyle w:val="68"/>
                    <w:rPr>
                      <w:color w:val="auto"/>
                      <w:lang w:eastAsia="zh-CN"/>
                    </w:rPr>
                  </w:pPr>
                  <w:r>
                    <w:rPr>
                      <w:rFonts w:hint="eastAsia"/>
                      <w:color w:val="auto"/>
                      <w:lang w:eastAsia="zh-CN"/>
                    </w:rPr>
                    <w:t>脱水、三相分离（</w:t>
                  </w:r>
                  <w:r>
                    <w:rPr>
                      <w:color w:val="auto"/>
                      <w:lang w:eastAsia="zh-CN"/>
                    </w:rPr>
                    <w:t>30%</w:t>
                  </w:r>
                  <w:r>
                    <w:rPr>
                      <w:rFonts w:hint="eastAsia"/>
                      <w:color w:val="auto"/>
                      <w:lang w:eastAsia="zh-CN"/>
                    </w:rPr>
                    <w:t>）</w:t>
                  </w:r>
                </w:p>
              </w:tc>
              <w:tc>
                <w:tcPr>
                  <w:tcW w:w="1475" w:type="pct"/>
                  <w:vAlign w:val="center"/>
                </w:tcPr>
                <w:p>
                  <w:pPr>
                    <w:pStyle w:val="68"/>
                    <w:rPr>
                      <w:color w:val="auto"/>
                    </w:rPr>
                  </w:pPr>
                  <w:r>
                    <w:rPr>
                      <w:color w:val="auto"/>
                      <w:lang w:eastAsia="zh-CN"/>
                    </w:rPr>
                    <w:t>9</w:t>
                  </w:r>
                  <w:r>
                    <w:rPr>
                      <w:rFonts w:hint="eastAsia"/>
                      <w:color w:val="auto"/>
                      <w:lang w:eastAsia="zh-CN"/>
                    </w:rPr>
                    <w:t>m</w:t>
                  </w:r>
                  <w:r>
                    <w:rPr>
                      <w:rFonts w:hint="eastAsia"/>
                      <w:color w:val="auto"/>
                    </w:rPr>
                    <w:t>³</w:t>
                  </w:r>
                  <w:r>
                    <w:rPr>
                      <w:rFonts w:hint="eastAsia"/>
                      <w:color w:val="auto"/>
                      <w:lang w:val="en-US"/>
                    </w:rPr>
                    <w:t>/</w:t>
                  </w:r>
                  <w:r>
                    <w:rPr>
                      <w:rFonts w:hint="eastAsia"/>
                      <w:color w:val="auto"/>
                      <w:lang w:val="en-US" w:eastAsia="zh-CN"/>
                    </w:rPr>
                    <w:t>d,</w:t>
                  </w:r>
                  <w:r>
                    <w:rPr>
                      <w:color w:val="auto"/>
                      <w:lang w:eastAsia="zh-CN"/>
                    </w:rPr>
                    <w:t>2700</w:t>
                  </w:r>
                  <w:r>
                    <w:rPr>
                      <w:rFonts w:hint="eastAsia"/>
                      <w:color w:val="auto"/>
                      <w:lang w:eastAsia="zh-CN"/>
                    </w:rPr>
                    <w:t>m</w:t>
                  </w:r>
                  <w:r>
                    <w:rPr>
                      <w:rFonts w:hint="eastAsia"/>
                      <w:color w:val="auto"/>
                    </w:rPr>
                    <w:t>³</w:t>
                  </w:r>
                  <w:r>
                    <w:rPr>
                      <w:rFonts w:hint="eastAsia"/>
                      <w:color w:val="auto"/>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Merge w:val="continue"/>
                  <w:vAlign w:val="center"/>
                </w:tcPr>
                <w:p>
                  <w:pPr>
                    <w:pStyle w:val="68"/>
                    <w:rPr>
                      <w:color w:val="auto"/>
                    </w:rPr>
                  </w:pPr>
                </w:p>
              </w:tc>
              <w:tc>
                <w:tcPr>
                  <w:tcW w:w="592" w:type="pct"/>
                  <w:vAlign w:val="center"/>
                </w:tcPr>
                <w:p>
                  <w:pPr>
                    <w:pStyle w:val="68"/>
                    <w:rPr>
                      <w:color w:val="auto"/>
                    </w:rPr>
                  </w:pPr>
                  <w:r>
                    <w:rPr>
                      <w:rFonts w:hint="eastAsia"/>
                      <w:color w:val="auto"/>
                      <w:lang w:eastAsia="zh-CN"/>
                    </w:rPr>
                    <w:t>质量</w:t>
                  </w:r>
                </w:p>
              </w:tc>
              <w:tc>
                <w:tcPr>
                  <w:tcW w:w="989" w:type="pct"/>
                  <w:vAlign w:val="center"/>
                </w:tcPr>
                <w:p>
                  <w:pPr>
                    <w:pStyle w:val="68"/>
                    <w:rPr>
                      <w:color w:val="auto"/>
                      <w:lang w:eastAsia="zh-CN"/>
                    </w:rPr>
                  </w:pPr>
                  <w:r>
                    <w:rPr>
                      <w:color w:val="auto"/>
                      <w:lang w:eastAsia="zh-CN"/>
                    </w:rPr>
                    <w:t>30</w:t>
                  </w:r>
                  <w:r>
                    <w:rPr>
                      <w:rFonts w:hint="eastAsia"/>
                      <w:color w:val="auto"/>
                      <w:lang w:eastAsia="zh-CN"/>
                    </w:rPr>
                    <w:t>t/d,9</w:t>
                  </w:r>
                  <w:r>
                    <w:rPr>
                      <w:color w:val="auto"/>
                      <w:lang w:eastAsia="zh-CN"/>
                    </w:rPr>
                    <w:t>000</w:t>
                  </w:r>
                  <w:r>
                    <w:rPr>
                      <w:rFonts w:hint="eastAsia"/>
                      <w:color w:val="auto"/>
                      <w:lang w:eastAsia="zh-CN"/>
                    </w:rPr>
                    <w:t>t/a</w:t>
                  </w:r>
                </w:p>
              </w:tc>
              <w:tc>
                <w:tcPr>
                  <w:tcW w:w="1463" w:type="pct"/>
                  <w:vAlign w:val="center"/>
                </w:tcPr>
                <w:p>
                  <w:pPr>
                    <w:pStyle w:val="68"/>
                    <w:rPr>
                      <w:color w:val="auto"/>
                    </w:rPr>
                  </w:pPr>
                  <w:r>
                    <w:rPr>
                      <w:rFonts w:hint="eastAsia"/>
                      <w:color w:val="auto"/>
                      <w:lang w:eastAsia="zh-CN"/>
                    </w:rPr>
                    <w:t>分离干垃圾（</w:t>
                  </w:r>
                  <w:r>
                    <w:rPr>
                      <w:color w:val="auto"/>
                      <w:lang w:eastAsia="zh-CN"/>
                    </w:rPr>
                    <w:t>55%</w:t>
                  </w:r>
                  <w:r>
                    <w:rPr>
                      <w:rFonts w:hint="eastAsia"/>
                      <w:color w:val="auto"/>
                      <w:lang w:eastAsia="zh-CN"/>
                    </w:rPr>
                    <w:t>）</w:t>
                  </w:r>
                </w:p>
              </w:tc>
              <w:tc>
                <w:tcPr>
                  <w:tcW w:w="1475" w:type="pct"/>
                  <w:vAlign w:val="center"/>
                </w:tcPr>
                <w:p>
                  <w:pPr>
                    <w:pStyle w:val="68"/>
                    <w:rPr>
                      <w:color w:val="auto"/>
                    </w:rPr>
                  </w:pPr>
                  <w:r>
                    <w:rPr>
                      <w:color w:val="auto"/>
                      <w:lang w:eastAsia="zh-CN"/>
                    </w:rPr>
                    <w:t>16.5</w:t>
                  </w:r>
                  <w:r>
                    <w:rPr>
                      <w:rFonts w:hint="eastAsia"/>
                      <w:color w:val="auto"/>
                      <w:lang w:eastAsia="zh-CN"/>
                    </w:rPr>
                    <w:t>m</w:t>
                  </w:r>
                  <w:r>
                    <w:rPr>
                      <w:rFonts w:hint="eastAsia"/>
                      <w:color w:val="auto"/>
                    </w:rPr>
                    <w:t>³</w:t>
                  </w:r>
                  <w:r>
                    <w:rPr>
                      <w:rFonts w:hint="eastAsia"/>
                      <w:color w:val="auto"/>
                      <w:lang w:val="en-US"/>
                    </w:rPr>
                    <w:t>/</w:t>
                  </w:r>
                  <w:r>
                    <w:rPr>
                      <w:rFonts w:hint="eastAsia"/>
                      <w:color w:val="auto"/>
                      <w:lang w:val="en-US" w:eastAsia="zh-CN"/>
                    </w:rPr>
                    <w:t>d,</w:t>
                  </w:r>
                  <w:r>
                    <w:rPr>
                      <w:color w:val="auto"/>
                      <w:lang w:eastAsia="zh-CN"/>
                    </w:rPr>
                    <w:t>4950</w:t>
                  </w:r>
                  <w:r>
                    <w:rPr>
                      <w:rFonts w:hint="eastAsia"/>
                      <w:color w:val="auto"/>
                      <w:lang w:eastAsia="zh-CN"/>
                    </w:rPr>
                    <w:t>m</w:t>
                  </w:r>
                  <w:r>
                    <w:rPr>
                      <w:rFonts w:hint="eastAsia"/>
                      <w:color w:val="auto"/>
                    </w:rPr>
                    <w:t>³</w:t>
                  </w:r>
                  <w:r>
                    <w:rPr>
                      <w:rFonts w:hint="eastAsia"/>
                      <w:color w:val="auto"/>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80" w:type="pct"/>
                  <w:vMerge w:val="continue"/>
                  <w:vAlign w:val="center"/>
                </w:tcPr>
                <w:p>
                  <w:pPr>
                    <w:pStyle w:val="68"/>
                    <w:rPr>
                      <w:color w:val="auto"/>
                    </w:rPr>
                  </w:pPr>
                </w:p>
              </w:tc>
              <w:tc>
                <w:tcPr>
                  <w:tcW w:w="592" w:type="pct"/>
                  <w:vAlign w:val="center"/>
                </w:tcPr>
                <w:p>
                  <w:pPr>
                    <w:pStyle w:val="68"/>
                    <w:rPr>
                      <w:color w:val="auto"/>
                    </w:rPr>
                  </w:pPr>
                  <w:r>
                    <w:rPr>
                      <w:rFonts w:hint="eastAsia"/>
                      <w:color w:val="auto"/>
                      <w:lang w:eastAsia="zh-CN"/>
                    </w:rPr>
                    <w:t>废水量</w:t>
                  </w:r>
                </w:p>
              </w:tc>
              <w:tc>
                <w:tcPr>
                  <w:tcW w:w="989" w:type="pct"/>
                  <w:vAlign w:val="center"/>
                </w:tcPr>
                <w:p>
                  <w:pPr>
                    <w:pStyle w:val="68"/>
                    <w:rPr>
                      <w:color w:val="auto"/>
                    </w:rPr>
                  </w:pPr>
                  <w:r>
                    <w:rPr>
                      <w:color w:val="auto"/>
                      <w:lang w:eastAsia="zh-CN"/>
                    </w:rPr>
                    <w:t>2</w:t>
                  </w:r>
                  <w:r>
                    <w:rPr>
                      <w:rFonts w:hint="eastAsia"/>
                      <w:color w:val="auto"/>
                      <w:lang w:val="en-US" w:eastAsia="zh-CN"/>
                    </w:rPr>
                    <w:t>7</w:t>
                  </w:r>
                  <w:r>
                    <w:rPr>
                      <w:rFonts w:hint="eastAsia"/>
                      <w:color w:val="auto"/>
                      <w:lang w:eastAsia="zh-CN"/>
                    </w:rPr>
                    <w:t>m</w:t>
                  </w:r>
                  <w:r>
                    <w:rPr>
                      <w:rFonts w:hint="eastAsia"/>
                      <w:color w:val="auto"/>
                    </w:rPr>
                    <w:t>³</w:t>
                  </w:r>
                  <w:r>
                    <w:rPr>
                      <w:rFonts w:hint="eastAsia"/>
                      <w:color w:val="auto"/>
                      <w:lang w:val="en-US"/>
                    </w:rPr>
                    <w:t>/</w:t>
                  </w:r>
                  <w:r>
                    <w:rPr>
                      <w:rFonts w:hint="eastAsia"/>
                      <w:color w:val="auto"/>
                      <w:lang w:val="en-US" w:eastAsia="zh-CN"/>
                    </w:rPr>
                    <w:t>d,</w:t>
                  </w:r>
                  <w:r>
                    <w:rPr>
                      <w:color w:val="auto"/>
                      <w:lang w:eastAsia="zh-CN"/>
                    </w:rPr>
                    <w:t>8100</w:t>
                  </w:r>
                  <w:r>
                    <w:rPr>
                      <w:rFonts w:hint="eastAsia"/>
                      <w:color w:val="auto"/>
                      <w:lang w:eastAsia="zh-CN"/>
                    </w:rPr>
                    <w:t>m</w:t>
                  </w:r>
                  <w:r>
                    <w:rPr>
                      <w:rFonts w:hint="eastAsia"/>
                      <w:color w:val="auto"/>
                    </w:rPr>
                    <w:t>³</w:t>
                  </w:r>
                  <w:r>
                    <w:rPr>
                      <w:rFonts w:hint="eastAsia"/>
                      <w:color w:val="auto"/>
                      <w:lang w:val="en-US"/>
                    </w:rPr>
                    <w:t>/a</w:t>
                  </w:r>
                </w:p>
              </w:tc>
              <w:tc>
                <w:tcPr>
                  <w:tcW w:w="1463" w:type="pct"/>
                  <w:vAlign w:val="center"/>
                </w:tcPr>
                <w:p>
                  <w:pPr>
                    <w:pStyle w:val="68"/>
                    <w:rPr>
                      <w:color w:val="auto"/>
                    </w:rPr>
                  </w:pPr>
                  <w:r>
                    <w:rPr>
                      <w:rFonts w:hint="eastAsia"/>
                      <w:color w:val="auto"/>
                      <w:lang w:eastAsia="zh-CN"/>
                    </w:rPr>
                    <w:t>分离粗油脂（</w:t>
                  </w:r>
                  <w:r>
                    <w:rPr>
                      <w:color w:val="auto"/>
                      <w:lang w:eastAsia="zh-CN"/>
                    </w:rPr>
                    <w:t>5%</w:t>
                  </w:r>
                  <w:r>
                    <w:rPr>
                      <w:rFonts w:hint="eastAsia"/>
                      <w:color w:val="auto"/>
                      <w:lang w:eastAsia="zh-CN"/>
                    </w:rPr>
                    <w:t>）</w:t>
                  </w:r>
                </w:p>
              </w:tc>
              <w:tc>
                <w:tcPr>
                  <w:tcW w:w="1475" w:type="pct"/>
                  <w:vAlign w:val="center"/>
                </w:tcPr>
                <w:p>
                  <w:pPr>
                    <w:pStyle w:val="68"/>
                    <w:rPr>
                      <w:color w:val="auto"/>
                    </w:rPr>
                  </w:pPr>
                  <w:r>
                    <w:rPr>
                      <w:color w:val="auto"/>
                      <w:lang w:eastAsia="zh-CN"/>
                    </w:rPr>
                    <w:t>1.5</w:t>
                  </w:r>
                  <w:r>
                    <w:rPr>
                      <w:rFonts w:hint="eastAsia"/>
                      <w:color w:val="auto"/>
                      <w:lang w:eastAsia="zh-CN"/>
                    </w:rPr>
                    <w:t>m</w:t>
                  </w:r>
                  <w:r>
                    <w:rPr>
                      <w:rFonts w:hint="eastAsia"/>
                      <w:color w:val="auto"/>
                    </w:rPr>
                    <w:t>³</w:t>
                  </w:r>
                  <w:r>
                    <w:rPr>
                      <w:rFonts w:hint="eastAsia"/>
                      <w:color w:val="auto"/>
                      <w:lang w:val="en-US"/>
                    </w:rPr>
                    <w:t>/</w:t>
                  </w:r>
                  <w:r>
                    <w:rPr>
                      <w:rFonts w:hint="eastAsia"/>
                      <w:color w:val="auto"/>
                      <w:lang w:val="en-US" w:eastAsia="zh-CN"/>
                    </w:rPr>
                    <w:t>d,</w:t>
                  </w:r>
                  <w:r>
                    <w:rPr>
                      <w:color w:val="auto"/>
                      <w:lang w:eastAsia="zh-CN"/>
                    </w:rPr>
                    <w:t>450</w:t>
                  </w:r>
                  <w:r>
                    <w:rPr>
                      <w:rFonts w:hint="eastAsia"/>
                      <w:color w:val="auto"/>
                      <w:lang w:eastAsia="zh-CN"/>
                    </w:rPr>
                    <w:t>m</w:t>
                  </w:r>
                  <w:r>
                    <w:rPr>
                      <w:rFonts w:hint="eastAsia"/>
                      <w:color w:val="auto"/>
                    </w:rPr>
                    <w:t>³</w:t>
                  </w:r>
                  <w:r>
                    <w:rPr>
                      <w:rFonts w:hint="eastAsia"/>
                      <w:color w:val="auto"/>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80" w:type="pct"/>
                  <w:vMerge w:val="restart"/>
                  <w:vAlign w:val="center"/>
                </w:tcPr>
                <w:p>
                  <w:pPr>
                    <w:pStyle w:val="68"/>
                    <w:rPr>
                      <w:color w:val="auto"/>
                    </w:rPr>
                  </w:pPr>
                  <w:r>
                    <w:rPr>
                      <w:rFonts w:hint="eastAsia"/>
                      <w:color w:val="auto"/>
                      <w:lang w:eastAsia="zh-CN"/>
                    </w:rPr>
                    <w:t>生物质锅炉</w:t>
                  </w:r>
                </w:p>
              </w:tc>
              <w:tc>
                <w:tcPr>
                  <w:tcW w:w="592" w:type="pct"/>
                  <w:vMerge w:val="restart"/>
                  <w:vAlign w:val="center"/>
                </w:tcPr>
                <w:p>
                  <w:pPr>
                    <w:pStyle w:val="68"/>
                    <w:rPr>
                      <w:color w:val="auto"/>
                      <w:lang w:eastAsia="zh-CN"/>
                    </w:rPr>
                  </w:pPr>
                  <w:r>
                    <w:rPr>
                      <w:rFonts w:hint="eastAsia"/>
                      <w:color w:val="auto"/>
                      <w:lang w:eastAsia="zh-CN"/>
                    </w:rPr>
                    <w:t>蒸汽量</w:t>
                  </w:r>
                </w:p>
              </w:tc>
              <w:tc>
                <w:tcPr>
                  <w:tcW w:w="989" w:type="pct"/>
                  <w:vMerge w:val="restart"/>
                  <w:vAlign w:val="center"/>
                </w:tcPr>
                <w:p>
                  <w:pPr>
                    <w:pStyle w:val="68"/>
                    <w:rPr>
                      <w:rFonts w:hint="eastAsia" w:eastAsia="宋体"/>
                      <w:color w:val="auto"/>
                      <w:lang w:eastAsia="zh-CN"/>
                    </w:rPr>
                  </w:pPr>
                  <w:r>
                    <w:rPr>
                      <w:rFonts w:hint="eastAsia"/>
                      <w:color w:val="auto"/>
                      <w:lang w:val="en-US" w:eastAsia="zh-CN"/>
                    </w:rPr>
                    <w:t>17.6</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，5280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（本项目使用蒸汽量：5.6t/d、1680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w:t>
                  </w:r>
                </w:p>
              </w:tc>
              <w:tc>
                <w:tcPr>
                  <w:tcW w:w="1463" w:type="pct"/>
                  <w:vAlign w:val="center"/>
                </w:tcPr>
                <w:p>
                  <w:pPr>
                    <w:pStyle w:val="68"/>
                    <w:rPr>
                      <w:color w:val="auto"/>
                      <w:lang w:eastAsia="zh-CN"/>
                    </w:rPr>
                  </w:pPr>
                  <w:r>
                    <w:rPr>
                      <w:rFonts w:hint="eastAsia"/>
                      <w:color w:val="auto"/>
                      <w:lang w:val="en-US" w:eastAsia="zh-CN"/>
                    </w:rPr>
                    <w:t>三相分离过程</w:t>
                  </w:r>
                  <w:r>
                    <w:rPr>
                      <w:rFonts w:hint="eastAsia"/>
                      <w:color w:val="auto"/>
                      <w:lang w:eastAsia="zh-CN"/>
                    </w:rPr>
                    <w:t>进入垃圾废水（</w:t>
                  </w:r>
                  <w:r>
                    <w:rPr>
                      <w:rFonts w:hint="eastAsia"/>
                      <w:color w:val="auto"/>
                      <w:lang w:val="en-US" w:eastAsia="zh-CN"/>
                    </w:rPr>
                    <w:t>24.45%</w:t>
                  </w:r>
                  <w:r>
                    <w:rPr>
                      <w:rFonts w:hint="eastAsia"/>
                      <w:color w:val="auto"/>
                      <w:lang w:eastAsia="zh-CN"/>
                    </w:rPr>
                    <w:t>）</w:t>
                  </w:r>
                </w:p>
              </w:tc>
              <w:tc>
                <w:tcPr>
                  <w:tcW w:w="1475" w:type="pct"/>
                  <w:vAlign w:val="center"/>
                </w:tcPr>
                <w:p>
                  <w:pPr>
                    <w:pStyle w:val="68"/>
                    <w:rPr>
                      <w:color w:val="auto"/>
                      <w:lang w:eastAsia="zh-CN"/>
                    </w:rPr>
                  </w:pPr>
                  <w:r>
                    <w:rPr>
                      <w:rFonts w:hint="eastAsia"/>
                      <w:color w:val="auto"/>
                      <w:lang w:val="en-US" w:eastAsia="zh-CN"/>
                    </w:rPr>
                    <w:t>4.48</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,1344</w:t>
                  </w:r>
                  <w:r>
                    <w:rPr>
                      <w:rFonts w:hint="eastAsia"/>
                      <w:color w:val="auto"/>
                      <w:lang w:eastAsia="zh-CN"/>
                    </w:rPr>
                    <w:t>m</w:t>
                  </w:r>
                  <w:r>
                    <w:rPr>
                      <w:rFonts w:hint="eastAsia"/>
                      <w:color w:val="auto"/>
                    </w:rPr>
                    <w:t>³</w:t>
                  </w:r>
                  <w:r>
                    <w:rPr>
                      <w:rFonts w:hint="eastAsia"/>
                      <w:color w:val="auto"/>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Merge w:val="continue"/>
                  <w:vAlign w:val="center"/>
                </w:tcPr>
                <w:p>
                  <w:pPr>
                    <w:pStyle w:val="68"/>
                    <w:rPr>
                      <w:color w:val="auto"/>
                    </w:rPr>
                  </w:pPr>
                </w:p>
              </w:tc>
              <w:tc>
                <w:tcPr>
                  <w:tcW w:w="592" w:type="pct"/>
                  <w:vMerge w:val="continue"/>
                  <w:vAlign w:val="center"/>
                </w:tcPr>
                <w:p>
                  <w:pPr>
                    <w:pStyle w:val="68"/>
                    <w:rPr>
                      <w:color w:val="auto"/>
                      <w:lang w:eastAsia="zh-CN"/>
                    </w:rPr>
                  </w:pPr>
                </w:p>
              </w:tc>
              <w:tc>
                <w:tcPr>
                  <w:tcW w:w="989" w:type="pct"/>
                  <w:vMerge w:val="continue"/>
                  <w:vAlign w:val="center"/>
                </w:tcPr>
                <w:p>
                  <w:pPr>
                    <w:pStyle w:val="68"/>
                    <w:rPr>
                      <w:color w:val="auto"/>
                      <w:lang w:eastAsia="zh-CN"/>
                    </w:rPr>
                  </w:pPr>
                </w:p>
              </w:tc>
              <w:tc>
                <w:tcPr>
                  <w:tcW w:w="1463" w:type="pct"/>
                  <w:vAlign w:val="center"/>
                </w:tcPr>
                <w:p>
                  <w:pPr>
                    <w:pStyle w:val="68"/>
                    <w:rPr>
                      <w:color w:val="auto"/>
                    </w:rPr>
                  </w:pPr>
                  <w:r>
                    <w:rPr>
                      <w:rFonts w:hint="eastAsia"/>
                      <w:color w:val="auto"/>
                      <w:lang w:eastAsia="zh-CN"/>
                    </w:rPr>
                    <w:t>蒸发损耗（</w:t>
                  </w:r>
                  <w:r>
                    <w:rPr>
                      <w:rFonts w:hint="eastAsia"/>
                      <w:color w:val="auto"/>
                      <w:lang w:val="en-US" w:eastAsia="zh-CN"/>
                    </w:rPr>
                    <w:t>74.55</w:t>
                  </w:r>
                  <w:r>
                    <w:rPr>
                      <w:color w:val="auto"/>
                      <w:lang w:eastAsia="zh-CN"/>
                    </w:rPr>
                    <w:t>%</w:t>
                  </w:r>
                  <w:r>
                    <w:rPr>
                      <w:rFonts w:hint="eastAsia"/>
                      <w:color w:val="auto"/>
                      <w:lang w:eastAsia="zh-CN"/>
                    </w:rPr>
                    <w:t>）</w:t>
                  </w:r>
                </w:p>
              </w:tc>
              <w:tc>
                <w:tcPr>
                  <w:tcW w:w="1475" w:type="pct"/>
                  <w:vAlign w:val="center"/>
                </w:tcPr>
                <w:p>
                  <w:pPr>
                    <w:pStyle w:val="68"/>
                    <w:rPr>
                      <w:color w:val="auto"/>
                    </w:rPr>
                  </w:pPr>
                  <w:r>
                    <w:rPr>
                      <w:rFonts w:hint="eastAsia"/>
                      <w:color w:val="auto"/>
                      <w:lang w:val="en-US" w:eastAsia="zh-CN"/>
                    </w:rPr>
                    <w:t>13.12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,3936</w:t>
                  </w:r>
                  <w:r>
                    <w:rPr>
                      <w:rFonts w:hint="eastAsia"/>
                      <w:color w:val="auto"/>
                      <w:lang w:eastAsia="zh-CN"/>
                    </w:rPr>
                    <w:t>m</w:t>
                  </w:r>
                  <w:r>
                    <w:rPr>
                      <w:rFonts w:hint="eastAsia"/>
                      <w:color w:val="auto"/>
                    </w:rPr>
                    <w:t>³</w:t>
                  </w:r>
                  <w:r>
                    <w:rPr>
                      <w:rFonts w:hint="eastAsia"/>
                      <w:color w:val="auto"/>
                      <w:lang w:val="en-US"/>
                    </w:rPr>
                    <w:t>/a</w:t>
                  </w:r>
                </w:p>
              </w:tc>
            </w:tr>
          </w:tbl>
          <w:p>
            <w:pPr>
              <w:ind w:firstLine="480"/>
              <w:rPr>
                <w:color w:val="auto"/>
              </w:rPr>
            </w:pPr>
            <w:r>
              <w:rPr>
                <w:rFonts w:hint="eastAsia"/>
                <w:color w:val="auto"/>
              </w:rPr>
              <w:t>根据上表，脱水废水产生量为</w:t>
            </w:r>
            <w:r>
              <w:rPr>
                <w:rFonts w:hint="eastAsia"/>
                <w:color w:val="auto"/>
                <w:lang w:val="en-US" w:eastAsia="zh-CN"/>
              </w:rPr>
              <w:t>13.48</w:t>
            </w:r>
            <w:r>
              <w:rPr>
                <w:rFonts w:hint="eastAsia"/>
                <w:color w:val="auto"/>
              </w:rPr>
              <w:t>m³/d，</w:t>
            </w:r>
            <w:r>
              <w:rPr>
                <w:rFonts w:hint="eastAsia"/>
                <w:color w:val="auto"/>
                <w:lang w:val="en-US" w:eastAsia="zh-CN"/>
              </w:rPr>
              <w:t>4044</w:t>
            </w:r>
            <w:r>
              <w:rPr>
                <w:rFonts w:hint="eastAsia"/>
                <w:color w:val="auto"/>
              </w:rPr>
              <w:t>m³/a。</w:t>
            </w:r>
          </w:p>
          <w:p>
            <w:pPr>
              <w:pStyle w:val="84"/>
              <w:ind w:firstLine="482"/>
              <w:rPr>
                <w:color w:val="auto"/>
              </w:rPr>
            </w:pPr>
            <w:r>
              <w:rPr>
                <w:rFonts w:hint="eastAsia"/>
                <w:color w:val="auto"/>
              </w:rPr>
              <w:t>2</w:t>
            </w:r>
            <w:r>
              <w:rPr>
                <w:color w:val="auto"/>
              </w:rPr>
              <w:t>.地面清洗废水</w:t>
            </w:r>
          </w:p>
          <w:p>
            <w:pPr>
              <w:ind w:firstLine="480"/>
              <w:rPr>
                <w:color w:val="auto"/>
              </w:rPr>
            </w:pPr>
            <w:r>
              <w:rPr>
                <w:color w:val="auto"/>
              </w:rPr>
              <w:t>根据《建筑给水排水设计规范》（GB50015-2019），地面清洗用水定额为2L/m</w:t>
            </w:r>
            <w:r>
              <w:rPr>
                <w:color w:val="auto"/>
                <w:vertAlign w:val="superscript"/>
              </w:rPr>
              <w:t>2</w:t>
            </w:r>
            <w:r>
              <w:rPr>
                <w:color w:val="auto"/>
              </w:rPr>
              <w:t>·次，本项目仅对处理车间所在区域进行地面清洗，本项目餐厨垃圾处理车间面积为248m</w:t>
            </w:r>
            <w:r>
              <w:rPr>
                <w:color w:val="auto"/>
                <w:vertAlign w:val="superscript"/>
              </w:rPr>
              <w:t>2</w:t>
            </w:r>
            <w:r>
              <w:rPr>
                <w:color w:val="auto"/>
              </w:rPr>
              <w:t>，每天清洗地面</w:t>
            </w:r>
            <w:r>
              <w:rPr>
                <w:rFonts w:hint="eastAsia"/>
                <w:color w:val="auto"/>
              </w:rPr>
              <w:t>1</w:t>
            </w:r>
            <w:r>
              <w:rPr>
                <w:color w:val="auto"/>
              </w:rPr>
              <w:t>次，则车间地面清洗用水量</w:t>
            </w:r>
            <w:r>
              <w:rPr>
                <w:rFonts w:hint="eastAsia"/>
                <w:color w:val="auto"/>
                <w:lang w:val="en-US" w:eastAsia="zh-CN"/>
              </w:rPr>
              <w:t>约</w:t>
            </w:r>
            <w:r>
              <w:rPr>
                <w:color w:val="auto"/>
              </w:rPr>
              <w:t>为0.5</w:t>
            </w:r>
            <w:r>
              <w:rPr>
                <w:rFonts w:hint="eastAsia"/>
                <w:color w:val="auto"/>
              </w:rPr>
              <w:t>m³</w:t>
            </w:r>
            <w:r>
              <w:rPr>
                <w:color w:val="auto"/>
              </w:rPr>
              <w:t>/d</w:t>
            </w:r>
            <w:r>
              <w:rPr>
                <w:rFonts w:hint="eastAsia"/>
                <w:color w:val="auto"/>
              </w:rPr>
              <w:t>，</w:t>
            </w:r>
            <w:r>
              <w:rPr>
                <w:color w:val="auto"/>
              </w:rPr>
              <w:t>150</w:t>
            </w:r>
            <w:r>
              <w:rPr>
                <w:rFonts w:hint="eastAsia"/>
                <w:color w:val="auto"/>
              </w:rPr>
              <w:t>m³</w:t>
            </w:r>
            <w:r>
              <w:rPr>
                <w:color w:val="auto"/>
              </w:rPr>
              <w:t>/d，排污系数按0.9计，则本项目清洗废水产生量为0.45</w:t>
            </w:r>
            <w:r>
              <w:rPr>
                <w:rFonts w:hint="eastAsia"/>
                <w:color w:val="auto"/>
              </w:rPr>
              <w:t>m³</w:t>
            </w:r>
            <w:r>
              <w:rPr>
                <w:color w:val="auto"/>
              </w:rPr>
              <w:t>/d，135</w:t>
            </w:r>
            <w:r>
              <w:rPr>
                <w:rFonts w:hint="eastAsia"/>
                <w:color w:val="auto"/>
              </w:rPr>
              <w:t>m³</w:t>
            </w:r>
            <w:r>
              <w:rPr>
                <w:color w:val="auto"/>
              </w:rPr>
              <w:t>/a</w:t>
            </w:r>
            <w:r>
              <w:rPr>
                <w:rFonts w:hint="eastAsia"/>
                <w:color w:val="auto"/>
                <w:lang w:eastAsia="zh-CN"/>
              </w:rPr>
              <w:t>，</w:t>
            </w:r>
            <w:r>
              <w:rPr>
                <w:color w:val="auto"/>
              </w:rPr>
              <w:t>地面清洗废水</w:t>
            </w:r>
            <w:r>
              <w:rPr>
                <w:rFonts w:hint="eastAsia"/>
                <w:color w:val="auto"/>
              </w:rPr>
              <w:t>经统一收集后进入一体化污水处理站处理</w:t>
            </w:r>
            <w:r>
              <w:rPr>
                <w:color w:val="auto"/>
              </w:rPr>
              <w:t>。</w:t>
            </w:r>
          </w:p>
          <w:p>
            <w:pPr>
              <w:pStyle w:val="84"/>
              <w:ind w:firstLine="482"/>
              <w:rPr>
                <w:color w:val="auto"/>
              </w:rPr>
            </w:pPr>
            <w:r>
              <w:rPr>
                <w:rFonts w:hint="eastAsia"/>
                <w:color w:val="auto"/>
              </w:rPr>
              <w:t>3</w:t>
            </w:r>
            <w:r>
              <w:rPr>
                <w:color w:val="auto"/>
              </w:rPr>
              <w:t>.</w:t>
            </w:r>
            <w:r>
              <w:rPr>
                <w:rFonts w:hint="eastAsia"/>
                <w:color w:val="auto"/>
              </w:rPr>
              <w:t>除臭洗涤废水</w:t>
            </w:r>
          </w:p>
          <w:p>
            <w:pPr>
              <w:ind w:firstLine="480"/>
              <w:rPr>
                <w:color w:val="auto"/>
              </w:rPr>
            </w:pPr>
            <w:r>
              <w:rPr>
                <w:color w:val="auto"/>
              </w:rPr>
              <w:t>本项目设有一套</w:t>
            </w:r>
            <w:r>
              <w:rPr>
                <w:rFonts w:hint="eastAsia"/>
                <w:color w:val="auto"/>
              </w:rPr>
              <w:t>洗涤装置</w:t>
            </w:r>
            <w:r>
              <w:rPr>
                <w:color w:val="auto"/>
              </w:rPr>
              <w:t>处理臭气</w:t>
            </w:r>
            <w:r>
              <w:rPr>
                <w:rFonts w:hint="eastAsia"/>
                <w:color w:val="auto"/>
              </w:rPr>
              <w:t>，</w:t>
            </w:r>
            <w:r>
              <w:rPr>
                <w:color w:val="auto"/>
              </w:rPr>
              <w:t>除臭系统产生的</w:t>
            </w:r>
            <w:r>
              <w:rPr>
                <w:rFonts w:hint="eastAsia"/>
                <w:color w:val="auto"/>
              </w:rPr>
              <w:t>洗涤</w:t>
            </w:r>
            <w:r>
              <w:rPr>
                <w:color w:val="auto"/>
              </w:rPr>
              <w:t>废水循环使用，定期更换。</w:t>
            </w:r>
          </w:p>
          <w:p>
            <w:pPr>
              <w:ind w:firstLine="480"/>
              <w:rPr>
                <w:color w:val="auto"/>
              </w:rPr>
            </w:pPr>
            <w:r>
              <w:rPr>
                <w:rFonts w:hint="eastAsia"/>
                <w:color w:val="auto"/>
              </w:rPr>
              <w:t>生物洗涤</w:t>
            </w:r>
            <w:r>
              <w:rPr>
                <w:color w:val="auto"/>
              </w:rPr>
              <w:t>设置1个循环水池，循环水池设计尺寸均为长2m×宽1m×高1m，有效水深0.8m，即循环水池有效容量为1.6m</w:t>
            </w:r>
            <w:r>
              <w:rPr>
                <w:color w:val="auto"/>
                <w:vertAlign w:val="superscript"/>
              </w:rPr>
              <w:t>3</w:t>
            </w:r>
            <w:r>
              <w:rPr>
                <w:color w:val="auto"/>
              </w:rPr>
              <w:t>，</w:t>
            </w:r>
            <w:r>
              <w:rPr>
                <w:rFonts w:hint="eastAsia"/>
                <w:color w:val="auto"/>
              </w:rPr>
              <w:t>根据设备参数资料，</w:t>
            </w:r>
            <w:r>
              <w:rPr>
                <w:color w:val="auto"/>
              </w:rPr>
              <w:t>循环水池</w:t>
            </w:r>
            <w:r>
              <w:rPr>
                <w:rFonts w:hint="eastAsia"/>
                <w:color w:val="auto"/>
              </w:rPr>
              <w:t>循环用水量为</w:t>
            </w:r>
            <w:r>
              <w:rPr>
                <w:color w:val="auto"/>
              </w:rPr>
              <w:t>4m</w:t>
            </w:r>
            <w:r>
              <w:rPr>
                <w:color w:val="auto"/>
                <w:vertAlign w:val="superscript"/>
              </w:rPr>
              <w:t>3</w:t>
            </w:r>
            <w:r>
              <w:rPr>
                <w:color w:val="auto"/>
              </w:rPr>
              <w:t>/h</w:t>
            </w:r>
            <w:r>
              <w:rPr>
                <w:rFonts w:hint="eastAsia"/>
                <w:color w:val="auto"/>
              </w:rPr>
              <w:t>，补充水量按照循环水量</w:t>
            </w:r>
            <w:r>
              <w:rPr>
                <w:color w:val="auto"/>
              </w:rPr>
              <w:t>20%</w:t>
            </w:r>
            <w:r>
              <w:rPr>
                <w:rFonts w:hint="eastAsia"/>
                <w:color w:val="auto"/>
              </w:rPr>
              <w:t>计，则补水量为</w:t>
            </w:r>
            <w:r>
              <w:rPr>
                <w:color w:val="auto"/>
              </w:rPr>
              <w:t>0.8m</w:t>
            </w:r>
            <w:r>
              <w:rPr>
                <w:color w:val="auto"/>
                <w:vertAlign w:val="superscript"/>
              </w:rPr>
              <w:t>3</w:t>
            </w:r>
            <w:r>
              <w:rPr>
                <w:color w:val="auto"/>
              </w:rPr>
              <w:t>/</w:t>
            </w:r>
            <w:r>
              <w:rPr>
                <w:rFonts w:hint="eastAsia"/>
                <w:color w:val="auto"/>
              </w:rPr>
              <w:t>d，2</w:t>
            </w:r>
            <w:r>
              <w:rPr>
                <w:color w:val="auto"/>
              </w:rPr>
              <w:t>40m</w:t>
            </w:r>
            <w:r>
              <w:rPr>
                <w:color w:val="auto"/>
                <w:vertAlign w:val="superscript"/>
              </w:rPr>
              <w:t>3</w:t>
            </w:r>
            <w:r>
              <w:rPr>
                <w:color w:val="auto"/>
              </w:rPr>
              <w:t>/</w:t>
            </w:r>
            <w:r>
              <w:rPr>
                <w:rFonts w:hint="eastAsia"/>
                <w:color w:val="auto"/>
              </w:rPr>
              <w:t>a。</w:t>
            </w:r>
          </w:p>
          <w:p>
            <w:pPr>
              <w:ind w:firstLine="480"/>
              <w:rPr>
                <w:color w:val="auto"/>
              </w:rPr>
            </w:pPr>
            <w:r>
              <w:rPr>
                <w:rFonts w:hint="eastAsia"/>
                <w:color w:val="auto"/>
              </w:rPr>
              <w:t>洗涤</w:t>
            </w:r>
            <w:r>
              <w:rPr>
                <w:color w:val="auto"/>
              </w:rPr>
              <w:t>水的主要作用是调节废气的温度和湿度，但由于恶臭气体中的氨易溶于水，因此在作业过程中会有部分的氨溶于水中，形成氨氮。另外，随着</w:t>
            </w:r>
            <w:r>
              <w:rPr>
                <w:rFonts w:hint="eastAsia"/>
                <w:color w:val="auto"/>
              </w:rPr>
              <w:t>洗涤</w:t>
            </w:r>
            <w:r>
              <w:rPr>
                <w:color w:val="auto"/>
              </w:rPr>
              <w:t>水的循环使用，水中的盐分会逐渐增大而形成水垢，可能会造成</w:t>
            </w:r>
            <w:r>
              <w:rPr>
                <w:rFonts w:hint="eastAsia"/>
                <w:color w:val="auto"/>
              </w:rPr>
              <w:t>除臭</w:t>
            </w:r>
            <w:r>
              <w:rPr>
                <w:color w:val="auto"/>
              </w:rPr>
              <w:t>装置的堵塞，因此，</w:t>
            </w:r>
            <w:r>
              <w:rPr>
                <w:rFonts w:hint="eastAsia"/>
                <w:color w:val="auto"/>
              </w:rPr>
              <w:t>洗涤</w:t>
            </w:r>
            <w:r>
              <w:rPr>
                <w:color w:val="auto"/>
              </w:rPr>
              <w:t>水在使用一段时间后需进行更换，更换频率为每月更换</w:t>
            </w:r>
            <w:r>
              <w:rPr>
                <w:rFonts w:hint="eastAsia"/>
                <w:color w:val="auto"/>
              </w:rPr>
              <w:t>2</w:t>
            </w:r>
            <w:r>
              <w:rPr>
                <w:color w:val="auto"/>
              </w:rPr>
              <w:t>次，相应的废水产生量为32</w:t>
            </w:r>
            <w:r>
              <w:rPr>
                <w:rFonts w:hint="eastAsia"/>
                <w:color w:val="auto"/>
              </w:rPr>
              <w:t>m³</w:t>
            </w:r>
            <w:r>
              <w:rPr>
                <w:color w:val="auto"/>
              </w:rPr>
              <w:t>/a</w:t>
            </w:r>
            <w:r>
              <w:rPr>
                <w:rFonts w:hint="eastAsia"/>
                <w:color w:val="auto"/>
              </w:rPr>
              <w:t>，折合0</w:t>
            </w:r>
            <w:r>
              <w:rPr>
                <w:color w:val="auto"/>
              </w:rPr>
              <w:t>.11</w:t>
            </w:r>
            <w:r>
              <w:rPr>
                <w:rFonts w:hint="eastAsia"/>
                <w:color w:val="auto"/>
              </w:rPr>
              <w:t>m³/d</w:t>
            </w:r>
            <w:r>
              <w:rPr>
                <w:color w:val="auto"/>
              </w:rPr>
              <w:t>。这部分排放的喷淋废水主要污染物为氨氮，不属于</w:t>
            </w:r>
            <w:r>
              <w:rPr>
                <w:rFonts w:hint="eastAsia" w:cs="Times New Roman"/>
                <w:color w:val="auto"/>
                <w:spacing w:val="-6"/>
                <w:sz w:val="24"/>
                <w:szCs w:val="24"/>
                <w:highlight w:val="none"/>
                <w:lang w:val="en-US" w:eastAsia="zh-CN"/>
              </w:rPr>
              <w:t>2025年1月1日起施行</w:t>
            </w:r>
            <w:r>
              <w:rPr>
                <w:color w:val="auto"/>
              </w:rPr>
              <w:t>《国家危险废物名录》（202</w:t>
            </w:r>
            <w:r>
              <w:rPr>
                <w:rFonts w:hint="eastAsia"/>
                <w:color w:val="auto"/>
                <w:lang w:val="en-US" w:eastAsia="zh-CN"/>
              </w:rPr>
              <w:t>5</w:t>
            </w:r>
            <w:r>
              <w:rPr>
                <w:color w:val="auto"/>
              </w:rPr>
              <w:t>年版）</w:t>
            </w:r>
            <w:r>
              <w:rPr>
                <w:rFonts w:hint="eastAsia"/>
                <w:color w:val="auto"/>
                <w:lang w:val="en-US" w:eastAsia="zh-CN"/>
              </w:rPr>
              <w:t>中</w:t>
            </w:r>
            <w:r>
              <w:rPr>
                <w:color w:val="auto"/>
              </w:rPr>
              <w:t>所列明的危险废物，且其浓度较低，</w:t>
            </w:r>
            <w:r>
              <w:rPr>
                <w:rFonts w:hint="eastAsia"/>
                <w:color w:val="auto"/>
              </w:rPr>
              <w:t>经统一收集后进入一体化污水处理站处理。洗涤废水污染物排放浓度</w:t>
            </w:r>
            <w:r>
              <w:rPr>
                <w:rFonts w:hint="eastAsia"/>
                <w:color w:val="auto"/>
                <w:shd w:val="clear" w:fill="FFFFFF"/>
              </w:rPr>
              <w:t>CODcr</w:t>
            </w:r>
            <w:r>
              <w:rPr>
                <w:rFonts w:hint="eastAsia"/>
                <w:color w:val="auto"/>
              </w:rPr>
              <w:t>：400mg/L、BOD</w:t>
            </w:r>
            <w:r>
              <w:rPr>
                <w:rFonts w:hint="eastAsia"/>
                <w:color w:val="auto"/>
                <w:vertAlign w:val="subscript"/>
              </w:rPr>
              <w:t>5</w:t>
            </w:r>
            <w:r>
              <w:rPr>
                <w:rFonts w:hint="eastAsia"/>
                <w:color w:val="auto"/>
                <w:vertAlign w:val="subscript"/>
                <w:lang w:eastAsia="zh-CN"/>
              </w:rPr>
              <w:t>:</w:t>
            </w:r>
            <w:r>
              <w:rPr>
                <w:rFonts w:hint="eastAsia"/>
                <w:color w:val="auto"/>
              </w:rPr>
              <w:t>200mg/L、氨氮：50mg/L。</w:t>
            </w:r>
          </w:p>
          <w:p>
            <w:pPr>
              <w:pStyle w:val="84"/>
              <w:ind w:firstLine="482"/>
              <w:rPr>
                <w:color w:val="auto"/>
              </w:rPr>
            </w:pPr>
            <w:r>
              <w:rPr>
                <w:rFonts w:hint="eastAsia"/>
                <w:color w:val="auto"/>
                <w:lang w:val="en-US" w:eastAsia="zh-CN"/>
              </w:rPr>
              <w:t>4</w:t>
            </w:r>
            <w:r>
              <w:rPr>
                <w:color w:val="auto"/>
              </w:rPr>
              <w:t>.</w:t>
            </w:r>
            <w:r>
              <w:rPr>
                <w:rFonts w:hint="eastAsia"/>
                <w:color w:val="auto"/>
              </w:rPr>
              <w:t>设备清洗用水</w:t>
            </w:r>
          </w:p>
          <w:p>
            <w:pPr>
              <w:ind w:firstLine="480"/>
              <w:rPr>
                <w:color w:val="auto"/>
              </w:rPr>
            </w:pPr>
            <w:r>
              <w:rPr>
                <w:color w:val="auto"/>
              </w:rPr>
              <w:t>本项目餐厨垃圾处理</w:t>
            </w:r>
            <w:r>
              <w:rPr>
                <w:rFonts w:hint="eastAsia"/>
                <w:color w:val="auto"/>
              </w:rPr>
              <w:t>设备</w:t>
            </w:r>
            <w:r>
              <w:rPr>
                <w:color w:val="auto"/>
              </w:rPr>
              <w:t>构件需每天进行清洗，清洗部位主要包括螺旋输送机、</w:t>
            </w:r>
            <w:r>
              <w:rPr>
                <w:rFonts w:hint="eastAsia"/>
                <w:color w:val="auto"/>
              </w:rPr>
              <w:t>固液分离甩干机</w:t>
            </w:r>
            <w:r>
              <w:rPr>
                <w:color w:val="auto"/>
              </w:rPr>
              <w:t>、</w:t>
            </w:r>
            <w:r>
              <w:rPr>
                <w:rFonts w:hint="eastAsia"/>
                <w:color w:val="auto"/>
              </w:rPr>
              <w:t>三相分离机</w:t>
            </w:r>
            <w:r>
              <w:rPr>
                <w:color w:val="auto"/>
              </w:rPr>
              <w:t>等</w:t>
            </w:r>
            <w:r>
              <w:rPr>
                <w:rFonts w:hint="eastAsia"/>
                <w:color w:val="auto"/>
              </w:rPr>
              <w:t>，项目设备清洗总用水量约为</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600</w:t>
            </w:r>
            <w:r>
              <w:rPr>
                <w:rFonts w:hint="eastAsia"/>
                <w:color w:val="auto"/>
              </w:rPr>
              <w:t>m</w:t>
            </w:r>
            <w:r>
              <w:rPr>
                <w:rFonts w:hint="eastAsia"/>
                <w:color w:val="auto"/>
                <w:vertAlign w:val="superscript"/>
              </w:rPr>
              <w:t>3</w:t>
            </w:r>
            <w:r>
              <w:rPr>
                <w:rFonts w:hint="eastAsia"/>
                <w:color w:val="auto"/>
              </w:rPr>
              <w:t>/a</w:t>
            </w:r>
            <w:r>
              <w:rPr>
                <w:rFonts w:hint="eastAsia"/>
                <w:color w:val="auto"/>
                <w:shd w:val="clear" w:fill="FFFFFF"/>
              </w:rPr>
              <w:t>）</w:t>
            </w:r>
            <w:r>
              <w:rPr>
                <w:rFonts w:hint="eastAsia"/>
                <w:color w:val="auto"/>
              </w:rPr>
              <w:t>，</w:t>
            </w:r>
            <w:r>
              <w:rPr>
                <w:color w:val="auto"/>
              </w:rPr>
              <w:t>排污系数按0.9计</w:t>
            </w:r>
            <w:r>
              <w:rPr>
                <w:rFonts w:hint="eastAsia"/>
                <w:color w:val="auto"/>
              </w:rPr>
              <w:t>，设备清洗废水产生量约为</w:t>
            </w:r>
            <w:r>
              <w:rPr>
                <w:rFonts w:hint="eastAsia"/>
                <w:color w:val="auto"/>
                <w:lang w:val="en-US" w:eastAsia="zh-CN"/>
              </w:rPr>
              <w:t>1.8</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540</w:t>
            </w:r>
            <w:r>
              <w:rPr>
                <w:rFonts w:hint="eastAsia"/>
                <w:color w:val="auto"/>
              </w:rPr>
              <w:t>m</w:t>
            </w:r>
            <w:r>
              <w:rPr>
                <w:rFonts w:hint="eastAsia"/>
                <w:color w:val="auto"/>
                <w:vertAlign w:val="superscript"/>
              </w:rPr>
              <w:t>3</w:t>
            </w:r>
            <w:r>
              <w:rPr>
                <w:rFonts w:hint="eastAsia"/>
                <w:color w:val="auto"/>
              </w:rPr>
              <w:t>/a。设备清洗废水统一收集后进入一体化污水处理站处置。</w:t>
            </w:r>
          </w:p>
          <w:p>
            <w:pPr>
              <w:pStyle w:val="84"/>
              <w:ind w:firstLine="482"/>
              <w:rPr>
                <w:color w:val="auto"/>
              </w:rPr>
            </w:pPr>
            <w:r>
              <w:rPr>
                <w:rFonts w:hint="eastAsia"/>
                <w:color w:val="auto"/>
                <w:lang w:val="en-US" w:eastAsia="zh-CN"/>
              </w:rPr>
              <w:t>5</w:t>
            </w:r>
            <w:r>
              <w:rPr>
                <w:color w:val="auto"/>
              </w:rPr>
              <w:t>.</w:t>
            </w:r>
            <w:r>
              <w:rPr>
                <w:rFonts w:hint="eastAsia"/>
                <w:color w:val="auto"/>
              </w:rPr>
              <w:t>车辆清洗废水</w:t>
            </w:r>
          </w:p>
          <w:p>
            <w:pPr>
              <w:ind w:firstLine="480"/>
              <w:rPr>
                <w:color w:val="auto"/>
              </w:rPr>
            </w:pPr>
            <w:r>
              <w:rPr>
                <w:rFonts w:hint="eastAsia"/>
                <w:color w:val="auto"/>
              </w:rPr>
              <w:t>本项目日处理餐厨垃圾</w:t>
            </w:r>
            <w:r>
              <w:rPr>
                <w:color w:val="auto"/>
              </w:rPr>
              <w:t>30</w:t>
            </w:r>
            <w:r>
              <w:rPr>
                <w:rFonts w:hint="eastAsia"/>
                <w:color w:val="auto"/>
              </w:rPr>
              <w:t>吨，</w:t>
            </w:r>
            <w:r>
              <w:rPr>
                <w:rFonts w:hint="eastAsia"/>
                <w:color w:val="auto"/>
                <w:lang w:val="en-US" w:eastAsia="zh-CN"/>
              </w:rPr>
              <w:t>餐厨垃圾收运车载重5t，餐厨垃圾收运车</w:t>
            </w:r>
            <w:r>
              <w:rPr>
                <w:rFonts w:hint="eastAsia"/>
                <w:color w:val="auto"/>
              </w:rPr>
              <w:t>每天运输</w:t>
            </w:r>
            <w:r>
              <w:rPr>
                <w:rFonts w:hint="eastAsia"/>
                <w:color w:val="auto"/>
                <w:lang w:val="en-US" w:eastAsia="zh-CN"/>
              </w:rPr>
              <w:t>6</w:t>
            </w:r>
            <w:r>
              <w:rPr>
                <w:rFonts w:hint="eastAsia"/>
                <w:color w:val="auto"/>
              </w:rPr>
              <w:t>次，</w:t>
            </w:r>
            <w:r>
              <w:rPr>
                <w:rFonts w:hint="eastAsia"/>
                <w:color w:val="auto"/>
                <w:lang w:val="en-US" w:eastAsia="zh-CN"/>
              </w:rPr>
              <w:t>根据《云南省用水定额》（2019年）</w:t>
            </w:r>
            <w:r>
              <w:rPr>
                <w:rFonts w:hint="eastAsia"/>
                <w:color w:val="auto"/>
              </w:rPr>
              <w:t>车辆冲洗用水按</w:t>
            </w:r>
            <w:r>
              <w:rPr>
                <w:rFonts w:hint="eastAsia"/>
                <w:color w:val="auto"/>
                <w:lang w:val="en-US" w:eastAsia="zh-CN"/>
              </w:rPr>
              <w:t>0.04</w:t>
            </w:r>
            <w:r>
              <w:rPr>
                <w:rFonts w:hint="eastAsia"/>
                <w:color w:val="auto"/>
              </w:rPr>
              <w:t>m</w:t>
            </w:r>
            <w:r>
              <w:rPr>
                <w:rFonts w:hint="eastAsia"/>
                <w:color w:val="auto"/>
                <w:vertAlign w:val="superscript"/>
              </w:rPr>
              <w:t>3</w:t>
            </w:r>
            <w:r>
              <w:rPr>
                <w:rFonts w:hint="eastAsia"/>
                <w:color w:val="auto"/>
              </w:rPr>
              <w:t>/辆</w:t>
            </w:r>
            <w:r>
              <w:rPr>
                <w:rFonts w:hint="eastAsia"/>
                <w:color w:val="auto"/>
                <w:lang w:eastAsia="zh-CN"/>
              </w:rPr>
              <w:t>。</w:t>
            </w:r>
            <w:r>
              <w:rPr>
                <w:rFonts w:hint="eastAsia"/>
                <w:color w:val="auto"/>
              </w:rPr>
              <w:t>次计算，车辆冲洗用水量为0.</w:t>
            </w:r>
            <w:r>
              <w:rPr>
                <w:rFonts w:hint="eastAsia"/>
                <w:color w:val="auto"/>
                <w:lang w:val="en-US" w:eastAsia="zh-CN"/>
              </w:rPr>
              <w:t>24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72</w:t>
            </w:r>
            <w:r>
              <w:rPr>
                <w:rFonts w:hint="eastAsia"/>
                <w:color w:val="auto"/>
              </w:rPr>
              <w:t>m</w:t>
            </w:r>
            <w:r>
              <w:rPr>
                <w:rFonts w:hint="eastAsia"/>
                <w:color w:val="auto"/>
                <w:vertAlign w:val="superscript"/>
              </w:rPr>
              <w:t>3</w:t>
            </w:r>
            <w:r>
              <w:rPr>
                <w:rFonts w:hint="eastAsia"/>
                <w:color w:val="auto"/>
              </w:rPr>
              <w:t>/a。废水产生量按用水量的</w:t>
            </w:r>
            <w:r>
              <w:rPr>
                <w:color w:val="auto"/>
              </w:rPr>
              <w:t>9</w:t>
            </w:r>
            <w:r>
              <w:rPr>
                <w:rFonts w:hint="eastAsia"/>
                <w:color w:val="auto"/>
              </w:rPr>
              <w:t>0%计算，则车辆冲洗废水产生量</w:t>
            </w:r>
            <w:r>
              <w:rPr>
                <w:rFonts w:hint="eastAsia"/>
                <w:color w:val="auto"/>
                <w:lang w:val="en-US" w:eastAsia="zh-CN"/>
              </w:rPr>
              <w:t>0.216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64.8</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，车辆清洗废水</w:t>
            </w:r>
            <w:r>
              <w:rPr>
                <w:rFonts w:hint="eastAsia"/>
                <w:color w:val="auto"/>
              </w:rPr>
              <w:t>统一收集后进入一体化污水处理站处置。</w:t>
            </w:r>
          </w:p>
          <w:p>
            <w:pPr>
              <w:pStyle w:val="84"/>
              <w:ind w:firstLine="482"/>
              <w:rPr>
                <w:color w:val="auto"/>
              </w:rPr>
            </w:pPr>
            <w:r>
              <w:rPr>
                <w:rFonts w:hint="eastAsia"/>
                <w:color w:val="auto"/>
                <w:lang w:val="en-US" w:eastAsia="zh-CN"/>
              </w:rPr>
              <w:t>6</w:t>
            </w:r>
            <w:r>
              <w:rPr>
                <w:color w:val="auto"/>
              </w:rPr>
              <w:t>.</w:t>
            </w:r>
            <w:r>
              <w:rPr>
                <w:rFonts w:hint="eastAsia"/>
                <w:color w:val="auto"/>
              </w:rPr>
              <w:t>锅炉废水</w:t>
            </w:r>
          </w:p>
          <w:p>
            <w:pPr>
              <w:ind w:firstLine="480"/>
              <w:rPr>
                <w:color w:val="auto"/>
              </w:rPr>
            </w:pPr>
            <w:r>
              <w:rPr>
                <w:color w:val="auto"/>
              </w:rPr>
              <w:t>本项目设置1台</w:t>
            </w:r>
            <w:r>
              <w:rPr>
                <w:rFonts w:hint="eastAsia"/>
                <w:color w:val="auto"/>
                <w:lang w:val="en-US" w:eastAsia="zh-CN"/>
              </w:rPr>
              <w:t>2.2</w:t>
            </w:r>
            <w:r>
              <w:rPr>
                <w:color w:val="auto"/>
              </w:rPr>
              <w:t>t/h的</w:t>
            </w:r>
            <w:r>
              <w:rPr>
                <w:rFonts w:hint="eastAsia"/>
                <w:color w:val="auto"/>
                <w:lang w:eastAsia="zh-CN"/>
              </w:rPr>
              <w:t>生物质水汽两用锅炉</w:t>
            </w:r>
            <w:r>
              <w:rPr>
                <w:color w:val="auto"/>
              </w:rPr>
              <w:t>，</w:t>
            </w:r>
            <w:r>
              <w:rPr>
                <w:rFonts w:hint="eastAsia"/>
                <w:color w:val="auto"/>
              </w:rPr>
              <w:t>正常生产过程中锅炉水变成蒸汽对处理设备进行加热，锅炉用水量为</w:t>
            </w:r>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锅炉产生蒸汽（5.6t）全部进入三相分离工段</w:t>
            </w:r>
            <w:r>
              <w:rPr>
                <w:rFonts w:hint="eastAsia"/>
                <w:color w:val="auto"/>
              </w:rPr>
              <w:t>，</w:t>
            </w:r>
            <w:r>
              <w:rPr>
                <w:rFonts w:hint="eastAsia"/>
                <w:color w:val="auto"/>
                <w:lang w:val="en-US" w:eastAsia="zh-CN"/>
              </w:rPr>
              <w:t>其中进入三相分离工段的蒸汽20%（1.12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，336</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）自然挥发，80%蒸汽（4.48</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，1344</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）冷凝后进入三相分离产生的分离废水</w:t>
            </w:r>
            <w:r>
              <w:rPr>
                <w:rFonts w:hint="eastAsia"/>
                <w:color w:val="auto"/>
                <w:lang w:eastAsia="zh-CN"/>
              </w:rPr>
              <w:t>；</w:t>
            </w:r>
            <w:r>
              <w:rPr>
                <w:rFonts w:hint="eastAsia"/>
                <w:color w:val="auto"/>
                <w:lang w:val="en-US" w:eastAsia="zh-CN"/>
              </w:rPr>
              <w:t>其余锅炉产生蒸汽（12</w:t>
            </w:r>
            <w:r>
              <w:rPr>
                <w:rFonts w:hint="eastAsia"/>
                <w:color w:val="auto"/>
                <w:lang w:eastAsia="zh-CN"/>
              </w:rPr>
              <w:t>m</w:t>
            </w:r>
            <w:r>
              <w:rPr>
                <w:rFonts w:hint="eastAsia"/>
                <w:color w:val="auto"/>
              </w:rPr>
              <w:t>³</w:t>
            </w:r>
            <w:r>
              <w:rPr>
                <w:rFonts w:hint="eastAsia"/>
                <w:color w:val="auto"/>
                <w:lang w:val="en-US"/>
              </w:rPr>
              <w:t>/</w:t>
            </w:r>
            <w:r>
              <w:rPr>
                <w:color w:val="auto"/>
                <w:lang w:val="en-US"/>
              </w:rPr>
              <w:t>d</w:t>
            </w:r>
            <w:r>
              <w:rPr>
                <w:rFonts w:hint="eastAsia"/>
                <w:color w:val="auto"/>
                <w:lang w:val="en-US" w:eastAsia="zh-CN"/>
              </w:rPr>
              <w:t>，3600</w:t>
            </w:r>
            <w:r>
              <w:rPr>
                <w:rFonts w:hint="eastAsia"/>
                <w:color w:val="auto"/>
                <w:lang w:eastAsia="zh-CN"/>
              </w:rPr>
              <w:t>m</w:t>
            </w:r>
            <w:r>
              <w:rPr>
                <w:rFonts w:hint="eastAsia"/>
                <w:color w:val="auto"/>
              </w:rPr>
              <w:t>³</w:t>
            </w:r>
            <w:r>
              <w:rPr>
                <w:rFonts w:hint="eastAsia"/>
                <w:color w:val="auto"/>
                <w:lang w:val="en-US"/>
              </w:rPr>
              <w:t>/a</w:t>
            </w:r>
            <w:r>
              <w:rPr>
                <w:rFonts w:hint="eastAsia"/>
                <w:color w:val="auto"/>
                <w:lang w:val="en-US" w:eastAsia="zh-CN"/>
              </w:rPr>
              <w:t>）自然挥发</w:t>
            </w:r>
            <w:r>
              <w:rPr>
                <w:rFonts w:hint="eastAsia"/>
                <w:color w:val="auto"/>
                <w:shd w:val="clear" w:fill="FFFFFF"/>
                <w:lang w:val="en-US" w:eastAsia="zh-CN"/>
              </w:rPr>
              <w:t>至</w:t>
            </w:r>
            <w:r>
              <w:rPr>
                <w:rFonts w:hint="eastAsia"/>
                <w:color w:val="auto"/>
                <w:lang w:val="en-US" w:eastAsia="zh-CN"/>
              </w:rPr>
              <w:t>外环境，</w:t>
            </w:r>
            <w:r>
              <w:rPr>
                <w:rFonts w:hint="eastAsia"/>
                <w:color w:val="auto"/>
              </w:rPr>
              <w:t>在设备检修时，将锅炉水排出，</w:t>
            </w:r>
            <w:r>
              <w:rPr>
                <w:rFonts w:hint="eastAsia"/>
                <w:color w:val="auto"/>
                <w:lang w:eastAsia="zh-CN"/>
              </w:rPr>
              <w:t>生物质水汽两用锅炉</w:t>
            </w:r>
            <w:r>
              <w:rPr>
                <w:rFonts w:hint="eastAsia"/>
                <w:color w:val="auto"/>
              </w:rPr>
              <w:t>检修周期约为1月/次，排水量约</w:t>
            </w:r>
            <w:r>
              <w:rPr>
                <w:rFonts w:hint="eastAsia"/>
                <w:color w:val="auto"/>
                <w:lang w:val="en-US" w:eastAsia="zh-CN"/>
              </w:rPr>
              <w:t>22</w:t>
            </w:r>
            <w:r>
              <w:rPr>
                <w:rFonts w:hint="eastAsia"/>
                <w:color w:val="auto"/>
              </w:rPr>
              <w:t>m</w:t>
            </w:r>
            <w:r>
              <w:rPr>
                <w:rFonts w:hint="eastAsia"/>
                <w:color w:val="auto"/>
                <w:vertAlign w:val="superscript"/>
              </w:rPr>
              <w:t>3</w:t>
            </w:r>
            <w:r>
              <w:rPr>
                <w:rFonts w:hint="eastAsia"/>
                <w:color w:val="auto"/>
              </w:rPr>
              <w:t>/a，此部分废水产生后用于</w:t>
            </w:r>
            <w:r>
              <w:rPr>
                <w:rFonts w:hint="eastAsia"/>
                <w:color w:val="auto"/>
                <w:lang w:val="en-US" w:eastAsia="zh-CN"/>
              </w:rPr>
              <w:t>地面</w:t>
            </w:r>
            <w:r>
              <w:rPr>
                <w:rFonts w:hint="eastAsia"/>
                <w:color w:val="auto"/>
              </w:rPr>
              <w:t>清洗。</w:t>
            </w:r>
          </w:p>
          <w:p>
            <w:pPr>
              <w:pStyle w:val="84"/>
              <w:ind w:firstLine="482"/>
              <w:rPr>
                <w:color w:val="auto"/>
              </w:rPr>
            </w:pPr>
            <w:r>
              <w:rPr>
                <w:color w:val="auto"/>
              </w:rPr>
              <w:t>8.生活污水</w:t>
            </w:r>
          </w:p>
          <w:p>
            <w:pPr>
              <w:ind w:firstLine="480"/>
              <w:rPr>
                <w:color w:val="auto"/>
                <w:sz w:val="24"/>
                <w:szCs w:val="24"/>
              </w:rPr>
            </w:pPr>
            <w:r>
              <w:rPr>
                <w:color w:val="auto"/>
                <w:sz w:val="24"/>
                <w:szCs w:val="24"/>
              </w:rPr>
              <w:t>本项目员工定员10人，年工作</w:t>
            </w:r>
            <w:r>
              <w:rPr>
                <w:rFonts w:hint="eastAsia"/>
                <w:color w:val="auto"/>
                <w:sz w:val="24"/>
                <w:szCs w:val="24"/>
              </w:rPr>
              <w:t>3</w:t>
            </w:r>
            <w:r>
              <w:rPr>
                <w:color w:val="auto"/>
                <w:sz w:val="24"/>
                <w:szCs w:val="24"/>
              </w:rPr>
              <w:t>00天。</w:t>
            </w:r>
            <w:r>
              <w:rPr>
                <w:rFonts w:hint="eastAsia"/>
                <w:color w:val="auto"/>
                <w:sz w:val="24"/>
                <w:szCs w:val="24"/>
              </w:rPr>
              <w:t>运营期</w:t>
            </w:r>
            <w:r>
              <w:rPr>
                <w:color w:val="auto"/>
                <w:sz w:val="24"/>
                <w:szCs w:val="24"/>
              </w:rPr>
              <w:t>均不在厂区食宿。根据《云南省地方用水定额标准》（DB53/T168-2019），生活用水量以30L/</w:t>
            </w:r>
            <w:r>
              <w:rPr>
                <w:rFonts w:hint="eastAsia"/>
                <w:color w:val="auto"/>
                <w:sz w:val="24"/>
                <w:szCs w:val="24"/>
                <w:lang w:eastAsia="zh-CN"/>
              </w:rPr>
              <w:t>（</w:t>
            </w:r>
            <w:r>
              <w:rPr>
                <w:color w:val="auto"/>
                <w:sz w:val="24"/>
                <w:szCs w:val="24"/>
              </w:rPr>
              <w:t>d·人</w:t>
            </w:r>
            <w:r>
              <w:rPr>
                <w:rFonts w:hint="eastAsia"/>
                <w:color w:val="auto"/>
                <w:sz w:val="24"/>
                <w:szCs w:val="24"/>
                <w:lang w:eastAsia="zh-CN"/>
              </w:rPr>
              <w:t>）</w:t>
            </w:r>
            <w:r>
              <w:rPr>
                <w:color w:val="auto"/>
                <w:sz w:val="24"/>
                <w:szCs w:val="24"/>
              </w:rPr>
              <w:t>计</w:t>
            </w:r>
            <w:r>
              <w:rPr>
                <w:rFonts w:hint="eastAsia"/>
                <w:color w:val="auto"/>
                <w:sz w:val="24"/>
                <w:szCs w:val="24"/>
              </w:rPr>
              <w:t>，</w:t>
            </w:r>
            <w:r>
              <w:rPr>
                <w:color w:val="auto"/>
                <w:sz w:val="24"/>
                <w:szCs w:val="24"/>
              </w:rPr>
              <w:t>生活用水量为0.3m</w:t>
            </w:r>
            <w:r>
              <w:rPr>
                <w:color w:val="auto"/>
                <w:sz w:val="24"/>
                <w:szCs w:val="24"/>
                <w:vertAlign w:val="superscript"/>
              </w:rPr>
              <w:t>3</w:t>
            </w:r>
            <w:r>
              <w:rPr>
                <w:color w:val="auto"/>
                <w:sz w:val="24"/>
                <w:szCs w:val="24"/>
              </w:rPr>
              <w:t>/</w:t>
            </w:r>
            <w:r>
              <w:rPr>
                <w:rFonts w:hint="eastAsia"/>
                <w:color w:val="auto"/>
                <w:sz w:val="24"/>
                <w:szCs w:val="24"/>
              </w:rPr>
              <w:t>d，9</w:t>
            </w:r>
            <w:r>
              <w:rPr>
                <w:color w:val="auto"/>
                <w:sz w:val="24"/>
                <w:szCs w:val="24"/>
              </w:rPr>
              <w:t>0m</w:t>
            </w:r>
            <w:r>
              <w:rPr>
                <w:color w:val="auto"/>
                <w:sz w:val="24"/>
                <w:szCs w:val="24"/>
                <w:vertAlign w:val="superscript"/>
              </w:rPr>
              <w:t>3</w:t>
            </w:r>
            <w:r>
              <w:rPr>
                <w:color w:val="auto"/>
                <w:sz w:val="24"/>
                <w:szCs w:val="24"/>
              </w:rPr>
              <w:t>/d。排放系数以0.9计，则生活污水产生量为0.27m</w:t>
            </w:r>
            <w:r>
              <w:rPr>
                <w:color w:val="auto"/>
                <w:sz w:val="24"/>
                <w:szCs w:val="24"/>
                <w:vertAlign w:val="superscript"/>
              </w:rPr>
              <w:t>3</w:t>
            </w:r>
            <w:r>
              <w:rPr>
                <w:color w:val="auto"/>
                <w:sz w:val="24"/>
                <w:szCs w:val="24"/>
              </w:rPr>
              <w:t>/</w:t>
            </w:r>
            <w:r>
              <w:rPr>
                <w:rFonts w:hint="eastAsia"/>
                <w:color w:val="auto"/>
                <w:sz w:val="24"/>
                <w:szCs w:val="24"/>
              </w:rPr>
              <w:t>d，8</w:t>
            </w:r>
            <w:r>
              <w:rPr>
                <w:color w:val="auto"/>
                <w:sz w:val="24"/>
                <w:szCs w:val="24"/>
              </w:rPr>
              <w:t>1m</w:t>
            </w:r>
            <w:r>
              <w:rPr>
                <w:color w:val="auto"/>
                <w:sz w:val="24"/>
                <w:szCs w:val="24"/>
                <w:vertAlign w:val="superscript"/>
              </w:rPr>
              <w:t>3</w:t>
            </w:r>
            <w:r>
              <w:rPr>
                <w:color w:val="auto"/>
                <w:sz w:val="24"/>
                <w:szCs w:val="24"/>
              </w:rPr>
              <w:t>/</w:t>
            </w:r>
            <w:r>
              <w:rPr>
                <w:rFonts w:hint="eastAsia"/>
                <w:color w:val="auto"/>
                <w:sz w:val="24"/>
                <w:szCs w:val="24"/>
              </w:rPr>
              <w:t>a，</w:t>
            </w:r>
            <w:r>
              <w:rPr>
                <w:color w:val="auto"/>
                <w:sz w:val="24"/>
                <w:szCs w:val="24"/>
              </w:rPr>
              <w:t>生活污水排入化粪池处理</w:t>
            </w:r>
            <w:r>
              <w:rPr>
                <w:rFonts w:hint="eastAsia"/>
                <w:color w:val="auto"/>
                <w:sz w:val="24"/>
                <w:szCs w:val="24"/>
              </w:rPr>
              <w:t>后委托周边村民定期清掏施肥</w:t>
            </w:r>
            <w:r>
              <w:rPr>
                <w:color w:val="auto"/>
                <w:sz w:val="24"/>
                <w:szCs w:val="24"/>
              </w:rPr>
              <w:t>。</w:t>
            </w:r>
          </w:p>
          <w:p>
            <w:pPr>
              <w:pStyle w:val="84"/>
              <w:ind w:firstLine="482"/>
              <w:rPr>
                <w:color w:val="auto"/>
              </w:rPr>
            </w:pPr>
            <w:r>
              <w:rPr>
                <w:color w:val="auto"/>
              </w:rPr>
              <w:t>9.</w:t>
            </w:r>
            <w:r>
              <w:rPr>
                <w:rFonts w:hint="eastAsia"/>
                <w:color w:val="auto"/>
              </w:rPr>
              <w:t>初期雨水</w:t>
            </w:r>
          </w:p>
          <w:p>
            <w:pPr>
              <w:ind w:firstLine="480"/>
              <w:rPr>
                <w:rFonts w:hint="eastAsia"/>
                <w:color w:val="auto"/>
              </w:rPr>
            </w:pPr>
            <w:r>
              <w:rPr>
                <w:rFonts w:hint="eastAsia"/>
                <w:color w:val="auto"/>
              </w:rPr>
              <w:t>初期雨水是指降雨初始15分钟内的雨水，本项目所有生产过程均在厂房内进行，生产区不受雨季影响。本项目非生产区在降雨时会产生一定的雨水径流。餐厨垃圾运输车辆采用全封闭、具有自动装卸结构的车型，能防止餐厨垃圾运输车辆废水沿路流失；餐厨垃圾运输车卸料完毕，经高压水枪清洗干净后才能通过厂区道路驶出厂区，</w:t>
            </w:r>
            <w:r>
              <w:rPr>
                <w:rFonts w:hint="eastAsia"/>
                <w:color w:val="auto"/>
                <w:shd w:val="clear" w:fill="FFFFFF"/>
              </w:rPr>
              <w:t>故</w:t>
            </w:r>
            <w:r>
              <w:rPr>
                <w:rFonts w:hint="eastAsia"/>
                <w:color w:val="auto"/>
              </w:rPr>
              <w:t>厂区道路基本不受餐厨垃圾的污染，因而对初期雨水的影响极小。项目初期雨水经厂区内雨水管网收集后，汇入初期雨水收集池，收集后的初期雨水进入一体化污水处理站进行处置。本项目汇水面积主要为厂房、绿化区域以外的其他硬化区域，面积约为</w:t>
            </w:r>
            <w:r>
              <w:rPr>
                <w:color w:val="auto"/>
              </w:rPr>
              <w:t>180</w:t>
            </w:r>
            <w:r>
              <w:rPr>
                <w:rFonts w:hint="eastAsia"/>
                <w:color w:val="auto"/>
              </w:rPr>
              <w:t>m</w:t>
            </w:r>
            <w:r>
              <w:rPr>
                <w:rFonts w:hint="eastAsia"/>
                <w:color w:val="auto"/>
                <w:vertAlign w:val="superscript"/>
              </w:rPr>
              <w:t>2</w:t>
            </w:r>
            <w:r>
              <w:rPr>
                <w:rFonts w:hint="eastAsia"/>
                <w:color w:val="auto"/>
              </w:rPr>
              <w:t>。</w:t>
            </w:r>
          </w:p>
          <w:p>
            <w:pPr>
              <w:pStyle w:val="1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初期雨水选用的暴雨强度计算公式及参数选择计算可得如下图所示</w:t>
            </w:r>
            <w:r>
              <w:rPr>
                <w:rFonts w:hint="eastAsia" w:ascii="Times New Roman" w:hAnsi="Times New Roman" w:cs="Times New Roman"/>
                <w:b w:val="0"/>
                <w:bCs/>
                <w:color w:val="auto"/>
                <w:kern w:val="2"/>
                <w:sz w:val="24"/>
                <w:szCs w:val="24"/>
                <w:lang w:val="en-US" w:eastAsia="zh-CN" w:bidi="ar-SA"/>
              </w:rPr>
              <w:t>：</w:t>
            </w:r>
          </w:p>
          <w:p>
            <w:pPr>
              <w:ind w:left="0" w:leftChars="0" w:firstLine="0" w:firstLineChars="0"/>
              <w:jc w:val="center"/>
              <w:rPr>
                <w:color w:val="auto"/>
              </w:rPr>
            </w:pPr>
            <w:r>
              <w:rPr>
                <w:color w:val="auto"/>
              </w:rPr>
              <w:drawing>
                <wp:inline distT="0" distB="0" distL="114300" distR="114300">
                  <wp:extent cx="4752975" cy="4610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752975" cy="4610100"/>
                          </a:xfrm>
                          <a:prstGeom prst="rect">
                            <a:avLst/>
                          </a:prstGeom>
                          <a:noFill/>
                          <a:ln>
                            <a:noFill/>
                          </a:ln>
                        </pic:spPr>
                      </pic:pic>
                    </a:graphicData>
                  </a:graphic>
                </wp:inline>
              </w:drawing>
            </w:r>
          </w:p>
          <w:p>
            <w:pPr>
              <w:pStyle w:val="71"/>
              <w:rPr>
                <w:color w:val="auto"/>
              </w:rPr>
            </w:pPr>
            <w:r>
              <w:rPr>
                <w:rFonts w:hint="default" w:ascii="Times New Roman" w:hAnsi="Times New Roman" w:cs="Times New Roman"/>
                <w:color w:val="auto"/>
              </w:rPr>
              <w:t>图</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项目</w:t>
            </w:r>
            <w:r>
              <w:rPr>
                <w:rFonts w:hint="default" w:ascii="Times New Roman" w:hAnsi="Times New Roman" w:cs="Times New Roman"/>
                <w:color w:val="auto"/>
              </w:rPr>
              <w:t>区暴雨强度计算</w:t>
            </w:r>
          </w:p>
          <w:p>
            <w:pPr>
              <w:ind w:firstLine="480"/>
              <w:rPr>
                <w:color w:val="auto"/>
              </w:rPr>
            </w:pPr>
            <w:r>
              <w:rPr>
                <w:rFonts w:hint="default" w:ascii="Times New Roman" w:hAnsi="Times New Roman" w:cs="Times New Roman"/>
                <w:color w:val="auto"/>
              </w:rPr>
              <w:t>根据计算结果可知项目</w:t>
            </w:r>
            <w:r>
              <w:rPr>
                <w:rFonts w:hint="eastAsia" w:cs="Times New Roman"/>
                <w:color w:val="auto"/>
                <w:lang w:eastAsia="zh-CN"/>
              </w:rPr>
              <w:t>区</w:t>
            </w:r>
            <w:r>
              <w:rPr>
                <w:rFonts w:hint="default" w:ascii="Times New Roman" w:hAnsi="Times New Roman" w:cs="Times New Roman"/>
                <w:color w:val="auto"/>
              </w:rPr>
              <w:t>降水量为</w:t>
            </w:r>
            <w:r>
              <w:rPr>
                <w:rFonts w:hint="eastAsia" w:ascii="Times New Roman" w:hAnsi="Times New Roman" w:cs="Times New Roman"/>
                <w:color w:val="auto"/>
                <w:lang w:val="en-US" w:eastAsia="zh-CN"/>
              </w:rPr>
              <w:t>97.84</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rPr>
              <w:t>/h。雨水收集池收集前15分钟的雨水，项目区前15分钟降水量为</w:t>
            </w:r>
            <w:r>
              <w:rPr>
                <w:rFonts w:hint="eastAsia" w:ascii="Times New Roman" w:hAnsi="Times New Roman" w:cs="Times New Roman"/>
                <w:color w:val="auto"/>
                <w:lang w:val="en-US" w:eastAsia="zh-CN"/>
              </w:rPr>
              <w:t>24.46</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rPr>
              <w:t>，项目区降雨天数按照110d/a计，则初期雨水产生量为</w:t>
            </w:r>
            <w:r>
              <w:rPr>
                <w:rFonts w:hint="eastAsia" w:ascii="Times New Roman" w:hAnsi="Times New Roman" w:cs="Times New Roman"/>
                <w:color w:val="auto"/>
                <w:lang w:val="en-US" w:eastAsia="zh-CN"/>
              </w:rPr>
              <w:t>2690.6</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rPr>
              <w:t>/a。根据现场踏勘，</w:t>
            </w:r>
            <w:r>
              <w:rPr>
                <w:rFonts w:hint="eastAsia" w:ascii="Times New Roman" w:hAnsi="Times New Roman" w:cs="Times New Roman"/>
                <w:color w:val="auto"/>
                <w:lang w:val="en-US" w:eastAsia="zh-CN"/>
              </w:rPr>
              <w:t>项目已建设1个</w:t>
            </w:r>
            <w:r>
              <w:rPr>
                <w:color w:val="auto"/>
              </w:rPr>
              <w:t>初期雨水</w:t>
            </w:r>
            <w:r>
              <w:rPr>
                <w:rFonts w:hint="eastAsia"/>
                <w:color w:val="auto"/>
                <w:lang w:val="en-US" w:eastAsia="zh-CN"/>
              </w:rPr>
              <w:t>池（</w:t>
            </w:r>
            <w:r>
              <w:rPr>
                <w:rFonts w:hint="eastAsia"/>
                <w:color w:val="auto"/>
              </w:rPr>
              <w:t>容积2m³</w:t>
            </w:r>
            <w:r>
              <w:rPr>
                <w:rFonts w:hint="eastAsia"/>
                <w:color w:val="auto"/>
                <w:lang w:val="en-US" w:eastAsia="zh-CN"/>
              </w:rPr>
              <w:t>）</w:t>
            </w:r>
            <w:r>
              <w:rPr>
                <w:rFonts w:hint="eastAsia"/>
                <w:color w:val="auto"/>
                <w:lang w:eastAsia="zh-CN"/>
              </w:rPr>
              <w:t>，</w:t>
            </w:r>
            <w:r>
              <w:rPr>
                <w:rFonts w:hint="eastAsia"/>
                <w:color w:val="auto"/>
                <w:lang w:val="en-US" w:eastAsia="zh-CN"/>
              </w:rPr>
              <w:t>环评要求：项目对已建1个</w:t>
            </w:r>
            <w:r>
              <w:rPr>
                <w:color w:val="auto"/>
              </w:rPr>
              <w:t>初期雨水</w:t>
            </w:r>
            <w:r>
              <w:rPr>
                <w:rFonts w:hint="eastAsia"/>
                <w:color w:val="auto"/>
                <w:lang w:val="en-US" w:eastAsia="zh-CN"/>
              </w:rPr>
              <w:t>池（</w:t>
            </w:r>
            <w:r>
              <w:rPr>
                <w:rFonts w:hint="eastAsia"/>
                <w:color w:val="auto"/>
              </w:rPr>
              <w:t>容积2m³</w:t>
            </w:r>
            <w:r>
              <w:rPr>
                <w:rFonts w:hint="eastAsia"/>
                <w:color w:val="auto"/>
                <w:lang w:val="en-US" w:eastAsia="zh-CN"/>
              </w:rPr>
              <w:t>）进行整改，整改后建设1个</w:t>
            </w:r>
            <w:r>
              <w:rPr>
                <w:rFonts w:hint="eastAsia"/>
                <w:color w:val="auto"/>
              </w:rPr>
              <w:t>容积</w:t>
            </w:r>
            <w:r>
              <w:rPr>
                <w:rFonts w:hint="eastAsia"/>
                <w:color w:val="auto"/>
                <w:lang w:val="en-US" w:eastAsia="zh-CN"/>
              </w:rPr>
              <w:t>30</w:t>
            </w:r>
            <w:r>
              <w:rPr>
                <w:rFonts w:hint="eastAsia"/>
                <w:color w:val="auto"/>
              </w:rPr>
              <w:t>m³</w:t>
            </w:r>
            <w:r>
              <w:rPr>
                <w:rFonts w:hint="eastAsia"/>
                <w:color w:val="auto"/>
                <w:lang w:val="en-US" w:eastAsia="zh-CN"/>
              </w:rPr>
              <w:t>初期雨水池，</w:t>
            </w:r>
            <w:r>
              <w:rPr>
                <w:color w:val="auto"/>
              </w:rPr>
              <w:t>暂时储存</w:t>
            </w:r>
            <w:r>
              <w:rPr>
                <w:rFonts w:hint="eastAsia"/>
                <w:color w:val="auto"/>
              </w:rPr>
              <w:t>定期排入一体化污水处理站进行处置</w:t>
            </w:r>
            <w:r>
              <w:rPr>
                <w:color w:val="auto"/>
              </w:rPr>
              <w:t>。</w:t>
            </w:r>
          </w:p>
          <w:p>
            <w:pPr>
              <w:pStyle w:val="84"/>
              <w:ind w:firstLine="482"/>
              <w:rPr>
                <w:color w:val="auto"/>
              </w:rPr>
            </w:pPr>
            <w:r>
              <w:rPr>
                <w:color w:val="auto"/>
              </w:rPr>
              <w:t>10.水污染物产生及排放情况</w:t>
            </w:r>
          </w:p>
          <w:p>
            <w:pPr>
              <w:ind w:firstLine="480"/>
              <w:rPr>
                <w:color w:val="auto"/>
              </w:rPr>
            </w:pPr>
            <w:r>
              <w:rPr>
                <w:rFonts w:hint="eastAsia"/>
                <w:color w:val="auto"/>
              </w:rPr>
              <w:t>根据《排放源统计调查</w:t>
            </w:r>
            <w:r>
              <w:rPr>
                <w:rFonts w:hint="eastAsia"/>
                <w:color w:val="auto"/>
                <w:shd w:val="clear" w:fill="FFFFFF"/>
              </w:rPr>
              <w:t>产</w:t>
            </w:r>
            <w:r>
              <w:rPr>
                <w:rFonts w:hint="eastAsia"/>
                <w:color w:val="auto"/>
              </w:rPr>
              <w:t>排污核算方法和系数手册》（2021年第24号）中“第四分册生活垃圾堆肥厂与餐厨垃圾处理厂污染物核算系数”中表“5.2 餐厨垃圾处理厂废水/污染物产排污系数”可知。餐厨垃圾行业废水污染物产生浓度为：</w:t>
            </w:r>
            <w:r>
              <w:rPr>
                <w:rFonts w:hint="eastAsia"/>
                <w:color w:val="auto"/>
                <w:shd w:val="clear" w:fill="FFFFFF"/>
              </w:rPr>
              <w:t>CODcr</w:t>
            </w:r>
            <w:r>
              <w:rPr>
                <w:rFonts w:hint="eastAsia"/>
                <w:color w:val="auto"/>
              </w:rPr>
              <w:t>：13800mg/L、BOD</w:t>
            </w:r>
            <w:r>
              <w:rPr>
                <w:rFonts w:hint="eastAsia"/>
                <w:color w:val="auto"/>
                <w:vertAlign w:val="subscript"/>
              </w:rPr>
              <w:t>5</w:t>
            </w:r>
            <w:r>
              <w:rPr>
                <w:rFonts w:hint="eastAsia"/>
                <w:color w:val="auto"/>
                <w:vertAlign w:val="subscript"/>
                <w:lang w:eastAsia="zh-CN"/>
              </w:rPr>
              <w:t>:</w:t>
            </w:r>
            <w:r>
              <w:rPr>
                <w:rFonts w:hint="eastAsia"/>
                <w:color w:val="auto"/>
              </w:rPr>
              <w:t>5600mg/L、TN：2300mg/L、TP：60mg/L、氨氮：1600mg/L、SS：6000mg/L、动植物油：350mg/L。</w:t>
            </w:r>
          </w:p>
          <w:p>
            <w:pPr>
              <w:ind w:firstLine="480"/>
              <w:rPr>
                <w:color w:val="auto"/>
              </w:rPr>
            </w:pPr>
            <w:r>
              <w:rPr>
                <w:rFonts w:hint="eastAsia"/>
                <w:color w:val="auto"/>
              </w:rPr>
              <w:t>进入污水处理系统废水各</w:t>
            </w:r>
            <w:r>
              <w:rPr>
                <w:color w:val="auto"/>
              </w:rPr>
              <w:t>污染物产生及排放情况见表4.2-</w:t>
            </w:r>
            <w:r>
              <w:rPr>
                <w:rFonts w:hint="eastAsia"/>
                <w:color w:val="auto"/>
                <w:lang w:val="en-US" w:eastAsia="zh-CN"/>
              </w:rPr>
              <w:t>19</w:t>
            </w:r>
            <w:r>
              <w:rPr>
                <w:color w:val="auto"/>
              </w:rPr>
              <w:t>所示。</w:t>
            </w:r>
          </w:p>
          <w:p>
            <w:pPr>
              <w:pStyle w:val="71"/>
              <w:rPr>
                <w:color w:val="auto"/>
              </w:rPr>
            </w:pPr>
            <w:r>
              <w:rPr>
                <w:color w:val="auto"/>
              </w:rPr>
              <w:t>表4.2-</w:t>
            </w:r>
            <w:r>
              <w:rPr>
                <w:rFonts w:hint="eastAsia"/>
                <w:color w:val="auto"/>
                <w:lang w:val="en-US" w:eastAsia="zh-CN"/>
              </w:rPr>
              <w:t>20</w:t>
            </w:r>
            <w:r>
              <w:rPr>
                <w:color w:val="auto"/>
              </w:rPr>
              <w:t xml:space="preserve"> </w:t>
            </w:r>
            <w:r>
              <w:rPr>
                <w:rFonts w:hint="eastAsia"/>
                <w:color w:val="auto"/>
                <w:lang w:val="en-US" w:eastAsia="zh-CN"/>
              </w:rPr>
              <w:t xml:space="preserve"> </w:t>
            </w:r>
            <w:r>
              <w:rPr>
                <w:rFonts w:hint="eastAsia"/>
                <w:color w:val="auto"/>
              </w:rPr>
              <w:t>进入污水处理系统废水</w:t>
            </w:r>
            <w:r>
              <w:rPr>
                <w:color w:val="auto"/>
              </w:rPr>
              <w:t>污染物产生情况</w:t>
            </w:r>
          </w:p>
          <w:tbl>
            <w:tblPr>
              <w:tblStyle w:val="29"/>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16"/>
              <w:gridCol w:w="1041"/>
              <w:gridCol w:w="796"/>
              <w:gridCol w:w="793"/>
              <w:gridCol w:w="796"/>
              <w:gridCol w:w="661"/>
              <w:gridCol w:w="796"/>
              <w:gridCol w:w="661"/>
              <w:gridCol w:w="664"/>
              <w:gridCol w:w="7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247" w:type="pct"/>
                  <w:gridSpan w:val="2"/>
                  <w:tcMar>
                    <w:top w:w="12" w:type="dxa"/>
                    <w:left w:w="12" w:type="dxa"/>
                    <w:right w:w="12" w:type="dxa"/>
                  </w:tcMar>
                  <w:vAlign w:val="center"/>
                </w:tcPr>
                <w:p>
                  <w:pPr>
                    <w:pStyle w:val="68"/>
                    <w:rPr>
                      <w:b/>
                      <w:bCs/>
                      <w:color w:val="auto"/>
                    </w:rPr>
                  </w:pPr>
                  <w:r>
                    <w:rPr>
                      <w:rFonts w:hint="eastAsia"/>
                      <w:b/>
                      <w:bCs/>
                      <w:color w:val="auto"/>
                      <w:lang w:eastAsia="zh-CN"/>
                    </w:rPr>
                    <w:t>项目</w:t>
                  </w:r>
                </w:p>
              </w:tc>
              <w:tc>
                <w:tcPr>
                  <w:tcW w:w="507" w:type="pct"/>
                  <w:vAlign w:val="center"/>
                </w:tcPr>
                <w:p>
                  <w:pPr>
                    <w:pStyle w:val="68"/>
                    <w:rPr>
                      <w:b/>
                      <w:bCs/>
                      <w:color w:val="auto"/>
                    </w:rPr>
                  </w:pPr>
                  <w:r>
                    <w:rPr>
                      <w:rFonts w:hint="eastAsia"/>
                      <w:b/>
                      <w:bCs/>
                      <w:color w:val="auto"/>
                      <w:lang w:eastAsia="zh-CN"/>
                    </w:rPr>
                    <w:t>污水量</w:t>
                  </w:r>
                </w:p>
              </w:tc>
              <w:tc>
                <w:tcPr>
                  <w:tcW w:w="505" w:type="pct"/>
                  <w:tcMar>
                    <w:top w:w="12" w:type="dxa"/>
                    <w:left w:w="12" w:type="dxa"/>
                    <w:right w:w="12" w:type="dxa"/>
                  </w:tcMar>
                  <w:vAlign w:val="center"/>
                </w:tcPr>
                <w:p>
                  <w:pPr>
                    <w:pStyle w:val="68"/>
                    <w:rPr>
                      <w:b/>
                      <w:bCs/>
                      <w:color w:val="auto"/>
                    </w:rPr>
                  </w:pPr>
                  <w:r>
                    <w:rPr>
                      <w:b/>
                      <w:bCs/>
                      <w:color w:val="auto"/>
                    </w:rPr>
                    <w:t>COD</w:t>
                  </w:r>
                </w:p>
              </w:tc>
              <w:tc>
                <w:tcPr>
                  <w:tcW w:w="507" w:type="pct"/>
                  <w:tcMar>
                    <w:top w:w="12" w:type="dxa"/>
                    <w:left w:w="12" w:type="dxa"/>
                    <w:right w:w="12" w:type="dxa"/>
                  </w:tcMar>
                  <w:vAlign w:val="center"/>
                </w:tcPr>
                <w:p>
                  <w:pPr>
                    <w:pStyle w:val="68"/>
                    <w:rPr>
                      <w:b/>
                      <w:bCs/>
                      <w:color w:val="auto"/>
                    </w:rPr>
                  </w:pPr>
                  <w:r>
                    <w:rPr>
                      <w:b/>
                      <w:bCs/>
                      <w:color w:val="auto"/>
                    </w:rPr>
                    <w:t>BOD</w:t>
                  </w:r>
                  <w:r>
                    <w:rPr>
                      <w:b/>
                      <w:bCs/>
                      <w:color w:val="auto"/>
                      <w:vertAlign w:val="subscript"/>
                    </w:rPr>
                    <w:t>5</w:t>
                  </w:r>
                </w:p>
              </w:tc>
              <w:tc>
                <w:tcPr>
                  <w:tcW w:w="421" w:type="pct"/>
                  <w:tcMar>
                    <w:top w:w="12" w:type="dxa"/>
                    <w:left w:w="12" w:type="dxa"/>
                    <w:right w:w="12" w:type="dxa"/>
                  </w:tcMar>
                  <w:vAlign w:val="center"/>
                </w:tcPr>
                <w:p>
                  <w:pPr>
                    <w:pStyle w:val="68"/>
                    <w:rPr>
                      <w:b/>
                      <w:bCs/>
                      <w:color w:val="auto"/>
                    </w:rPr>
                  </w:pPr>
                  <w:r>
                    <w:rPr>
                      <w:b/>
                      <w:bCs/>
                      <w:color w:val="auto"/>
                    </w:rPr>
                    <w:t>SS</w:t>
                  </w:r>
                </w:p>
              </w:tc>
              <w:tc>
                <w:tcPr>
                  <w:tcW w:w="507" w:type="pct"/>
                  <w:tcMar>
                    <w:top w:w="12" w:type="dxa"/>
                    <w:left w:w="12" w:type="dxa"/>
                    <w:right w:w="12" w:type="dxa"/>
                  </w:tcMar>
                  <w:vAlign w:val="center"/>
                </w:tcPr>
                <w:p>
                  <w:pPr>
                    <w:pStyle w:val="68"/>
                    <w:rPr>
                      <w:b/>
                      <w:bCs/>
                      <w:color w:val="auto"/>
                    </w:rPr>
                  </w:pPr>
                  <w:r>
                    <w:rPr>
                      <w:b/>
                      <w:bCs/>
                      <w:color w:val="auto"/>
                    </w:rPr>
                    <w:t>NH</w:t>
                  </w:r>
                  <w:r>
                    <w:rPr>
                      <w:b/>
                      <w:bCs/>
                      <w:color w:val="auto"/>
                      <w:vertAlign w:val="subscript"/>
                    </w:rPr>
                    <w:t>3</w:t>
                  </w:r>
                  <w:r>
                    <w:rPr>
                      <w:b/>
                      <w:bCs/>
                      <w:color w:val="auto"/>
                    </w:rPr>
                    <w:t>-N</w:t>
                  </w:r>
                </w:p>
              </w:tc>
              <w:tc>
                <w:tcPr>
                  <w:tcW w:w="421" w:type="pct"/>
                  <w:tcMar>
                    <w:top w:w="12" w:type="dxa"/>
                    <w:left w:w="12" w:type="dxa"/>
                    <w:right w:w="12" w:type="dxa"/>
                  </w:tcMar>
                  <w:vAlign w:val="center"/>
                </w:tcPr>
                <w:p>
                  <w:pPr>
                    <w:pStyle w:val="68"/>
                    <w:rPr>
                      <w:b/>
                      <w:bCs/>
                      <w:color w:val="auto"/>
                    </w:rPr>
                  </w:pPr>
                  <w:r>
                    <w:rPr>
                      <w:rFonts w:hint="eastAsia"/>
                      <w:b/>
                      <w:bCs/>
                      <w:color w:val="auto"/>
                      <w:lang w:eastAsia="zh-CN"/>
                    </w:rPr>
                    <w:t>动植物油</w:t>
                  </w:r>
                </w:p>
              </w:tc>
              <w:tc>
                <w:tcPr>
                  <w:tcW w:w="423" w:type="pct"/>
                  <w:tcMar>
                    <w:top w:w="12" w:type="dxa"/>
                    <w:left w:w="12" w:type="dxa"/>
                    <w:right w:w="12" w:type="dxa"/>
                  </w:tcMar>
                  <w:vAlign w:val="center"/>
                </w:tcPr>
                <w:p>
                  <w:pPr>
                    <w:pStyle w:val="68"/>
                    <w:rPr>
                      <w:b/>
                      <w:bCs/>
                      <w:color w:val="auto"/>
                    </w:rPr>
                  </w:pPr>
                  <w:r>
                    <w:rPr>
                      <w:rFonts w:hint="eastAsia"/>
                      <w:b/>
                      <w:bCs/>
                      <w:color w:val="auto"/>
                    </w:rPr>
                    <w:t>总磷</w:t>
                  </w:r>
                </w:p>
              </w:tc>
              <w:tc>
                <w:tcPr>
                  <w:tcW w:w="458" w:type="pct"/>
                  <w:tcMar>
                    <w:top w:w="12" w:type="dxa"/>
                    <w:left w:w="12" w:type="dxa"/>
                    <w:right w:w="12" w:type="dxa"/>
                  </w:tcMar>
                  <w:vAlign w:val="center"/>
                </w:tcPr>
                <w:p>
                  <w:pPr>
                    <w:pStyle w:val="68"/>
                    <w:rPr>
                      <w:b/>
                      <w:bCs/>
                      <w:color w:val="auto"/>
                    </w:rPr>
                  </w:pPr>
                  <w:r>
                    <w:rPr>
                      <w:rFonts w:hint="eastAsia"/>
                      <w:b/>
                      <w:bCs/>
                      <w:color w:val="auto"/>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584" w:type="pct"/>
                  <w:vMerge w:val="restart"/>
                  <w:tcMar>
                    <w:top w:w="12" w:type="dxa"/>
                    <w:left w:w="12" w:type="dxa"/>
                    <w:right w:w="12" w:type="dxa"/>
                  </w:tcMar>
                  <w:vAlign w:val="center"/>
                </w:tcPr>
                <w:p>
                  <w:pPr>
                    <w:pStyle w:val="68"/>
                    <w:rPr>
                      <w:color w:val="auto"/>
                    </w:rPr>
                  </w:pPr>
                  <w:r>
                    <w:rPr>
                      <w:rFonts w:hint="eastAsia"/>
                      <w:color w:val="auto"/>
                    </w:rPr>
                    <w:t>餐厨垃圾</w:t>
                  </w:r>
                  <w:r>
                    <w:rPr>
                      <w:rFonts w:hint="eastAsia"/>
                      <w:color w:val="auto"/>
                      <w:lang w:eastAsia="zh-CN"/>
                    </w:rPr>
                    <w:t>综合</w:t>
                  </w:r>
                  <w:r>
                    <w:rPr>
                      <w:rFonts w:hint="eastAsia"/>
                      <w:color w:val="auto"/>
                    </w:rPr>
                    <w:t>废水</w:t>
                  </w:r>
                </w:p>
              </w:tc>
              <w:tc>
                <w:tcPr>
                  <w:tcW w:w="663" w:type="pct"/>
                  <w:vAlign w:val="center"/>
                </w:tcPr>
                <w:p>
                  <w:pPr>
                    <w:pStyle w:val="68"/>
                    <w:rPr>
                      <w:color w:val="auto"/>
                    </w:rPr>
                  </w:pPr>
                  <w:r>
                    <w:rPr>
                      <w:rFonts w:hint="eastAsia"/>
                      <w:color w:val="auto"/>
                    </w:rPr>
                    <w:t>产生浓度</w:t>
                  </w:r>
                  <w:r>
                    <w:rPr>
                      <w:rFonts w:hint="eastAsia"/>
                      <w:color w:val="auto"/>
                      <w:lang w:eastAsia="zh-CN"/>
                    </w:rPr>
                    <w:t>（</w:t>
                  </w:r>
                  <w:r>
                    <w:rPr>
                      <w:rFonts w:hint="eastAsia"/>
                      <w:color w:val="auto"/>
                    </w:rPr>
                    <w:t>mg/L</w:t>
                  </w:r>
                  <w:r>
                    <w:rPr>
                      <w:rFonts w:hint="eastAsia"/>
                      <w:color w:val="auto"/>
                      <w:lang w:eastAsia="zh-CN"/>
                    </w:rPr>
                    <w:t>）</w:t>
                  </w:r>
                </w:p>
              </w:tc>
              <w:tc>
                <w:tcPr>
                  <w:tcW w:w="507" w:type="pct"/>
                  <w:vMerge w:val="restart"/>
                  <w:vAlign w:val="center"/>
                </w:tcPr>
                <w:p>
                  <w:pPr>
                    <w:pStyle w:val="68"/>
                    <w:rPr>
                      <w:rFonts w:hint="default"/>
                      <w:color w:val="auto"/>
                      <w:lang w:val="en-US" w:eastAsia="zh-CN"/>
                    </w:rPr>
                  </w:pPr>
                  <w:r>
                    <w:rPr>
                      <w:rFonts w:hint="eastAsia"/>
                      <w:color w:val="auto"/>
                      <w:lang w:val="en-US" w:eastAsia="zh-CN"/>
                    </w:rPr>
                    <w:t>7506.4</w:t>
                  </w:r>
                </w:p>
              </w:tc>
              <w:tc>
                <w:tcPr>
                  <w:tcW w:w="505" w:type="pct"/>
                  <w:tcMar>
                    <w:top w:w="12" w:type="dxa"/>
                    <w:left w:w="12" w:type="dxa"/>
                    <w:right w:w="12" w:type="dxa"/>
                  </w:tcMar>
                  <w:vAlign w:val="center"/>
                </w:tcPr>
                <w:p>
                  <w:pPr>
                    <w:pStyle w:val="68"/>
                    <w:rPr>
                      <w:color w:val="auto"/>
                      <w:lang w:eastAsia="zh-CN"/>
                    </w:rPr>
                  </w:pPr>
                  <w:r>
                    <w:rPr>
                      <w:rFonts w:hint="eastAsia"/>
                      <w:color w:val="auto"/>
                      <w:lang w:eastAsia="zh-CN"/>
                    </w:rPr>
                    <w:t>1</w:t>
                  </w:r>
                  <w:r>
                    <w:rPr>
                      <w:color w:val="auto"/>
                      <w:lang w:eastAsia="zh-CN"/>
                    </w:rPr>
                    <w:t>3800</w:t>
                  </w:r>
                </w:p>
              </w:tc>
              <w:tc>
                <w:tcPr>
                  <w:tcW w:w="507" w:type="pct"/>
                  <w:tcMar>
                    <w:top w:w="12" w:type="dxa"/>
                    <w:left w:w="12" w:type="dxa"/>
                    <w:right w:w="12" w:type="dxa"/>
                  </w:tcMar>
                  <w:vAlign w:val="center"/>
                </w:tcPr>
                <w:p>
                  <w:pPr>
                    <w:pStyle w:val="68"/>
                    <w:rPr>
                      <w:color w:val="auto"/>
                      <w:lang w:eastAsia="zh-CN"/>
                    </w:rPr>
                  </w:pPr>
                  <w:r>
                    <w:rPr>
                      <w:rFonts w:hint="eastAsia"/>
                      <w:color w:val="auto"/>
                      <w:lang w:eastAsia="zh-CN"/>
                    </w:rPr>
                    <w:t>5</w:t>
                  </w:r>
                  <w:r>
                    <w:rPr>
                      <w:color w:val="auto"/>
                      <w:lang w:eastAsia="zh-CN"/>
                    </w:rPr>
                    <w:t>600</w:t>
                  </w:r>
                </w:p>
              </w:tc>
              <w:tc>
                <w:tcPr>
                  <w:tcW w:w="421" w:type="pct"/>
                  <w:tcMar>
                    <w:top w:w="12" w:type="dxa"/>
                    <w:left w:w="12" w:type="dxa"/>
                    <w:right w:w="12" w:type="dxa"/>
                  </w:tcMar>
                  <w:vAlign w:val="center"/>
                </w:tcPr>
                <w:p>
                  <w:pPr>
                    <w:pStyle w:val="68"/>
                    <w:rPr>
                      <w:color w:val="auto"/>
                      <w:lang w:eastAsia="zh-CN"/>
                    </w:rPr>
                  </w:pPr>
                  <w:r>
                    <w:rPr>
                      <w:rFonts w:hint="eastAsia"/>
                      <w:color w:val="auto"/>
                      <w:lang w:eastAsia="zh-CN"/>
                    </w:rPr>
                    <w:t>6</w:t>
                  </w:r>
                  <w:r>
                    <w:rPr>
                      <w:color w:val="auto"/>
                      <w:lang w:eastAsia="zh-CN"/>
                    </w:rPr>
                    <w:t>000</w:t>
                  </w:r>
                </w:p>
              </w:tc>
              <w:tc>
                <w:tcPr>
                  <w:tcW w:w="507" w:type="pct"/>
                  <w:tcMar>
                    <w:top w:w="12" w:type="dxa"/>
                    <w:left w:w="12" w:type="dxa"/>
                    <w:right w:w="12" w:type="dxa"/>
                  </w:tcMar>
                  <w:vAlign w:val="center"/>
                </w:tcPr>
                <w:p>
                  <w:pPr>
                    <w:pStyle w:val="68"/>
                    <w:rPr>
                      <w:color w:val="auto"/>
                      <w:lang w:eastAsia="zh-CN"/>
                    </w:rPr>
                  </w:pPr>
                  <w:r>
                    <w:rPr>
                      <w:rFonts w:hint="eastAsia"/>
                      <w:color w:val="auto"/>
                      <w:lang w:eastAsia="zh-CN"/>
                    </w:rPr>
                    <w:t>1</w:t>
                  </w:r>
                  <w:r>
                    <w:rPr>
                      <w:color w:val="auto"/>
                      <w:lang w:eastAsia="zh-CN"/>
                    </w:rPr>
                    <w:t>600</w:t>
                  </w:r>
                </w:p>
              </w:tc>
              <w:tc>
                <w:tcPr>
                  <w:tcW w:w="421" w:type="pct"/>
                  <w:tcMar>
                    <w:top w:w="12" w:type="dxa"/>
                    <w:left w:w="12" w:type="dxa"/>
                    <w:right w:w="12" w:type="dxa"/>
                  </w:tcMar>
                  <w:vAlign w:val="center"/>
                </w:tcPr>
                <w:p>
                  <w:pPr>
                    <w:pStyle w:val="68"/>
                    <w:rPr>
                      <w:color w:val="auto"/>
                      <w:lang w:eastAsia="zh-CN"/>
                    </w:rPr>
                  </w:pPr>
                  <w:r>
                    <w:rPr>
                      <w:rFonts w:hint="eastAsia"/>
                      <w:color w:val="auto"/>
                      <w:lang w:eastAsia="zh-CN"/>
                    </w:rPr>
                    <w:t>3</w:t>
                  </w:r>
                  <w:r>
                    <w:rPr>
                      <w:color w:val="auto"/>
                      <w:lang w:eastAsia="zh-CN"/>
                    </w:rPr>
                    <w:t>50</w:t>
                  </w:r>
                </w:p>
              </w:tc>
              <w:tc>
                <w:tcPr>
                  <w:tcW w:w="423" w:type="pct"/>
                  <w:tcMar>
                    <w:top w:w="12" w:type="dxa"/>
                    <w:left w:w="12" w:type="dxa"/>
                    <w:right w:w="12" w:type="dxa"/>
                  </w:tcMar>
                  <w:vAlign w:val="center"/>
                </w:tcPr>
                <w:p>
                  <w:pPr>
                    <w:pStyle w:val="68"/>
                    <w:rPr>
                      <w:color w:val="auto"/>
                      <w:lang w:eastAsia="zh-CN"/>
                    </w:rPr>
                  </w:pPr>
                  <w:r>
                    <w:rPr>
                      <w:rFonts w:hint="eastAsia"/>
                      <w:color w:val="auto"/>
                      <w:lang w:eastAsia="zh-CN"/>
                    </w:rPr>
                    <w:t>6</w:t>
                  </w:r>
                  <w:r>
                    <w:rPr>
                      <w:color w:val="auto"/>
                      <w:lang w:eastAsia="zh-CN"/>
                    </w:rPr>
                    <w:t>0</w:t>
                  </w:r>
                </w:p>
              </w:tc>
              <w:tc>
                <w:tcPr>
                  <w:tcW w:w="458" w:type="pct"/>
                  <w:tcMar>
                    <w:top w:w="12" w:type="dxa"/>
                    <w:left w:w="12" w:type="dxa"/>
                    <w:right w:w="12" w:type="dxa"/>
                  </w:tcMar>
                  <w:vAlign w:val="center"/>
                </w:tcPr>
                <w:p>
                  <w:pPr>
                    <w:pStyle w:val="68"/>
                    <w:rPr>
                      <w:color w:val="auto"/>
                      <w:lang w:eastAsia="zh-CN"/>
                    </w:rPr>
                  </w:pPr>
                  <w:r>
                    <w:rPr>
                      <w:rFonts w:hint="eastAsia"/>
                      <w:color w:val="auto"/>
                      <w:lang w:eastAsia="zh-CN"/>
                    </w:rPr>
                    <w:t>2</w:t>
                  </w:r>
                  <w:r>
                    <w:rPr>
                      <w:color w:val="auto"/>
                      <w:lang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584" w:type="pct"/>
                  <w:vMerge w:val="continue"/>
                  <w:tcMar>
                    <w:top w:w="12" w:type="dxa"/>
                    <w:left w:w="12" w:type="dxa"/>
                    <w:right w:w="12" w:type="dxa"/>
                  </w:tcMar>
                  <w:vAlign w:val="center"/>
                </w:tcPr>
                <w:p>
                  <w:pPr>
                    <w:pStyle w:val="68"/>
                    <w:rPr>
                      <w:color w:val="auto"/>
                    </w:rPr>
                  </w:pPr>
                </w:p>
              </w:tc>
              <w:tc>
                <w:tcPr>
                  <w:tcW w:w="663" w:type="pct"/>
                  <w:vAlign w:val="center"/>
                </w:tcPr>
                <w:p>
                  <w:pPr>
                    <w:pStyle w:val="68"/>
                    <w:rPr>
                      <w:color w:val="auto"/>
                    </w:rPr>
                  </w:pPr>
                  <w:r>
                    <w:rPr>
                      <w:rFonts w:hint="eastAsia"/>
                      <w:color w:val="auto"/>
                    </w:rPr>
                    <w:t>产生量</w:t>
                  </w:r>
                </w:p>
                <w:p>
                  <w:pPr>
                    <w:pStyle w:val="68"/>
                    <w:rPr>
                      <w:color w:val="auto"/>
                    </w:rPr>
                  </w:pPr>
                  <w:r>
                    <w:rPr>
                      <w:rFonts w:hint="eastAsia"/>
                      <w:color w:val="auto"/>
                      <w:lang w:eastAsia="zh-CN"/>
                    </w:rPr>
                    <w:t>(</w:t>
                  </w:r>
                  <w:r>
                    <w:rPr>
                      <w:rFonts w:hint="eastAsia"/>
                      <w:color w:val="auto"/>
                    </w:rPr>
                    <w:t>t/a</w:t>
                  </w:r>
                  <w:r>
                    <w:rPr>
                      <w:rFonts w:hint="eastAsia"/>
                      <w:color w:val="auto"/>
                      <w:lang w:eastAsia="zh-CN"/>
                    </w:rPr>
                    <w:t>)</w:t>
                  </w:r>
                </w:p>
              </w:tc>
              <w:tc>
                <w:tcPr>
                  <w:tcW w:w="507" w:type="pct"/>
                  <w:vMerge w:val="continue"/>
                  <w:vAlign w:val="center"/>
                </w:tcPr>
                <w:p>
                  <w:pPr>
                    <w:pStyle w:val="68"/>
                    <w:rPr>
                      <w:rFonts w:hint="default"/>
                      <w:color w:val="auto"/>
                      <w:lang w:val="en-US" w:eastAsia="zh-CN"/>
                    </w:rPr>
                  </w:pPr>
                </w:p>
              </w:tc>
              <w:tc>
                <w:tcPr>
                  <w:tcW w:w="505" w:type="pct"/>
                  <w:tcMar>
                    <w:top w:w="12" w:type="dxa"/>
                    <w:left w:w="12" w:type="dxa"/>
                    <w:right w:w="12" w:type="dxa"/>
                  </w:tcMar>
                  <w:vAlign w:val="center"/>
                </w:tcPr>
                <w:p>
                  <w:pPr>
                    <w:pStyle w:val="68"/>
                    <w:rPr>
                      <w:rFonts w:hint="default" w:eastAsia="宋体"/>
                      <w:color w:val="auto"/>
                      <w:lang w:val="en-US" w:eastAsia="zh-CN"/>
                    </w:rPr>
                  </w:pPr>
                  <w:r>
                    <w:rPr>
                      <w:rFonts w:hint="eastAsia"/>
                      <w:color w:val="auto"/>
                      <w:lang w:val="en-US" w:eastAsia="zh-CN"/>
                    </w:rPr>
                    <w:t>103.588</w:t>
                  </w:r>
                </w:p>
              </w:tc>
              <w:tc>
                <w:tcPr>
                  <w:tcW w:w="507"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42.036</w:t>
                  </w:r>
                </w:p>
              </w:tc>
              <w:tc>
                <w:tcPr>
                  <w:tcW w:w="421"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45.038</w:t>
                  </w:r>
                </w:p>
              </w:tc>
              <w:tc>
                <w:tcPr>
                  <w:tcW w:w="507"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12.01</w:t>
                  </w:r>
                </w:p>
              </w:tc>
              <w:tc>
                <w:tcPr>
                  <w:tcW w:w="421"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2.627</w:t>
                  </w:r>
                </w:p>
              </w:tc>
              <w:tc>
                <w:tcPr>
                  <w:tcW w:w="423"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0.4504</w:t>
                  </w:r>
                </w:p>
              </w:tc>
              <w:tc>
                <w:tcPr>
                  <w:tcW w:w="458" w:type="pct"/>
                  <w:tcMar>
                    <w:top w:w="12" w:type="dxa"/>
                    <w:left w:w="12" w:type="dxa"/>
                    <w:right w:w="12" w:type="dxa"/>
                  </w:tcMar>
                  <w:vAlign w:val="center"/>
                </w:tcPr>
                <w:p>
                  <w:pPr>
                    <w:pStyle w:val="68"/>
                    <w:rPr>
                      <w:rFonts w:hint="default"/>
                      <w:color w:val="auto"/>
                      <w:lang w:val="en-US" w:eastAsia="zh-CN"/>
                    </w:rPr>
                  </w:pPr>
                  <w:r>
                    <w:rPr>
                      <w:rFonts w:hint="eastAsia"/>
                      <w:color w:val="auto"/>
                      <w:lang w:val="en-US" w:eastAsia="zh-CN"/>
                    </w:rPr>
                    <w:t>17.265</w:t>
                  </w:r>
                </w:p>
              </w:tc>
            </w:tr>
          </w:tbl>
          <w:p>
            <w:pPr>
              <w:pStyle w:val="75"/>
              <w:rPr>
                <w:color w:val="auto"/>
              </w:rPr>
            </w:pPr>
            <w:r>
              <w:rPr>
                <w:rFonts w:hint="eastAsia"/>
                <w:color w:val="auto"/>
              </w:rPr>
              <w:t>4.2.2.</w:t>
            </w:r>
            <w:r>
              <w:rPr>
                <w:color w:val="auto"/>
              </w:rPr>
              <w:t>4</w:t>
            </w:r>
            <w:r>
              <w:rPr>
                <w:rFonts w:hint="eastAsia"/>
                <w:color w:val="auto"/>
              </w:rPr>
              <w:t>废水环境影响分析</w:t>
            </w:r>
          </w:p>
          <w:p>
            <w:pPr>
              <w:pStyle w:val="84"/>
              <w:ind w:firstLine="482"/>
              <w:rPr>
                <w:color w:val="auto"/>
              </w:rPr>
            </w:pPr>
            <w:r>
              <w:rPr>
                <w:rFonts w:hint="eastAsia"/>
                <w:color w:val="auto"/>
              </w:rPr>
              <w:t>1</w:t>
            </w:r>
            <w:r>
              <w:rPr>
                <w:color w:val="auto"/>
              </w:rPr>
              <w:t>.</w:t>
            </w:r>
            <w:r>
              <w:rPr>
                <w:rFonts w:hint="eastAsia"/>
                <w:color w:val="auto"/>
              </w:rPr>
              <w:t>废水处理工艺</w:t>
            </w:r>
          </w:p>
          <w:p>
            <w:pPr>
              <w:ind w:firstLine="480"/>
              <w:rPr>
                <w:color w:val="auto"/>
              </w:rPr>
            </w:pPr>
            <w:r>
              <w:rPr>
                <w:rFonts w:hint="eastAsia"/>
                <w:color w:val="auto"/>
              </w:rPr>
              <w:t>经建设单位与师宗县</w:t>
            </w:r>
            <w:r>
              <w:rPr>
                <w:rFonts w:hint="eastAsia"/>
                <w:color w:val="auto"/>
                <w:lang w:eastAsia="zh-CN"/>
              </w:rPr>
              <w:t>彩云镇</w:t>
            </w:r>
            <w:r>
              <w:rPr>
                <w:rFonts w:hint="eastAsia"/>
                <w:color w:val="auto"/>
              </w:rPr>
              <w:t>污水处理站沟通协商，本项目生产废水各项污染物浓度较高，为避免对师宗县</w:t>
            </w:r>
            <w:r>
              <w:rPr>
                <w:rFonts w:hint="eastAsia"/>
                <w:color w:val="auto"/>
                <w:lang w:eastAsia="zh-CN"/>
              </w:rPr>
              <w:t>彩云镇</w:t>
            </w:r>
            <w:r>
              <w:rPr>
                <w:rFonts w:hint="eastAsia"/>
                <w:color w:val="auto"/>
              </w:rPr>
              <w:t>污水处理站设备造成高负荷冲击，在本项目厂内处理后降低污染负荷，达到《污水排入城镇下水道水质标准》（</w:t>
            </w:r>
            <w:r>
              <w:rPr>
                <w:color w:val="auto"/>
              </w:rPr>
              <w:t>GB/T31962-2015</w:t>
            </w:r>
            <w:r>
              <w:rPr>
                <w:rFonts w:hint="eastAsia"/>
                <w:color w:val="auto"/>
              </w:rPr>
              <w:t>）B等级标准、《污水综合排放标准》（GB8978-1996）三级标准后，由建设单位采用罐车运输至师宗县</w:t>
            </w:r>
            <w:r>
              <w:rPr>
                <w:rFonts w:hint="eastAsia"/>
                <w:color w:val="auto"/>
                <w:lang w:eastAsia="zh-CN"/>
              </w:rPr>
              <w:t>彩云镇</w:t>
            </w:r>
            <w:r>
              <w:rPr>
                <w:rFonts w:hint="eastAsia"/>
                <w:color w:val="auto"/>
              </w:rPr>
              <w:t>污水处理站进行深度处理。</w:t>
            </w:r>
          </w:p>
          <w:p>
            <w:pPr>
              <w:pStyle w:val="68"/>
              <w:rPr>
                <w:color w:val="auto"/>
              </w:rPr>
            </w:pPr>
            <w:r>
              <w:rPr>
                <w:color w:val="auto"/>
                <w:lang w:val="en-US" w:eastAsia="zh-CN"/>
              </w:rPr>
              <w:drawing>
                <wp:inline distT="0" distB="0" distL="0" distR="0">
                  <wp:extent cx="5000625" cy="5993765"/>
                  <wp:effectExtent l="0" t="0" r="0" b="6985"/>
                  <wp:docPr id="6" name="图片 6" descr="C:\Users\ROOT\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ROOT\Desktop\1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26421" cy="6024900"/>
                          </a:xfrm>
                          <a:prstGeom prst="rect">
                            <a:avLst/>
                          </a:prstGeom>
                          <a:noFill/>
                          <a:ln>
                            <a:noFill/>
                          </a:ln>
                        </pic:spPr>
                      </pic:pic>
                    </a:graphicData>
                  </a:graphic>
                </wp:inline>
              </w:drawing>
            </w:r>
          </w:p>
          <w:p>
            <w:pPr>
              <w:pStyle w:val="71"/>
              <w:rPr>
                <w:color w:val="auto"/>
              </w:rPr>
            </w:pPr>
            <w:r>
              <w:rPr>
                <w:rFonts w:hint="eastAsia"/>
                <w:color w:val="auto"/>
              </w:rPr>
              <w:t>图4.</w:t>
            </w:r>
            <w:r>
              <w:rPr>
                <w:rFonts w:hint="eastAsia"/>
                <w:color w:val="auto"/>
                <w:lang w:val="en-US" w:eastAsia="zh-CN"/>
              </w:rPr>
              <w:t>2</w:t>
            </w:r>
            <w:r>
              <w:rPr>
                <w:color w:val="auto"/>
              </w:rPr>
              <w:t>-</w:t>
            </w:r>
            <w:r>
              <w:rPr>
                <w:rFonts w:hint="eastAsia"/>
                <w:color w:val="auto"/>
                <w:lang w:val="en-US" w:eastAsia="zh-CN"/>
              </w:rPr>
              <w:t xml:space="preserve">2 </w:t>
            </w:r>
            <w:r>
              <w:rPr>
                <w:color w:val="auto"/>
              </w:rPr>
              <w:t xml:space="preserve"> </w:t>
            </w:r>
            <w:r>
              <w:rPr>
                <w:rFonts w:hint="eastAsia"/>
                <w:color w:val="auto"/>
              </w:rPr>
              <w:t>污水处理工艺流程图</w:t>
            </w:r>
          </w:p>
          <w:p>
            <w:pPr>
              <w:pStyle w:val="84"/>
              <w:ind w:firstLine="482"/>
              <w:rPr>
                <w:color w:val="auto"/>
              </w:rPr>
            </w:pPr>
            <w:r>
              <w:rPr>
                <w:rFonts w:hint="eastAsia"/>
                <w:color w:val="auto"/>
              </w:rPr>
              <w:t>工艺流程简介：</w:t>
            </w:r>
          </w:p>
          <w:p>
            <w:pPr>
              <w:pStyle w:val="84"/>
              <w:ind w:firstLine="482"/>
              <w:rPr>
                <w:color w:val="auto"/>
              </w:rPr>
            </w:pPr>
            <w:r>
              <w:rPr>
                <w:rFonts w:hint="eastAsia"/>
                <w:color w:val="auto"/>
              </w:rPr>
              <w:t>（1）调节池</w:t>
            </w:r>
          </w:p>
          <w:p>
            <w:pPr>
              <w:ind w:firstLine="480"/>
              <w:rPr>
                <w:color w:val="auto"/>
              </w:rPr>
            </w:pPr>
            <w:r>
              <w:rPr>
                <w:rFonts w:hint="eastAsia"/>
                <w:color w:val="auto"/>
              </w:rPr>
              <w:t>废水排放具有间歇性且水质不均匀等特点，所以需要设置废水收集池。收集车间的排水，起到对水量和水质的调节作用。对水质、水量的调节是后续污水系统稳定运行的保证。</w:t>
            </w:r>
          </w:p>
          <w:p>
            <w:pPr>
              <w:pStyle w:val="84"/>
              <w:ind w:firstLine="482"/>
              <w:rPr>
                <w:color w:val="auto"/>
              </w:rPr>
            </w:pPr>
            <w:r>
              <w:rPr>
                <w:rFonts w:hint="eastAsia"/>
                <w:color w:val="auto"/>
              </w:rPr>
              <w:t>（2）溶气气浮机</w:t>
            </w:r>
          </w:p>
          <w:p>
            <w:pPr>
              <w:ind w:firstLine="480"/>
              <w:rPr>
                <w:color w:val="auto"/>
              </w:rPr>
            </w:pPr>
            <w:r>
              <w:rPr>
                <w:rFonts w:hint="eastAsia"/>
                <w:color w:val="auto"/>
              </w:rPr>
              <w:t>气浮装置，是在水中形成高度分散的微小气泡，</w:t>
            </w:r>
            <w:r>
              <w:rPr>
                <w:rFonts w:hint="eastAsia"/>
                <w:color w:val="auto"/>
                <w:lang w:eastAsia="zh-CN"/>
              </w:rPr>
              <w:t>黏附</w:t>
            </w:r>
            <w:r>
              <w:rPr>
                <w:rFonts w:hint="eastAsia"/>
                <w:color w:val="auto"/>
              </w:rPr>
              <w:t>废水中疏水基的固体、油类等颗粒，形成</w:t>
            </w:r>
            <w:r>
              <w:rPr>
                <w:rFonts w:hint="eastAsia"/>
                <w:color w:val="auto"/>
                <w:shd w:val="clear" w:fill="FFFFFF"/>
              </w:rPr>
              <w:t>水-</w:t>
            </w:r>
            <w:r>
              <w:rPr>
                <w:rFonts w:hint="eastAsia"/>
                <w:color w:val="auto"/>
                <w:shd w:val="clear" w:fill="FFFFFF"/>
                <w:lang w:eastAsia="zh-CN"/>
              </w:rPr>
              <w:t>气</w:t>
            </w:r>
            <w:r>
              <w:rPr>
                <w:rFonts w:hint="eastAsia"/>
                <w:color w:val="auto"/>
              </w:rPr>
              <w:t>-颗粒三相混合体系。颗粒</w:t>
            </w:r>
            <w:r>
              <w:rPr>
                <w:rFonts w:hint="eastAsia"/>
                <w:color w:val="auto"/>
                <w:lang w:eastAsia="zh-CN"/>
              </w:rPr>
              <w:t>黏附</w:t>
            </w:r>
            <w:r>
              <w:rPr>
                <w:rFonts w:hint="eastAsia"/>
                <w:color w:val="auto"/>
              </w:rPr>
              <w:t>气泡后，形成表观密度小于水的絮体而上浮到水面，形成浮渣层被刮除，从而实现固液或者液液分离的过程。本系统采用气浮装置，浮选出废水中的悬浮油，悬浮物类，加上PAC/PAM的加药絮凝作用，使浮选效果更优，去除率可达60%。</w:t>
            </w:r>
          </w:p>
          <w:p>
            <w:pPr>
              <w:pStyle w:val="84"/>
              <w:ind w:firstLine="482"/>
              <w:rPr>
                <w:color w:val="auto"/>
              </w:rPr>
            </w:pPr>
            <w:r>
              <w:rPr>
                <w:rFonts w:hint="eastAsia"/>
                <w:color w:val="auto"/>
              </w:rPr>
              <w:t>（3）UASB厌氧</w:t>
            </w:r>
            <w:r>
              <w:rPr>
                <w:rFonts w:hint="eastAsia"/>
                <w:color w:val="auto"/>
                <w:shd w:val="clear" w:fill="FFFFFF"/>
              </w:rPr>
              <w:t>塔</w:t>
            </w:r>
          </w:p>
          <w:p>
            <w:pPr>
              <w:ind w:firstLine="480"/>
              <w:rPr>
                <w:color w:val="auto"/>
              </w:rPr>
            </w:pPr>
            <w:r>
              <w:rPr>
                <w:rFonts w:hint="eastAsia"/>
                <w:color w:val="auto"/>
              </w:rPr>
              <w:t>升流式厌氧污泥床反应器简称UASB，工作时，污水经过均匀布水进入反应器底部，污水自下而上地通过厌氧污泥床反应器。在反应器的底部有一个高浓度（可达</w:t>
            </w:r>
            <w:r>
              <w:rPr>
                <w:color w:val="auto"/>
              </w:rPr>
              <w:t>100</w:t>
            </w:r>
            <w:r>
              <w:rPr>
                <w:rFonts w:hint="eastAsia"/>
                <w:color w:val="auto"/>
                <w:lang w:eastAsia="zh-CN"/>
              </w:rPr>
              <w:t>～</w:t>
            </w:r>
            <w:r>
              <w:rPr>
                <w:color w:val="auto"/>
              </w:rPr>
              <w:t>150g/L</w:t>
            </w:r>
            <w:r>
              <w:rPr>
                <w:rFonts w:hint="eastAsia"/>
                <w:color w:val="auto"/>
              </w:rPr>
              <w:t>）、高活性的污泥层。</w:t>
            </w:r>
          </w:p>
          <w:p>
            <w:pPr>
              <w:ind w:firstLine="480"/>
              <w:rPr>
                <w:color w:val="auto"/>
              </w:rPr>
            </w:pPr>
            <w:r>
              <w:rPr>
                <w:rFonts w:hint="eastAsia"/>
                <w:color w:val="auto"/>
              </w:rPr>
              <w:t>在污泥层之上形成一个污泥悬浮层；反应器的上部设有三相分离器，完成气、液、固三相的分离；被分离的消化气从上部导出，被分离的污泥则自动滑落到悬浮污泥层，出水则从澄清</w:t>
            </w:r>
            <w:r>
              <w:rPr>
                <w:rFonts w:hint="eastAsia"/>
                <w:color w:val="auto"/>
                <w:shd w:val="clear" w:fill="FFFFFF"/>
              </w:rPr>
              <w:t>区</w:t>
            </w:r>
            <w:r>
              <w:rPr>
                <w:rFonts w:hint="eastAsia"/>
                <w:color w:val="auto"/>
              </w:rPr>
              <w:t>流出。</w:t>
            </w:r>
          </w:p>
          <w:p>
            <w:pPr>
              <w:pStyle w:val="84"/>
              <w:ind w:firstLine="482"/>
              <w:rPr>
                <w:color w:val="auto"/>
              </w:rPr>
            </w:pPr>
            <w:r>
              <w:rPr>
                <w:rFonts w:hint="eastAsia"/>
                <w:color w:val="auto"/>
              </w:rPr>
              <w:t>（</w:t>
            </w:r>
            <w:r>
              <w:rPr>
                <w:color w:val="auto"/>
              </w:rPr>
              <w:t>4</w:t>
            </w:r>
            <w:r>
              <w:rPr>
                <w:rFonts w:hint="eastAsia"/>
                <w:color w:val="auto"/>
              </w:rPr>
              <w:t>）厌氧生化</w:t>
            </w:r>
          </w:p>
          <w:p>
            <w:pPr>
              <w:ind w:firstLine="480"/>
              <w:rPr>
                <w:color w:val="auto"/>
              </w:rPr>
            </w:pPr>
            <w:r>
              <w:rPr>
                <w:rFonts w:hint="eastAsia"/>
                <w:color w:val="auto"/>
              </w:rPr>
              <w:t>污水流入反硝化池（DO&lt;=0.5mg/L），池中的反硝化细菌以污水中未分解的含碳有机物为碳源，将好氧池内通过内循环回流进来的硝酸根还原为N</w:t>
            </w:r>
            <w:r>
              <w:rPr>
                <w:rFonts w:hint="eastAsia"/>
                <w:color w:val="auto"/>
                <w:vertAlign w:val="subscript"/>
              </w:rPr>
              <w:t>2</w:t>
            </w:r>
            <w:r>
              <w:rPr>
                <w:rFonts w:hint="eastAsia"/>
                <w:color w:val="auto"/>
              </w:rPr>
              <w:t>而释放。缺氧池是相对厌氧和好氧来讲，一般是指溶解氧控制在0.2mg/L~0.5mg/L之间的生化系统。</w:t>
            </w:r>
            <w:r>
              <w:rPr>
                <w:rFonts w:hint="eastAsia"/>
                <w:color w:val="auto"/>
                <w:lang w:eastAsia="zh-CN"/>
              </w:rPr>
              <w:t>能很好地降低</w:t>
            </w:r>
            <w:r>
              <w:rPr>
                <w:rFonts w:hint="eastAsia"/>
                <w:color w:val="auto"/>
              </w:rPr>
              <w:t>水中氨氮和COD的含量，缺氧池不需求其他辅助设备，只需要少量空气，维持水中的溶解氧在一定范围内就可以达到很好的效果。是污水处理中常用的处理方法。</w:t>
            </w:r>
          </w:p>
          <w:p>
            <w:pPr>
              <w:pStyle w:val="84"/>
              <w:ind w:firstLine="482"/>
              <w:rPr>
                <w:color w:val="auto"/>
              </w:rPr>
            </w:pPr>
            <w:r>
              <w:rPr>
                <w:rFonts w:hint="eastAsia"/>
                <w:color w:val="auto"/>
              </w:rPr>
              <w:t>（</w:t>
            </w:r>
            <w:r>
              <w:rPr>
                <w:color w:val="auto"/>
              </w:rPr>
              <w:t>5</w:t>
            </w:r>
            <w:r>
              <w:rPr>
                <w:rFonts w:hint="eastAsia"/>
                <w:color w:val="auto"/>
              </w:rPr>
              <w:t>）接触氧化池</w:t>
            </w:r>
          </w:p>
          <w:p>
            <w:pPr>
              <w:ind w:firstLine="480"/>
              <w:rPr>
                <w:color w:val="auto"/>
              </w:rPr>
            </w:pPr>
            <w:r>
              <w:rPr>
                <w:rFonts w:hint="eastAsia"/>
                <w:color w:val="auto"/>
              </w:rPr>
              <w:t>生物接触氧化法是生物膜法的主要设施之一，生物膜法是一大类生物处理法的统称，其主要利用附着生长于某些固体物表面的微生物（</w:t>
            </w:r>
            <w:r>
              <w:rPr>
                <w:rFonts w:hint="eastAsia"/>
                <w:color w:val="auto"/>
                <w:shd w:val="clear" w:fill="FFFFFF"/>
              </w:rPr>
              <w:t>即</w:t>
            </w:r>
            <w:r>
              <w:rPr>
                <w:rFonts w:hint="eastAsia"/>
                <w:color w:val="auto"/>
              </w:rPr>
              <w:t>生物膜）进行有机污水处理的方法。生物膜是由高度密集的好氧菌、厌氧菌、兼性菌、真菌、原生动物以及藻类等组成的生态系统，其附着的固体介质称为滤料或载体。生物膜</w:t>
            </w:r>
            <w:r>
              <w:rPr>
                <w:rFonts w:hint="eastAsia"/>
                <w:color w:val="auto"/>
                <w:shd w:val="clear" w:fill="FFFFFF"/>
              </w:rPr>
              <w:t>自</w:t>
            </w:r>
            <w:r>
              <w:rPr>
                <w:rFonts w:hint="eastAsia"/>
                <w:color w:val="auto"/>
              </w:rPr>
              <w:t>滤料向外可分为厌氧层、好氧层、附着水层、运动水层。其原理是：生物膜首先吸附附着水层有机物，由好氧层的好氧菌将其分解，再进入厌氧层进行厌氧分解。A级生化池（缺氧池）和O级生化池（好氧池）进行生化处理。在A级池内，由于污水中有机物浓度较高，微生物处于缺氧状态，此时微生物为兼性微生物，它们将污水中有机氮转化为氨氮，同时利用有机碳源作为电子供体，将NO</w:t>
            </w:r>
            <w:r>
              <w:rPr>
                <w:rFonts w:hint="eastAsia"/>
                <w:color w:val="auto"/>
                <w:vertAlign w:val="subscript"/>
              </w:rPr>
              <w:t>2</w:t>
            </w:r>
            <w:r>
              <w:rPr>
                <w:rFonts w:hint="eastAsia"/>
                <w:color w:val="auto"/>
              </w:rPr>
              <w:t>-N、NO</w:t>
            </w:r>
            <w:r>
              <w:rPr>
                <w:rFonts w:hint="eastAsia"/>
                <w:color w:val="auto"/>
                <w:vertAlign w:val="subscript"/>
              </w:rPr>
              <w:t>3</w:t>
            </w:r>
            <w:r>
              <w:rPr>
                <w:rFonts w:hint="eastAsia"/>
                <w:color w:val="auto"/>
              </w:rPr>
              <w:t>-N转化为N</w:t>
            </w:r>
            <w:r>
              <w:rPr>
                <w:rFonts w:hint="eastAsia"/>
                <w:color w:val="auto"/>
                <w:vertAlign w:val="subscript"/>
              </w:rPr>
              <w:t>2</w:t>
            </w:r>
            <w:r>
              <w:rPr>
                <w:rFonts w:hint="eastAsia"/>
                <w:color w:val="auto"/>
              </w:rPr>
              <w:t>，而且还利用部分有机碳源和氨氮合成新的细胞物质。所以A级</w:t>
            </w:r>
            <w:r>
              <w:rPr>
                <w:rFonts w:hint="eastAsia"/>
                <w:color w:val="auto"/>
                <w:shd w:val="clear" w:fill="FFFFFF"/>
              </w:rPr>
              <w:t>池</w:t>
            </w:r>
            <w:r>
              <w:rPr>
                <w:rFonts w:hint="eastAsia"/>
                <w:color w:val="auto"/>
              </w:rPr>
              <w:t>不仅具有一定的有机物去除功能，减轻后续O级生化池的有机负荷，以利于硝化作用进行，而且依靠污水中的高浓度有机物，完成反硝化作用，最终消除氮的富营养化污染。经过A级池的生化作用，污水中仍有一定量的有机物和较高的</w:t>
            </w:r>
            <w:r>
              <w:rPr>
                <w:rFonts w:hint="eastAsia"/>
                <w:color w:val="auto"/>
                <w:lang w:eastAsia="zh-CN"/>
              </w:rPr>
              <w:t>氨氮</w:t>
            </w:r>
            <w:r>
              <w:rPr>
                <w:rFonts w:hint="eastAsia"/>
                <w:color w:val="auto"/>
              </w:rPr>
              <w:t>存在，为使有机物进一步氧化分解，同时在碳化作用趋于完全的情况下，硝化作用能顺利进行，特设置O级生化池，O级生化池的处理依靠自养型细菌（硝化菌）完成，它们利用有机物分解产生的无机碳源或空气中的二氧化碳作为营养源，将污水中的氨氮转化为NO</w:t>
            </w:r>
            <w:r>
              <w:rPr>
                <w:rFonts w:hint="eastAsia"/>
                <w:color w:val="auto"/>
                <w:vertAlign w:val="subscript"/>
              </w:rPr>
              <w:t>2</w:t>
            </w:r>
            <w:r>
              <w:rPr>
                <w:rFonts w:hint="eastAsia"/>
                <w:color w:val="auto"/>
              </w:rPr>
              <w:t>-N、NO</w:t>
            </w:r>
            <w:r>
              <w:rPr>
                <w:rFonts w:hint="eastAsia"/>
                <w:color w:val="auto"/>
                <w:vertAlign w:val="subscript"/>
              </w:rPr>
              <w:t>3</w:t>
            </w:r>
            <w:r>
              <w:rPr>
                <w:rFonts w:hint="eastAsia"/>
                <w:color w:val="auto"/>
              </w:rPr>
              <w:t>-N。在A级和O级生化池中均安装有填料，整个生化处理过程依赖于附着在填料上的多种微生物来完成的。O级池出水一部分回流至调节池进行内循环，以达到反硝化的目的，另一部分进入沉淀池进行沉淀，进行固液分离。分离后的出水达标排放。流动水层则将老化的生物膜冲刷脱落掉以生长新的生物膜，如此往复以达到净化污水的目的。</w:t>
            </w:r>
          </w:p>
          <w:p>
            <w:pPr>
              <w:pStyle w:val="84"/>
              <w:ind w:firstLine="482"/>
              <w:rPr>
                <w:color w:val="auto"/>
              </w:rPr>
            </w:pPr>
            <w:r>
              <w:rPr>
                <w:color w:val="auto"/>
              </w:rPr>
              <w:t>（6）</w:t>
            </w:r>
            <w:r>
              <w:rPr>
                <w:rFonts w:eastAsia="TimesNewRomanPS-BoldMT"/>
                <w:bCs/>
                <w:color w:val="auto"/>
              </w:rPr>
              <w:t>MBR</w:t>
            </w:r>
            <w:r>
              <w:rPr>
                <w:color w:val="auto"/>
              </w:rPr>
              <w:t>清水池</w:t>
            </w:r>
          </w:p>
          <w:p>
            <w:pPr>
              <w:ind w:firstLine="480"/>
              <w:rPr>
                <w:color w:val="auto"/>
              </w:rPr>
            </w:pPr>
            <w:r>
              <w:rPr>
                <w:rFonts w:eastAsia="TimesNewRomanPSMT"/>
                <w:color w:val="auto"/>
              </w:rPr>
              <w:t>MBR</w:t>
            </w:r>
            <w:r>
              <w:rPr>
                <w:color w:val="auto"/>
              </w:rPr>
              <w:t>污水处理是现代污水处理的一种常用方式，其采用膜生物反应器（</w:t>
            </w:r>
            <w:r>
              <w:rPr>
                <w:rFonts w:eastAsia="TimesNewRomanPSMT"/>
                <w:color w:val="auto"/>
                <w:shd w:val="clear" w:fill="FFFFFF"/>
              </w:rPr>
              <w:t>MembraneBioreactor</w:t>
            </w:r>
            <w:r>
              <w:rPr>
                <w:color w:val="auto"/>
              </w:rPr>
              <w:t>，简称</w:t>
            </w:r>
            <w:r>
              <w:rPr>
                <w:rFonts w:eastAsia="TimesNewRomanPSMT"/>
                <w:color w:val="auto"/>
              </w:rPr>
              <w:t>MBR</w:t>
            </w:r>
            <w:r>
              <w:rPr>
                <w:color w:val="auto"/>
              </w:rPr>
              <w:t>），技术是生物处理技术与膜分离技术相结合的一种新技术，取代了传统工艺中的二沉池，它可以高效地进行固液分离，得到直接使用的稳定中水。又可在生物池内维持高浓度的微生物量，工艺剩余污泥少，极有效地去除氨氮，出水悬浮物和浊度接近于零，出水中细菌和病毒被大幅度去除，能耗低，占地面积小。</w:t>
            </w:r>
          </w:p>
          <w:p>
            <w:pPr>
              <w:pStyle w:val="84"/>
              <w:ind w:firstLine="482"/>
              <w:rPr>
                <w:color w:val="auto"/>
              </w:rPr>
            </w:pPr>
            <w:r>
              <w:rPr>
                <w:rFonts w:hint="eastAsia"/>
                <w:color w:val="auto"/>
              </w:rPr>
              <w:t>（7）污泥浓缩池</w:t>
            </w:r>
          </w:p>
          <w:p>
            <w:pPr>
              <w:ind w:firstLine="480"/>
              <w:rPr>
                <w:color w:val="auto"/>
              </w:rPr>
            </w:pPr>
            <w:r>
              <w:rPr>
                <w:rFonts w:hint="eastAsia"/>
                <w:color w:val="auto"/>
              </w:rPr>
              <w:t>本工程污泥处理不单独设置处理工艺，污泥排入污泥池处贮存，通过螺杆泵将污泥输送至餐厨垃圾处理</w:t>
            </w:r>
            <w:r>
              <w:rPr>
                <w:rFonts w:hint="eastAsia"/>
                <w:color w:val="auto"/>
                <w:shd w:val="clear" w:fill="FFFFFF"/>
              </w:rPr>
              <w:t>间</w:t>
            </w:r>
            <w:r>
              <w:rPr>
                <w:rFonts w:hint="eastAsia"/>
                <w:color w:val="auto"/>
              </w:rPr>
              <w:t>脱水机，脱水后</w:t>
            </w:r>
            <w:r>
              <w:rPr>
                <w:rFonts w:hint="eastAsia"/>
                <w:color w:val="auto"/>
                <w:shd w:val="clear" w:fill="FFFFFF"/>
              </w:rPr>
              <w:t>同</w:t>
            </w:r>
            <w:r>
              <w:rPr>
                <w:rFonts w:hint="eastAsia"/>
                <w:color w:val="auto"/>
              </w:rPr>
              <w:t>餐厨垃圾一同进入生化</w:t>
            </w:r>
            <w:r>
              <w:rPr>
                <w:rFonts w:hint="eastAsia"/>
                <w:color w:val="auto"/>
                <w:shd w:val="clear" w:fill="FFFFFF"/>
              </w:rPr>
              <w:t>仓</w:t>
            </w:r>
            <w:r>
              <w:rPr>
                <w:rFonts w:hint="eastAsia"/>
                <w:color w:val="auto"/>
              </w:rPr>
              <w:t>进行处理，污泥处理单元主要为贮泥池。</w:t>
            </w:r>
          </w:p>
          <w:p>
            <w:pPr>
              <w:pStyle w:val="84"/>
              <w:ind w:firstLine="482"/>
              <w:rPr>
                <w:color w:val="auto"/>
              </w:rPr>
            </w:pPr>
            <w:r>
              <w:rPr>
                <w:rFonts w:hint="eastAsia"/>
                <w:color w:val="auto"/>
              </w:rPr>
              <w:t>（8）尾水排放</w:t>
            </w:r>
          </w:p>
          <w:p>
            <w:pPr>
              <w:ind w:firstLine="480"/>
              <w:rPr>
                <w:color w:val="auto"/>
              </w:rPr>
            </w:pPr>
            <w:r>
              <w:rPr>
                <w:rFonts w:hint="eastAsia"/>
                <w:color w:val="auto"/>
              </w:rPr>
              <w:t>本项目污水处理达标后排入项目区设置的污水池，容积为</w:t>
            </w:r>
            <w:r>
              <w:rPr>
                <w:rFonts w:hint="eastAsia"/>
                <w:color w:val="auto"/>
                <w:lang w:val="en-US" w:eastAsia="zh-CN"/>
              </w:rPr>
              <w:t>10</w:t>
            </w:r>
            <w:r>
              <w:rPr>
                <w:color w:val="auto"/>
              </w:rPr>
              <w:t>0</w:t>
            </w:r>
            <w:r>
              <w:rPr>
                <w:rFonts w:hint="eastAsia"/>
                <w:color w:val="auto"/>
              </w:rPr>
              <w:t>m³，通过罐车送至师宗县彩云镇污水处理站进行处置。</w:t>
            </w:r>
          </w:p>
          <w:p>
            <w:pPr>
              <w:pStyle w:val="84"/>
              <w:ind w:firstLine="482"/>
              <w:rPr>
                <w:color w:val="auto"/>
              </w:rPr>
            </w:pPr>
            <w:r>
              <w:rPr>
                <w:rFonts w:hint="eastAsia"/>
                <w:color w:val="auto"/>
              </w:rPr>
              <w:t>2</w:t>
            </w:r>
            <w:r>
              <w:rPr>
                <w:color w:val="auto"/>
              </w:rPr>
              <w:t>.</w:t>
            </w:r>
            <w:r>
              <w:rPr>
                <w:rFonts w:hint="eastAsia"/>
                <w:color w:val="auto"/>
              </w:rPr>
              <w:t>废水处理工艺可行性</w:t>
            </w:r>
          </w:p>
          <w:p>
            <w:pPr>
              <w:ind w:firstLine="480"/>
              <w:rPr>
                <w:color w:val="auto"/>
              </w:rPr>
            </w:pPr>
            <w:r>
              <w:rPr>
                <w:rFonts w:hint="eastAsia"/>
                <w:color w:val="auto"/>
              </w:rPr>
              <w:t>项目运行期污水产生量</w:t>
            </w:r>
            <w:r>
              <w:rPr>
                <w:rFonts w:hint="eastAsia"/>
                <w:color w:val="auto"/>
                <w:lang w:val="en-US" w:eastAsia="zh-CN"/>
              </w:rPr>
              <w:t>约</w:t>
            </w:r>
            <w:r>
              <w:rPr>
                <w:rFonts w:hint="eastAsia"/>
                <w:color w:val="auto"/>
              </w:rPr>
              <w:t>为</w:t>
            </w:r>
            <w:r>
              <w:rPr>
                <w:rFonts w:hint="eastAsia"/>
                <w:color w:val="auto"/>
                <w:lang w:val="en-US" w:eastAsia="zh-CN"/>
              </w:rPr>
              <w:t>25.025</w:t>
            </w:r>
            <w:r>
              <w:rPr>
                <w:rFonts w:hint="eastAsia"/>
                <w:color w:val="auto"/>
              </w:rPr>
              <w:t>m</w:t>
            </w:r>
            <w:r>
              <w:rPr>
                <w:rFonts w:hint="eastAsia"/>
                <w:color w:val="auto"/>
                <w:vertAlign w:val="superscript"/>
              </w:rPr>
              <w:t>3</w:t>
            </w:r>
            <w:r>
              <w:rPr>
                <w:rFonts w:hint="eastAsia"/>
                <w:color w:val="auto"/>
              </w:rPr>
              <w:t>/d，采用“格栅+调节池+气浮沉淀预处理+UASB厌氧处理+两级AO+MBR膜处理”的工艺，项目采用的工艺属于《排污许可证申请与核发技术规范环境卫生管理》（HJ1106-2020）附录A 中推荐的餐厨废弃物废水处理的可行技术，本项目废水处理工艺处理效率见下表。</w:t>
            </w:r>
          </w:p>
          <w:p>
            <w:pPr>
              <w:pStyle w:val="71"/>
              <w:rPr>
                <w:color w:val="auto"/>
              </w:rPr>
            </w:pPr>
            <w:r>
              <w:rPr>
                <w:rFonts w:hint="eastAsia"/>
                <w:color w:val="auto"/>
              </w:rPr>
              <w:t>表4.2-</w:t>
            </w:r>
            <w:r>
              <w:rPr>
                <w:rFonts w:hint="eastAsia"/>
                <w:color w:val="auto"/>
                <w:lang w:val="en-US" w:eastAsia="zh-CN"/>
              </w:rPr>
              <w:t xml:space="preserve">21 </w:t>
            </w:r>
            <w:r>
              <w:rPr>
                <w:rFonts w:hint="eastAsia"/>
                <w:color w:val="auto"/>
              </w:rPr>
              <w:t xml:space="preserve"> 废水处理效果表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477"/>
              <w:gridCol w:w="780"/>
              <w:gridCol w:w="529"/>
              <w:gridCol w:w="901"/>
              <w:gridCol w:w="518"/>
              <w:gridCol w:w="912"/>
              <w:gridCol w:w="714"/>
              <w:gridCol w:w="714"/>
              <w:gridCol w:w="499"/>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restart"/>
                  <w:vAlign w:val="center"/>
                </w:tcPr>
                <w:p>
                  <w:pPr>
                    <w:pStyle w:val="68"/>
                    <w:rPr>
                      <w:b/>
                      <w:bCs/>
                      <w:color w:val="auto"/>
                    </w:rPr>
                  </w:pPr>
                  <w:r>
                    <w:rPr>
                      <w:rFonts w:hint="eastAsia"/>
                      <w:b/>
                      <w:bCs/>
                      <w:color w:val="auto"/>
                      <w:lang w:eastAsia="zh-CN"/>
                    </w:rPr>
                    <w:t>处理单元</w:t>
                  </w:r>
                </w:p>
              </w:tc>
              <w:tc>
                <w:tcPr>
                  <w:tcW w:w="801" w:type="pct"/>
                  <w:gridSpan w:val="2"/>
                  <w:vAlign w:val="center"/>
                </w:tcPr>
                <w:p>
                  <w:pPr>
                    <w:pStyle w:val="68"/>
                    <w:rPr>
                      <w:b/>
                      <w:bCs/>
                      <w:color w:val="auto"/>
                    </w:rPr>
                  </w:pPr>
                  <w:r>
                    <w:rPr>
                      <w:rFonts w:hint="eastAsia"/>
                      <w:b/>
                      <w:bCs/>
                      <w:color w:val="auto"/>
                    </w:rPr>
                    <w:t>COD</w:t>
                  </w:r>
                  <w:r>
                    <w:rPr>
                      <w:rFonts w:hint="eastAsia"/>
                      <w:b/>
                      <w:bCs/>
                      <w:color w:val="auto"/>
                      <w:lang w:eastAsia="zh-CN"/>
                    </w:rPr>
                    <w:t>(</w:t>
                  </w:r>
                  <w:r>
                    <w:rPr>
                      <w:rFonts w:hint="eastAsia"/>
                      <w:b/>
                      <w:bCs/>
                      <w:color w:val="auto"/>
                    </w:rPr>
                    <w:t>mg/L</w:t>
                  </w:r>
                  <w:r>
                    <w:rPr>
                      <w:rFonts w:hint="eastAsia"/>
                      <w:b/>
                      <w:bCs/>
                      <w:color w:val="auto"/>
                      <w:lang w:eastAsia="zh-CN"/>
                    </w:rPr>
                    <w:t>)</w:t>
                  </w:r>
                </w:p>
              </w:tc>
              <w:tc>
                <w:tcPr>
                  <w:tcW w:w="911" w:type="pct"/>
                  <w:gridSpan w:val="2"/>
                  <w:vAlign w:val="center"/>
                </w:tcPr>
                <w:p>
                  <w:pPr>
                    <w:pStyle w:val="68"/>
                    <w:rPr>
                      <w:b/>
                      <w:bCs/>
                      <w:color w:val="auto"/>
                    </w:rPr>
                  </w:pPr>
                  <w:r>
                    <w:rPr>
                      <w:rFonts w:hint="eastAsia"/>
                      <w:b/>
                      <w:bCs/>
                      <w:color w:val="auto"/>
                    </w:rPr>
                    <w:t>BOD</w:t>
                  </w:r>
                  <w:r>
                    <w:rPr>
                      <w:rFonts w:hint="eastAsia"/>
                      <w:b/>
                      <w:bCs/>
                      <w:color w:val="auto"/>
                      <w:lang w:eastAsia="zh-CN"/>
                    </w:rPr>
                    <w:t>(</w:t>
                  </w:r>
                  <w:r>
                    <w:rPr>
                      <w:rFonts w:hint="eastAsia"/>
                      <w:b/>
                      <w:bCs/>
                      <w:color w:val="auto"/>
                    </w:rPr>
                    <w:t>mg/L</w:t>
                  </w:r>
                  <w:r>
                    <w:rPr>
                      <w:rFonts w:hint="eastAsia"/>
                      <w:b/>
                      <w:bCs/>
                      <w:color w:val="auto"/>
                      <w:lang w:eastAsia="zh-CN"/>
                    </w:rPr>
                    <w:t>)</w:t>
                  </w:r>
                </w:p>
              </w:tc>
              <w:tc>
                <w:tcPr>
                  <w:tcW w:w="911" w:type="pct"/>
                  <w:gridSpan w:val="2"/>
                  <w:vAlign w:val="center"/>
                </w:tcPr>
                <w:p>
                  <w:pPr>
                    <w:pStyle w:val="68"/>
                    <w:rPr>
                      <w:b/>
                      <w:bCs/>
                      <w:color w:val="auto"/>
                    </w:rPr>
                  </w:pPr>
                  <w:r>
                    <w:rPr>
                      <w:rFonts w:hint="eastAsia"/>
                      <w:b/>
                      <w:bCs/>
                      <w:color w:val="auto"/>
                    </w:rPr>
                    <w:t>氨氮（mg/L）</w:t>
                  </w:r>
                </w:p>
              </w:tc>
              <w:tc>
                <w:tcPr>
                  <w:tcW w:w="910" w:type="pct"/>
                  <w:gridSpan w:val="2"/>
                  <w:vAlign w:val="center"/>
                </w:tcPr>
                <w:p>
                  <w:pPr>
                    <w:pStyle w:val="68"/>
                    <w:rPr>
                      <w:b/>
                      <w:bCs/>
                      <w:color w:val="auto"/>
                    </w:rPr>
                  </w:pPr>
                  <w:r>
                    <w:rPr>
                      <w:rFonts w:hint="eastAsia"/>
                      <w:b/>
                      <w:bCs/>
                      <w:color w:val="auto"/>
                    </w:rPr>
                    <w:t>TP</w:t>
                  </w:r>
                  <w:r>
                    <w:rPr>
                      <w:rFonts w:hint="eastAsia"/>
                      <w:b/>
                      <w:bCs/>
                      <w:color w:val="auto"/>
                      <w:lang w:eastAsia="zh-CN"/>
                    </w:rPr>
                    <w:t>(</w:t>
                  </w:r>
                  <w:r>
                    <w:rPr>
                      <w:rFonts w:hint="eastAsia"/>
                      <w:b/>
                      <w:bCs/>
                      <w:color w:val="auto"/>
                    </w:rPr>
                    <w:t>mg/L</w:t>
                  </w:r>
                  <w:r>
                    <w:rPr>
                      <w:rFonts w:hint="eastAsia"/>
                      <w:b/>
                      <w:bCs/>
                      <w:color w:val="auto"/>
                      <w:lang w:eastAsia="zh-CN"/>
                    </w:rPr>
                    <w:t>)</w:t>
                  </w:r>
                </w:p>
              </w:tc>
              <w:tc>
                <w:tcPr>
                  <w:tcW w:w="907" w:type="pct"/>
                  <w:gridSpan w:val="2"/>
                  <w:vAlign w:val="center"/>
                </w:tcPr>
                <w:p>
                  <w:pPr>
                    <w:pStyle w:val="68"/>
                    <w:rPr>
                      <w:b/>
                      <w:bCs/>
                      <w:color w:val="auto"/>
                    </w:rPr>
                  </w:pPr>
                  <w:r>
                    <w:rPr>
                      <w:rFonts w:hint="eastAsia"/>
                      <w:b/>
                      <w:bCs/>
                      <w:color w:val="auto"/>
                    </w:rPr>
                    <w:t>SS</w:t>
                  </w:r>
                  <w:r>
                    <w:rPr>
                      <w:rFonts w:hint="eastAsia"/>
                      <w:b/>
                      <w:bCs/>
                      <w:color w:val="auto"/>
                      <w:lang w:eastAsia="zh-CN"/>
                    </w:rPr>
                    <w:t>(</w:t>
                  </w:r>
                  <w:r>
                    <w:rPr>
                      <w:rFonts w:hint="eastAsia"/>
                      <w:b/>
                      <w:bCs/>
                      <w:color w:val="auto"/>
                    </w:rPr>
                    <w:t>mg/L</w:t>
                  </w:r>
                  <w:r>
                    <w:rPr>
                      <w:rFonts w:hint="eastAsia"/>
                      <w:b/>
                      <w:bCs/>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Merge w:val="continue"/>
                  <w:vAlign w:val="center"/>
                </w:tcPr>
                <w:p>
                  <w:pPr>
                    <w:pStyle w:val="68"/>
                    <w:rPr>
                      <w:b/>
                      <w:bCs/>
                      <w:color w:val="auto"/>
                    </w:rPr>
                  </w:pPr>
                </w:p>
              </w:tc>
              <w:tc>
                <w:tcPr>
                  <w:tcW w:w="304" w:type="pct"/>
                  <w:vAlign w:val="center"/>
                </w:tcPr>
                <w:p>
                  <w:pPr>
                    <w:pStyle w:val="68"/>
                    <w:rPr>
                      <w:b/>
                      <w:bCs/>
                      <w:color w:val="auto"/>
                    </w:rPr>
                  </w:pPr>
                  <w:r>
                    <w:rPr>
                      <w:b/>
                      <w:bCs/>
                      <w:color w:val="auto"/>
                    </w:rPr>
                    <w:t>%</w:t>
                  </w:r>
                </w:p>
              </w:tc>
              <w:tc>
                <w:tcPr>
                  <w:tcW w:w="497" w:type="pct"/>
                  <w:vAlign w:val="center"/>
                </w:tcPr>
                <w:p>
                  <w:pPr>
                    <w:pStyle w:val="68"/>
                    <w:rPr>
                      <w:b/>
                      <w:bCs/>
                      <w:color w:val="auto"/>
                    </w:rPr>
                  </w:pPr>
                  <w:r>
                    <w:rPr>
                      <w:rFonts w:hint="eastAsia"/>
                      <w:b/>
                      <w:bCs/>
                      <w:color w:val="auto"/>
                      <w:lang w:eastAsia="zh-CN"/>
                    </w:rPr>
                    <w:t>出水</w:t>
                  </w:r>
                </w:p>
              </w:tc>
              <w:tc>
                <w:tcPr>
                  <w:tcW w:w="337" w:type="pct"/>
                  <w:vAlign w:val="center"/>
                </w:tcPr>
                <w:p>
                  <w:pPr>
                    <w:pStyle w:val="68"/>
                    <w:rPr>
                      <w:b/>
                      <w:bCs/>
                      <w:color w:val="auto"/>
                    </w:rPr>
                  </w:pPr>
                  <w:r>
                    <w:rPr>
                      <w:b/>
                      <w:bCs/>
                      <w:color w:val="auto"/>
                    </w:rPr>
                    <w:t>%</w:t>
                  </w:r>
                </w:p>
              </w:tc>
              <w:tc>
                <w:tcPr>
                  <w:tcW w:w="574" w:type="pct"/>
                  <w:vAlign w:val="center"/>
                </w:tcPr>
                <w:p>
                  <w:pPr>
                    <w:pStyle w:val="68"/>
                    <w:rPr>
                      <w:b/>
                      <w:bCs/>
                      <w:color w:val="auto"/>
                    </w:rPr>
                  </w:pPr>
                  <w:r>
                    <w:rPr>
                      <w:rFonts w:hint="eastAsia"/>
                      <w:b/>
                      <w:bCs/>
                      <w:color w:val="auto"/>
                      <w:lang w:eastAsia="zh-CN"/>
                    </w:rPr>
                    <w:t>出水</w:t>
                  </w:r>
                </w:p>
              </w:tc>
              <w:tc>
                <w:tcPr>
                  <w:tcW w:w="330" w:type="pct"/>
                  <w:vAlign w:val="center"/>
                </w:tcPr>
                <w:p>
                  <w:pPr>
                    <w:pStyle w:val="68"/>
                    <w:rPr>
                      <w:b/>
                      <w:bCs/>
                      <w:color w:val="auto"/>
                    </w:rPr>
                  </w:pPr>
                  <w:r>
                    <w:rPr>
                      <w:b/>
                      <w:bCs/>
                      <w:color w:val="auto"/>
                    </w:rPr>
                    <w:t>%</w:t>
                  </w:r>
                </w:p>
              </w:tc>
              <w:tc>
                <w:tcPr>
                  <w:tcW w:w="581" w:type="pct"/>
                  <w:vAlign w:val="center"/>
                </w:tcPr>
                <w:p>
                  <w:pPr>
                    <w:pStyle w:val="68"/>
                    <w:rPr>
                      <w:b/>
                      <w:bCs/>
                      <w:color w:val="auto"/>
                    </w:rPr>
                  </w:pPr>
                  <w:r>
                    <w:rPr>
                      <w:rFonts w:hint="eastAsia"/>
                      <w:b/>
                      <w:bCs/>
                      <w:color w:val="auto"/>
                      <w:lang w:eastAsia="zh-CN"/>
                    </w:rPr>
                    <w:t>出水</w:t>
                  </w:r>
                </w:p>
              </w:tc>
              <w:tc>
                <w:tcPr>
                  <w:tcW w:w="455" w:type="pct"/>
                  <w:vAlign w:val="center"/>
                </w:tcPr>
                <w:p>
                  <w:pPr>
                    <w:pStyle w:val="68"/>
                    <w:rPr>
                      <w:b/>
                      <w:bCs/>
                      <w:color w:val="auto"/>
                    </w:rPr>
                  </w:pPr>
                  <w:r>
                    <w:rPr>
                      <w:b/>
                      <w:bCs/>
                      <w:color w:val="auto"/>
                    </w:rPr>
                    <w:t>%</w:t>
                  </w:r>
                </w:p>
              </w:tc>
              <w:tc>
                <w:tcPr>
                  <w:tcW w:w="455" w:type="pct"/>
                  <w:vAlign w:val="center"/>
                </w:tcPr>
                <w:p>
                  <w:pPr>
                    <w:pStyle w:val="68"/>
                    <w:rPr>
                      <w:b/>
                      <w:bCs/>
                      <w:color w:val="auto"/>
                    </w:rPr>
                  </w:pPr>
                  <w:r>
                    <w:rPr>
                      <w:rFonts w:hint="eastAsia"/>
                      <w:b/>
                      <w:bCs/>
                      <w:color w:val="auto"/>
                      <w:lang w:eastAsia="zh-CN"/>
                    </w:rPr>
                    <w:t>出水</w:t>
                  </w:r>
                </w:p>
              </w:tc>
              <w:tc>
                <w:tcPr>
                  <w:tcW w:w="318" w:type="pct"/>
                  <w:vAlign w:val="center"/>
                </w:tcPr>
                <w:p>
                  <w:pPr>
                    <w:pStyle w:val="68"/>
                    <w:rPr>
                      <w:b/>
                      <w:bCs/>
                      <w:color w:val="auto"/>
                    </w:rPr>
                  </w:pPr>
                  <w:r>
                    <w:rPr>
                      <w:b/>
                      <w:bCs/>
                      <w:color w:val="auto"/>
                    </w:rPr>
                    <w:t>%</w:t>
                  </w:r>
                </w:p>
              </w:tc>
              <w:tc>
                <w:tcPr>
                  <w:tcW w:w="589" w:type="pct"/>
                  <w:vAlign w:val="center"/>
                </w:tcPr>
                <w:p>
                  <w:pPr>
                    <w:pStyle w:val="68"/>
                    <w:rPr>
                      <w:b/>
                      <w:bCs/>
                      <w:color w:val="auto"/>
                    </w:rPr>
                  </w:pPr>
                  <w:r>
                    <w:rPr>
                      <w:rFonts w:hint="eastAsia"/>
                      <w:b/>
                      <w:bCs/>
                      <w:color w:val="auto"/>
                      <w:lang w:eastAsia="zh-CN"/>
                    </w:rPr>
                    <w:t>出水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lang w:eastAsia="zh-CN"/>
                    </w:rPr>
                    <w:t>原水</w:t>
                  </w:r>
                </w:p>
              </w:tc>
              <w:tc>
                <w:tcPr>
                  <w:tcW w:w="801" w:type="pct"/>
                  <w:gridSpan w:val="2"/>
                  <w:vAlign w:val="center"/>
                </w:tcPr>
                <w:p>
                  <w:pPr>
                    <w:pStyle w:val="68"/>
                    <w:rPr>
                      <w:color w:val="auto"/>
                      <w:lang w:eastAsia="zh-CN"/>
                    </w:rPr>
                  </w:pPr>
                  <w:r>
                    <w:rPr>
                      <w:rFonts w:hint="eastAsia"/>
                      <w:color w:val="auto"/>
                      <w:lang w:eastAsia="zh-CN"/>
                    </w:rPr>
                    <w:t>1</w:t>
                  </w:r>
                  <w:r>
                    <w:rPr>
                      <w:color w:val="auto"/>
                      <w:lang w:eastAsia="zh-CN"/>
                    </w:rPr>
                    <w:t>3800</w:t>
                  </w:r>
                </w:p>
              </w:tc>
              <w:tc>
                <w:tcPr>
                  <w:tcW w:w="911" w:type="pct"/>
                  <w:gridSpan w:val="2"/>
                  <w:vAlign w:val="center"/>
                </w:tcPr>
                <w:p>
                  <w:pPr>
                    <w:pStyle w:val="68"/>
                    <w:rPr>
                      <w:color w:val="auto"/>
                      <w:lang w:eastAsia="zh-CN"/>
                    </w:rPr>
                  </w:pPr>
                  <w:r>
                    <w:rPr>
                      <w:rFonts w:hint="eastAsia"/>
                      <w:color w:val="auto"/>
                      <w:lang w:eastAsia="zh-CN"/>
                    </w:rPr>
                    <w:t>5</w:t>
                  </w:r>
                  <w:r>
                    <w:rPr>
                      <w:color w:val="auto"/>
                      <w:lang w:eastAsia="zh-CN"/>
                    </w:rPr>
                    <w:t>600</w:t>
                  </w:r>
                </w:p>
              </w:tc>
              <w:tc>
                <w:tcPr>
                  <w:tcW w:w="911" w:type="pct"/>
                  <w:gridSpan w:val="2"/>
                  <w:vAlign w:val="center"/>
                </w:tcPr>
                <w:p>
                  <w:pPr>
                    <w:pStyle w:val="68"/>
                    <w:rPr>
                      <w:color w:val="auto"/>
                      <w:lang w:eastAsia="zh-CN"/>
                    </w:rPr>
                  </w:pPr>
                  <w:r>
                    <w:rPr>
                      <w:rFonts w:hint="eastAsia"/>
                      <w:color w:val="auto"/>
                      <w:lang w:eastAsia="zh-CN"/>
                    </w:rPr>
                    <w:t>1</w:t>
                  </w:r>
                  <w:r>
                    <w:rPr>
                      <w:color w:val="auto"/>
                      <w:lang w:eastAsia="zh-CN"/>
                    </w:rPr>
                    <w:t>60</w:t>
                  </w:r>
                </w:p>
              </w:tc>
              <w:tc>
                <w:tcPr>
                  <w:tcW w:w="910" w:type="pct"/>
                  <w:gridSpan w:val="2"/>
                  <w:vAlign w:val="center"/>
                </w:tcPr>
                <w:p>
                  <w:pPr>
                    <w:pStyle w:val="68"/>
                    <w:rPr>
                      <w:color w:val="auto"/>
                      <w:lang w:eastAsia="zh-CN"/>
                    </w:rPr>
                  </w:pPr>
                  <w:r>
                    <w:rPr>
                      <w:rFonts w:hint="eastAsia"/>
                      <w:color w:val="auto"/>
                      <w:lang w:eastAsia="zh-CN"/>
                    </w:rPr>
                    <w:t>6</w:t>
                  </w:r>
                  <w:r>
                    <w:rPr>
                      <w:color w:val="auto"/>
                      <w:lang w:eastAsia="zh-CN"/>
                    </w:rPr>
                    <w:t>0</w:t>
                  </w:r>
                </w:p>
              </w:tc>
              <w:tc>
                <w:tcPr>
                  <w:tcW w:w="907" w:type="pct"/>
                  <w:gridSpan w:val="2"/>
                  <w:vAlign w:val="center"/>
                </w:tcPr>
                <w:p>
                  <w:pPr>
                    <w:pStyle w:val="68"/>
                    <w:rPr>
                      <w:color w:val="auto"/>
                      <w:lang w:eastAsia="zh-CN"/>
                    </w:rPr>
                  </w:pPr>
                  <w:r>
                    <w:rPr>
                      <w:rFonts w:hint="eastAsia"/>
                      <w:color w:val="auto"/>
                      <w:lang w:eastAsia="zh-CN"/>
                    </w:rPr>
                    <w:t>6</w:t>
                  </w:r>
                  <w:r>
                    <w:rPr>
                      <w:color w:val="auto"/>
                      <w:lang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气浮沉淀池</w:t>
                  </w:r>
                </w:p>
              </w:tc>
              <w:tc>
                <w:tcPr>
                  <w:tcW w:w="304" w:type="pct"/>
                  <w:vAlign w:val="center"/>
                </w:tcPr>
                <w:p>
                  <w:pPr>
                    <w:pStyle w:val="68"/>
                    <w:rPr>
                      <w:color w:val="auto"/>
                    </w:rPr>
                  </w:pPr>
                  <w:r>
                    <w:rPr>
                      <w:color w:val="auto"/>
                    </w:rPr>
                    <w:t>20</w:t>
                  </w:r>
                </w:p>
              </w:tc>
              <w:tc>
                <w:tcPr>
                  <w:tcW w:w="497" w:type="pct"/>
                  <w:vAlign w:val="center"/>
                </w:tcPr>
                <w:p>
                  <w:pPr>
                    <w:pStyle w:val="68"/>
                    <w:rPr>
                      <w:color w:val="auto"/>
                      <w:lang w:eastAsia="zh-CN"/>
                    </w:rPr>
                  </w:pPr>
                  <w:r>
                    <w:rPr>
                      <w:rFonts w:hint="eastAsia"/>
                      <w:color w:val="auto"/>
                      <w:lang w:eastAsia="zh-CN"/>
                    </w:rPr>
                    <w:t>1</w:t>
                  </w:r>
                  <w:r>
                    <w:rPr>
                      <w:color w:val="auto"/>
                      <w:lang w:eastAsia="zh-CN"/>
                    </w:rPr>
                    <w:t>1040</w:t>
                  </w:r>
                </w:p>
              </w:tc>
              <w:tc>
                <w:tcPr>
                  <w:tcW w:w="337" w:type="pct"/>
                  <w:vAlign w:val="center"/>
                </w:tcPr>
                <w:p>
                  <w:pPr>
                    <w:pStyle w:val="68"/>
                    <w:rPr>
                      <w:color w:val="auto"/>
                    </w:rPr>
                  </w:pPr>
                  <w:r>
                    <w:rPr>
                      <w:rFonts w:hint="eastAsia"/>
                      <w:color w:val="auto"/>
                    </w:rPr>
                    <w:t>2</w:t>
                  </w:r>
                  <w:r>
                    <w:rPr>
                      <w:color w:val="auto"/>
                    </w:rPr>
                    <w:t>0</w:t>
                  </w:r>
                </w:p>
              </w:tc>
              <w:tc>
                <w:tcPr>
                  <w:tcW w:w="574" w:type="pct"/>
                  <w:vAlign w:val="center"/>
                </w:tcPr>
                <w:p>
                  <w:pPr>
                    <w:pStyle w:val="68"/>
                    <w:rPr>
                      <w:color w:val="auto"/>
                      <w:lang w:eastAsia="zh-CN"/>
                    </w:rPr>
                  </w:pPr>
                  <w:r>
                    <w:rPr>
                      <w:rFonts w:hint="eastAsia"/>
                      <w:color w:val="auto"/>
                      <w:lang w:eastAsia="zh-CN"/>
                    </w:rPr>
                    <w:t>4</w:t>
                  </w:r>
                  <w:r>
                    <w:rPr>
                      <w:color w:val="auto"/>
                      <w:lang w:eastAsia="zh-CN"/>
                    </w:rPr>
                    <w:t>480</w:t>
                  </w:r>
                </w:p>
              </w:tc>
              <w:tc>
                <w:tcPr>
                  <w:tcW w:w="330" w:type="pct"/>
                  <w:vAlign w:val="center"/>
                </w:tcPr>
                <w:p>
                  <w:pPr>
                    <w:pStyle w:val="68"/>
                    <w:rPr>
                      <w:color w:val="auto"/>
                    </w:rPr>
                  </w:pPr>
                  <w:r>
                    <w:rPr>
                      <w:rFonts w:hint="eastAsia"/>
                      <w:color w:val="auto"/>
                    </w:rPr>
                    <w:t>1</w:t>
                  </w:r>
                  <w:r>
                    <w:rPr>
                      <w:color w:val="auto"/>
                    </w:rPr>
                    <w:t>0</w:t>
                  </w:r>
                </w:p>
              </w:tc>
              <w:tc>
                <w:tcPr>
                  <w:tcW w:w="581" w:type="pct"/>
                  <w:vAlign w:val="center"/>
                </w:tcPr>
                <w:p>
                  <w:pPr>
                    <w:pStyle w:val="68"/>
                    <w:rPr>
                      <w:color w:val="auto"/>
                      <w:lang w:eastAsia="zh-CN"/>
                    </w:rPr>
                  </w:pPr>
                  <w:r>
                    <w:rPr>
                      <w:rFonts w:hint="eastAsia"/>
                      <w:color w:val="auto"/>
                      <w:lang w:eastAsia="zh-CN"/>
                    </w:rPr>
                    <w:t>1</w:t>
                  </w:r>
                  <w:r>
                    <w:rPr>
                      <w:color w:val="auto"/>
                      <w:lang w:eastAsia="zh-CN"/>
                    </w:rPr>
                    <w:t>44</w:t>
                  </w:r>
                </w:p>
              </w:tc>
              <w:tc>
                <w:tcPr>
                  <w:tcW w:w="455" w:type="pct"/>
                  <w:vAlign w:val="center"/>
                </w:tcPr>
                <w:p>
                  <w:pPr>
                    <w:pStyle w:val="68"/>
                    <w:rPr>
                      <w:color w:val="auto"/>
                    </w:rPr>
                  </w:pPr>
                  <w:r>
                    <w:rPr>
                      <w:color w:val="auto"/>
                    </w:rPr>
                    <w:t>65</w:t>
                  </w:r>
                </w:p>
              </w:tc>
              <w:tc>
                <w:tcPr>
                  <w:tcW w:w="455" w:type="pct"/>
                  <w:vAlign w:val="center"/>
                </w:tcPr>
                <w:p>
                  <w:pPr>
                    <w:pStyle w:val="68"/>
                    <w:rPr>
                      <w:color w:val="auto"/>
                      <w:lang w:eastAsia="zh-CN"/>
                    </w:rPr>
                  </w:pPr>
                  <w:r>
                    <w:rPr>
                      <w:rFonts w:hint="eastAsia"/>
                      <w:color w:val="auto"/>
                      <w:lang w:eastAsia="zh-CN"/>
                    </w:rPr>
                    <w:t>2</w:t>
                  </w:r>
                  <w:r>
                    <w:rPr>
                      <w:color w:val="auto"/>
                      <w:lang w:eastAsia="zh-CN"/>
                    </w:rPr>
                    <w:t>1</w:t>
                  </w:r>
                </w:p>
              </w:tc>
              <w:tc>
                <w:tcPr>
                  <w:tcW w:w="318" w:type="pct"/>
                  <w:vAlign w:val="center"/>
                </w:tcPr>
                <w:p>
                  <w:pPr>
                    <w:pStyle w:val="68"/>
                    <w:rPr>
                      <w:color w:val="auto"/>
                    </w:rPr>
                  </w:pPr>
                  <w:r>
                    <w:rPr>
                      <w:rFonts w:hint="eastAsia"/>
                      <w:color w:val="auto"/>
                    </w:rPr>
                    <w:t>5</w:t>
                  </w:r>
                  <w:r>
                    <w:rPr>
                      <w:color w:val="auto"/>
                    </w:rPr>
                    <w:t>0</w:t>
                  </w:r>
                </w:p>
              </w:tc>
              <w:tc>
                <w:tcPr>
                  <w:tcW w:w="589" w:type="pct"/>
                  <w:vAlign w:val="center"/>
                </w:tcPr>
                <w:p>
                  <w:pPr>
                    <w:pStyle w:val="68"/>
                    <w:rPr>
                      <w:color w:val="auto"/>
                      <w:lang w:eastAsia="zh-CN"/>
                    </w:rPr>
                  </w:pPr>
                  <w:r>
                    <w:rPr>
                      <w:rFonts w:hint="eastAsia"/>
                      <w:color w:val="auto"/>
                      <w:lang w:eastAsia="zh-CN"/>
                    </w:rPr>
                    <w:t>3</w:t>
                  </w:r>
                  <w:r>
                    <w:rPr>
                      <w:color w:val="auto"/>
                      <w:lang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color w:val="auto"/>
                    </w:rPr>
                    <w:t>UAS</w:t>
                  </w:r>
                  <w:r>
                    <w:rPr>
                      <w:rFonts w:hint="eastAsia"/>
                      <w:color w:val="auto"/>
                    </w:rPr>
                    <w:t>B厌氧池</w:t>
                  </w:r>
                </w:p>
              </w:tc>
              <w:tc>
                <w:tcPr>
                  <w:tcW w:w="304" w:type="pct"/>
                  <w:vAlign w:val="center"/>
                </w:tcPr>
                <w:p>
                  <w:pPr>
                    <w:pStyle w:val="68"/>
                    <w:rPr>
                      <w:color w:val="auto"/>
                    </w:rPr>
                  </w:pPr>
                  <w:r>
                    <w:rPr>
                      <w:rFonts w:hint="eastAsia"/>
                      <w:color w:val="auto"/>
                    </w:rPr>
                    <w:t>7</w:t>
                  </w:r>
                  <w:r>
                    <w:rPr>
                      <w:color w:val="auto"/>
                    </w:rPr>
                    <w:t>0</w:t>
                  </w:r>
                </w:p>
              </w:tc>
              <w:tc>
                <w:tcPr>
                  <w:tcW w:w="497" w:type="pct"/>
                  <w:vAlign w:val="center"/>
                </w:tcPr>
                <w:p>
                  <w:pPr>
                    <w:pStyle w:val="68"/>
                    <w:rPr>
                      <w:color w:val="auto"/>
                      <w:lang w:eastAsia="zh-CN"/>
                    </w:rPr>
                  </w:pPr>
                  <w:r>
                    <w:rPr>
                      <w:rFonts w:hint="eastAsia"/>
                      <w:color w:val="auto"/>
                      <w:lang w:eastAsia="zh-CN"/>
                    </w:rPr>
                    <w:t>3</w:t>
                  </w:r>
                  <w:r>
                    <w:rPr>
                      <w:color w:val="auto"/>
                      <w:lang w:eastAsia="zh-CN"/>
                    </w:rPr>
                    <w:t>312</w:t>
                  </w:r>
                </w:p>
              </w:tc>
              <w:tc>
                <w:tcPr>
                  <w:tcW w:w="337" w:type="pct"/>
                  <w:vAlign w:val="center"/>
                </w:tcPr>
                <w:p>
                  <w:pPr>
                    <w:pStyle w:val="68"/>
                    <w:rPr>
                      <w:color w:val="auto"/>
                    </w:rPr>
                  </w:pPr>
                  <w:r>
                    <w:rPr>
                      <w:rFonts w:hint="eastAsia"/>
                      <w:color w:val="auto"/>
                    </w:rPr>
                    <w:t>6</w:t>
                  </w:r>
                  <w:r>
                    <w:rPr>
                      <w:color w:val="auto"/>
                    </w:rPr>
                    <w:t>0</w:t>
                  </w:r>
                </w:p>
              </w:tc>
              <w:tc>
                <w:tcPr>
                  <w:tcW w:w="574" w:type="pct"/>
                  <w:vAlign w:val="center"/>
                </w:tcPr>
                <w:p>
                  <w:pPr>
                    <w:pStyle w:val="68"/>
                    <w:rPr>
                      <w:color w:val="auto"/>
                      <w:lang w:eastAsia="zh-CN"/>
                    </w:rPr>
                  </w:pPr>
                  <w:r>
                    <w:rPr>
                      <w:rFonts w:hint="eastAsia"/>
                      <w:color w:val="auto"/>
                      <w:lang w:eastAsia="zh-CN"/>
                    </w:rPr>
                    <w:t>1</w:t>
                  </w:r>
                  <w:r>
                    <w:rPr>
                      <w:color w:val="auto"/>
                      <w:lang w:eastAsia="zh-CN"/>
                    </w:rPr>
                    <w:t>792</w:t>
                  </w:r>
                </w:p>
              </w:tc>
              <w:tc>
                <w:tcPr>
                  <w:tcW w:w="330" w:type="pct"/>
                  <w:vAlign w:val="center"/>
                </w:tcPr>
                <w:p>
                  <w:pPr>
                    <w:pStyle w:val="68"/>
                    <w:rPr>
                      <w:color w:val="auto"/>
                    </w:rPr>
                  </w:pPr>
                  <w:r>
                    <w:rPr>
                      <w:rFonts w:hint="eastAsia"/>
                      <w:color w:val="auto"/>
                    </w:rPr>
                    <w:t>1</w:t>
                  </w:r>
                  <w:r>
                    <w:rPr>
                      <w:color w:val="auto"/>
                    </w:rPr>
                    <w:t>0</w:t>
                  </w:r>
                </w:p>
              </w:tc>
              <w:tc>
                <w:tcPr>
                  <w:tcW w:w="581" w:type="pct"/>
                  <w:vAlign w:val="center"/>
                </w:tcPr>
                <w:p>
                  <w:pPr>
                    <w:pStyle w:val="68"/>
                    <w:rPr>
                      <w:color w:val="auto"/>
                      <w:lang w:eastAsia="zh-CN"/>
                    </w:rPr>
                  </w:pPr>
                  <w:r>
                    <w:rPr>
                      <w:rFonts w:hint="eastAsia"/>
                      <w:color w:val="auto"/>
                      <w:lang w:eastAsia="zh-CN"/>
                    </w:rPr>
                    <w:t>1</w:t>
                  </w:r>
                  <w:r>
                    <w:rPr>
                      <w:color w:val="auto"/>
                      <w:lang w:eastAsia="zh-CN"/>
                    </w:rPr>
                    <w:t>29.6</w:t>
                  </w:r>
                </w:p>
              </w:tc>
              <w:tc>
                <w:tcPr>
                  <w:tcW w:w="455" w:type="pct"/>
                  <w:vAlign w:val="center"/>
                </w:tcPr>
                <w:p>
                  <w:pPr>
                    <w:pStyle w:val="68"/>
                    <w:rPr>
                      <w:color w:val="auto"/>
                    </w:rPr>
                  </w:pPr>
                  <w:r>
                    <w:rPr>
                      <w:color w:val="auto"/>
                    </w:rPr>
                    <w:t>60</w:t>
                  </w:r>
                </w:p>
              </w:tc>
              <w:tc>
                <w:tcPr>
                  <w:tcW w:w="455" w:type="pct"/>
                  <w:vAlign w:val="center"/>
                </w:tcPr>
                <w:p>
                  <w:pPr>
                    <w:pStyle w:val="68"/>
                    <w:rPr>
                      <w:color w:val="auto"/>
                      <w:lang w:eastAsia="zh-CN"/>
                    </w:rPr>
                  </w:pPr>
                  <w:r>
                    <w:rPr>
                      <w:rFonts w:hint="eastAsia"/>
                      <w:color w:val="auto"/>
                      <w:lang w:eastAsia="zh-CN"/>
                    </w:rPr>
                    <w:t>8</w:t>
                  </w:r>
                  <w:r>
                    <w:rPr>
                      <w:color w:val="auto"/>
                      <w:lang w:eastAsia="zh-CN"/>
                    </w:rPr>
                    <w:t>.4</w:t>
                  </w:r>
                </w:p>
              </w:tc>
              <w:tc>
                <w:tcPr>
                  <w:tcW w:w="318" w:type="pct"/>
                  <w:vAlign w:val="center"/>
                </w:tcPr>
                <w:p>
                  <w:pPr>
                    <w:pStyle w:val="68"/>
                    <w:rPr>
                      <w:color w:val="auto"/>
                    </w:rPr>
                  </w:pPr>
                  <w:r>
                    <w:rPr>
                      <w:rFonts w:hint="eastAsia"/>
                      <w:color w:val="auto"/>
                    </w:rPr>
                    <w:t>5</w:t>
                  </w:r>
                  <w:r>
                    <w:rPr>
                      <w:color w:val="auto"/>
                    </w:rPr>
                    <w:t>0</w:t>
                  </w:r>
                </w:p>
              </w:tc>
              <w:tc>
                <w:tcPr>
                  <w:tcW w:w="589" w:type="pct"/>
                  <w:vAlign w:val="center"/>
                </w:tcPr>
                <w:p>
                  <w:pPr>
                    <w:pStyle w:val="68"/>
                    <w:rPr>
                      <w:color w:val="auto"/>
                      <w:lang w:eastAsia="zh-CN"/>
                    </w:rPr>
                  </w:pPr>
                  <w:r>
                    <w:rPr>
                      <w:rFonts w:hint="eastAsia"/>
                      <w:color w:val="auto"/>
                      <w:lang w:eastAsia="zh-CN"/>
                    </w:rPr>
                    <w:t>1</w:t>
                  </w:r>
                  <w:r>
                    <w:rPr>
                      <w:color w:val="auto"/>
                      <w:lang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一级</w:t>
                  </w:r>
                  <w:r>
                    <w:rPr>
                      <w:color w:val="auto"/>
                    </w:rPr>
                    <w:t>AO</w:t>
                  </w:r>
                </w:p>
              </w:tc>
              <w:tc>
                <w:tcPr>
                  <w:tcW w:w="304" w:type="pct"/>
                  <w:vAlign w:val="center"/>
                </w:tcPr>
                <w:p>
                  <w:pPr>
                    <w:pStyle w:val="68"/>
                    <w:rPr>
                      <w:color w:val="auto"/>
                    </w:rPr>
                  </w:pPr>
                  <w:r>
                    <w:rPr>
                      <w:color w:val="auto"/>
                    </w:rPr>
                    <w:t>70</w:t>
                  </w:r>
                </w:p>
              </w:tc>
              <w:tc>
                <w:tcPr>
                  <w:tcW w:w="497" w:type="pct"/>
                  <w:vAlign w:val="center"/>
                </w:tcPr>
                <w:p>
                  <w:pPr>
                    <w:pStyle w:val="68"/>
                    <w:rPr>
                      <w:color w:val="auto"/>
                      <w:lang w:eastAsia="zh-CN"/>
                    </w:rPr>
                  </w:pPr>
                  <w:r>
                    <w:rPr>
                      <w:color w:val="auto"/>
                      <w:lang w:eastAsia="zh-CN"/>
                    </w:rPr>
                    <w:t>993.6</w:t>
                  </w:r>
                </w:p>
              </w:tc>
              <w:tc>
                <w:tcPr>
                  <w:tcW w:w="337" w:type="pct"/>
                  <w:vAlign w:val="center"/>
                </w:tcPr>
                <w:p>
                  <w:pPr>
                    <w:pStyle w:val="68"/>
                    <w:rPr>
                      <w:color w:val="auto"/>
                    </w:rPr>
                  </w:pPr>
                  <w:r>
                    <w:rPr>
                      <w:color w:val="auto"/>
                    </w:rPr>
                    <w:t>70</w:t>
                  </w:r>
                </w:p>
              </w:tc>
              <w:tc>
                <w:tcPr>
                  <w:tcW w:w="574" w:type="pct"/>
                  <w:vAlign w:val="center"/>
                </w:tcPr>
                <w:p>
                  <w:pPr>
                    <w:pStyle w:val="68"/>
                    <w:rPr>
                      <w:color w:val="auto"/>
                      <w:lang w:eastAsia="zh-CN"/>
                    </w:rPr>
                  </w:pPr>
                  <w:r>
                    <w:rPr>
                      <w:rFonts w:hint="eastAsia"/>
                      <w:color w:val="auto"/>
                      <w:lang w:eastAsia="zh-CN"/>
                    </w:rPr>
                    <w:t>5</w:t>
                  </w:r>
                  <w:r>
                    <w:rPr>
                      <w:color w:val="auto"/>
                      <w:lang w:eastAsia="zh-CN"/>
                    </w:rPr>
                    <w:t>37.6</w:t>
                  </w:r>
                </w:p>
              </w:tc>
              <w:tc>
                <w:tcPr>
                  <w:tcW w:w="330" w:type="pct"/>
                  <w:vAlign w:val="center"/>
                </w:tcPr>
                <w:p>
                  <w:pPr>
                    <w:pStyle w:val="68"/>
                    <w:rPr>
                      <w:color w:val="auto"/>
                    </w:rPr>
                  </w:pPr>
                  <w:r>
                    <w:rPr>
                      <w:color w:val="auto"/>
                    </w:rPr>
                    <w:t>60</w:t>
                  </w:r>
                </w:p>
              </w:tc>
              <w:tc>
                <w:tcPr>
                  <w:tcW w:w="581" w:type="pct"/>
                  <w:vAlign w:val="center"/>
                </w:tcPr>
                <w:p>
                  <w:pPr>
                    <w:pStyle w:val="68"/>
                    <w:rPr>
                      <w:color w:val="auto"/>
                      <w:lang w:eastAsia="zh-CN"/>
                    </w:rPr>
                  </w:pPr>
                  <w:r>
                    <w:rPr>
                      <w:color w:val="auto"/>
                      <w:lang w:eastAsia="zh-CN"/>
                    </w:rPr>
                    <w:t>51.84</w:t>
                  </w:r>
                </w:p>
              </w:tc>
              <w:tc>
                <w:tcPr>
                  <w:tcW w:w="455" w:type="pct"/>
                  <w:vAlign w:val="center"/>
                </w:tcPr>
                <w:p>
                  <w:pPr>
                    <w:pStyle w:val="68"/>
                    <w:rPr>
                      <w:color w:val="auto"/>
                    </w:rPr>
                  </w:pPr>
                  <w:r>
                    <w:rPr>
                      <w:rFonts w:hint="eastAsia"/>
                      <w:color w:val="auto"/>
                    </w:rPr>
                    <w:t>1</w:t>
                  </w:r>
                  <w:r>
                    <w:rPr>
                      <w:color w:val="auto"/>
                    </w:rPr>
                    <w:t>5</w:t>
                  </w:r>
                </w:p>
              </w:tc>
              <w:tc>
                <w:tcPr>
                  <w:tcW w:w="455" w:type="pct"/>
                  <w:vAlign w:val="center"/>
                </w:tcPr>
                <w:p>
                  <w:pPr>
                    <w:pStyle w:val="68"/>
                    <w:rPr>
                      <w:color w:val="auto"/>
                      <w:lang w:eastAsia="zh-CN"/>
                    </w:rPr>
                  </w:pPr>
                  <w:r>
                    <w:rPr>
                      <w:rFonts w:hint="eastAsia"/>
                      <w:color w:val="auto"/>
                      <w:lang w:eastAsia="zh-CN"/>
                    </w:rPr>
                    <w:t>7</w:t>
                  </w:r>
                  <w:r>
                    <w:rPr>
                      <w:color w:val="auto"/>
                      <w:lang w:eastAsia="zh-CN"/>
                    </w:rPr>
                    <w:t>.14</w:t>
                  </w:r>
                </w:p>
              </w:tc>
              <w:tc>
                <w:tcPr>
                  <w:tcW w:w="318" w:type="pct"/>
                  <w:vAlign w:val="center"/>
                </w:tcPr>
                <w:p>
                  <w:pPr>
                    <w:pStyle w:val="68"/>
                    <w:rPr>
                      <w:color w:val="auto"/>
                    </w:rPr>
                  </w:pPr>
                  <w:r>
                    <w:rPr>
                      <w:rFonts w:hint="eastAsia"/>
                      <w:color w:val="auto"/>
                    </w:rPr>
                    <w:t>1</w:t>
                  </w:r>
                  <w:r>
                    <w:rPr>
                      <w:color w:val="auto"/>
                    </w:rPr>
                    <w:t>0</w:t>
                  </w:r>
                </w:p>
              </w:tc>
              <w:tc>
                <w:tcPr>
                  <w:tcW w:w="589" w:type="pct"/>
                  <w:vAlign w:val="center"/>
                </w:tcPr>
                <w:p>
                  <w:pPr>
                    <w:pStyle w:val="68"/>
                    <w:rPr>
                      <w:color w:val="auto"/>
                      <w:lang w:eastAsia="zh-CN"/>
                    </w:rPr>
                  </w:pPr>
                  <w:r>
                    <w:rPr>
                      <w:rFonts w:hint="eastAsia"/>
                      <w:color w:val="auto"/>
                      <w:lang w:eastAsia="zh-CN"/>
                    </w:rPr>
                    <w:t>1</w:t>
                  </w:r>
                  <w:r>
                    <w:rPr>
                      <w:color w:val="auto"/>
                      <w:lang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二级</w:t>
                  </w:r>
                  <w:r>
                    <w:rPr>
                      <w:color w:val="auto"/>
                    </w:rPr>
                    <w:t>AO</w:t>
                  </w:r>
                </w:p>
              </w:tc>
              <w:tc>
                <w:tcPr>
                  <w:tcW w:w="304" w:type="pct"/>
                  <w:vAlign w:val="center"/>
                </w:tcPr>
                <w:p>
                  <w:pPr>
                    <w:pStyle w:val="68"/>
                    <w:rPr>
                      <w:color w:val="auto"/>
                    </w:rPr>
                  </w:pPr>
                  <w:r>
                    <w:rPr>
                      <w:color w:val="auto"/>
                    </w:rPr>
                    <w:t>40</w:t>
                  </w:r>
                </w:p>
              </w:tc>
              <w:tc>
                <w:tcPr>
                  <w:tcW w:w="497" w:type="pct"/>
                  <w:vAlign w:val="center"/>
                </w:tcPr>
                <w:p>
                  <w:pPr>
                    <w:pStyle w:val="68"/>
                    <w:rPr>
                      <w:color w:val="auto"/>
                      <w:lang w:eastAsia="zh-CN"/>
                    </w:rPr>
                  </w:pPr>
                  <w:r>
                    <w:rPr>
                      <w:color w:val="auto"/>
                      <w:lang w:eastAsia="zh-CN"/>
                    </w:rPr>
                    <w:t>596.2</w:t>
                  </w:r>
                </w:p>
              </w:tc>
              <w:tc>
                <w:tcPr>
                  <w:tcW w:w="337" w:type="pct"/>
                  <w:vAlign w:val="center"/>
                </w:tcPr>
                <w:p>
                  <w:pPr>
                    <w:pStyle w:val="68"/>
                    <w:rPr>
                      <w:color w:val="auto"/>
                    </w:rPr>
                  </w:pPr>
                  <w:r>
                    <w:rPr>
                      <w:color w:val="auto"/>
                    </w:rPr>
                    <w:t>40</w:t>
                  </w:r>
                </w:p>
              </w:tc>
              <w:tc>
                <w:tcPr>
                  <w:tcW w:w="574" w:type="pct"/>
                  <w:vAlign w:val="center"/>
                </w:tcPr>
                <w:p>
                  <w:pPr>
                    <w:pStyle w:val="68"/>
                    <w:rPr>
                      <w:color w:val="auto"/>
                      <w:lang w:eastAsia="zh-CN"/>
                    </w:rPr>
                  </w:pPr>
                  <w:r>
                    <w:rPr>
                      <w:color w:val="auto"/>
                      <w:lang w:eastAsia="zh-CN"/>
                    </w:rPr>
                    <w:t>322.6</w:t>
                  </w:r>
                </w:p>
              </w:tc>
              <w:tc>
                <w:tcPr>
                  <w:tcW w:w="330" w:type="pct"/>
                  <w:vAlign w:val="center"/>
                </w:tcPr>
                <w:p>
                  <w:pPr>
                    <w:pStyle w:val="68"/>
                    <w:rPr>
                      <w:color w:val="auto"/>
                    </w:rPr>
                  </w:pPr>
                  <w:r>
                    <w:rPr>
                      <w:color w:val="auto"/>
                    </w:rPr>
                    <w:t>30</w:t>
                  </w:r>
                </w:p>
              </w:tc>
              <w:tc>
                <w:tcPr>
                  <w:tcW w:w="581" w:type="pct"/>
                  <w:vAlign w:val="center"/>
                </w:tcPr>
                <w:p>
                  <w:pPr>
                    <w:pStyle w:val="68"/>
                    <w:rPr>
                      <w:color w:val="auto"/>
                      <w:lang w:eastAsia="zh-CN"/>
                    </w:rPr>
                  </w:pPr>
                  <w:r>
                    <w:rPr>
                      <w:color w:val="auto"/>
                      <w:lang w:eastAsia="zh-CN"/>
                    </w:rPr>
                    <w:t>36.3</w:t>
                  </w:r>
                </w:p>
              </w:tc>
              <w:tc>
                <w:tcPr>
                  <w:tcW w:w="455" w:type="pct"/>
                  <w:vAlign w:val="center"/>
                </w:tcPr>
                <w:p>
                  <w:pPr>
                    <w:pStyle w:val="68"/>
                    <w:rPr>
                      <w:color w:val="auto"/>
                    </w:rPr>
                  </w:pPr>
                  <w:r>
                    <w:rPr>
                      <w:rFonts w:hint="eastAsia"/>
                      <w:color w:val="auto"/>
                    </w:rPr>
                    <w:t>1</w:t>
                  </w:r>
                  <w:r>
                    <w:rPr>
                      <w:color w:val="auto"/>
                    </w:rPr>
                    <w:t>5</w:t>
                  </w:r>
                </w:p>
              </w:tc>
              <w:tc>
                <w:tcPr>
                  <w:tcW w:w="455" w:type="pct"/>
                  <w:vAlign w:val="center"/>
                </w:tcPr>
                <w:p>
                  <w:pPr>
                    <w:pStyle w:val="68"/>
                    <w:rPr>
                      <w:color w:val="auto"/>
                      <w:lang w:eastAsia="zh-CN"/>
                    </w:rPr>
                  </w:pPr>
                  <w:r>
                    <w:rPr>
                      <w:rFonts w:hint="eastAsia"/>
                      <w:color w:val="auto"/>
                      <w:lang w:eastAsia="zh-CN"/>
                    </w:rPr>
                    <w:t>6</w:t>
                  </w:r>
                  <w:r>
                    <w:rPr>
                      <w:color w:val="auto"/>
                      <w:lang w:eastAsia="zh-CN"/>
                    </w:rPr>
                    <w:t>.1</w:t>
                  </w:r>
                </w:p>
              </w:tc>
              <w:tc>
                <w:tcPr>
                  <w:tcW w:w="318" w:type="pct"/>
                  <w:vAlign w:val="center"/>
                </w:tcPr>
                <w:p>
                  <w:pPr>
                    <w:pStyle w:val="68"/>
                    <w:rPr>
                      <w:color w:val="auto"/>
                    </w:rPr>
                  </w:pPr>
                  <w:r>
                    <w:rPr>
                      <w:rFonts w:hint="eastAsia"/>
                      <w:color w:val="auto"/>
                    </w:rPr>
                    <w:t>1</w:t>
                  </w:r>
                  <w:r>
                    <w:rPr>
                      <w:color w:val="auto"/>
                    </w:rPr>
                    <w:t>0</w:t>
                  </w:r>
                </w:p>
              </w:tc>
              <w:tc>
                <w:tcPr>
                  <w:tcW w:w="589" w:type="pct"/>
                  <w:vAlign w:val="center"/>
                </w:tcPr>
                <w:p>
                  <w:pPr>
                    <w:pStyle w:val="68"/>
                    <w:rPr>
                      <w:color w:val="auto"/>
                      <w:lang w:eastAsia="zh-CN"/>
                    </w:rPr>
                  </w:pPr>
                  <w:r>
                    <w:rPr>
                      <w:rFonts w:hint="eastAsia"/>
                      <w:color w:val="auto"/>
                      <w:lang w:eastAsia="zh-CN"/>
                    </w:rPr>
                    <w:t>1</w:t>
                  </w:r>
                  <w:r>
                    <w:rPr>
                      <w:color w:val="auto"/>
                      <w:lang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color w:val="auto"/>
                    </w:rPr>
                    <w:t>MBR</w:t>
                  </w:r>
                </w:p>
              </w:tc>
              <w:tc>
                <w:tcPr>
                  <w:tcW w:w="304" w:type="pct"/>
                  <w:vAlign w:val="center"/>
                </w:tcPr>
                <w:p>
                  <w:pPr>
                    <w:pStyle w:val="68"/>
                    <w:rPr>
                      <w:color w:val="auto"/>
                    </w:rPr>
                  </w:pPr>
                  <w:r>
                    <w:rPr>
                      <w:rFonts w:hint="eastAsia"/>
                      <w:color w:val="auto"/>
                    </w:rPr>
                    <w:t>2</w:t>
                  </w:r>
                  <w:r>
                    <w:rPr>
                      <w:color w:val="auto"/>
                    </w:rPr>
                    <w:t>0</w:t>
                  </w:r>
                </w:p>
              </w:tc>
              <w:tc>
                <w:tcPr>
                  <w:tcW w:w="497" w:type="pct"/>
                  <w:vAlign w:val="center"/>
                </w:tcPr>
                <w:p>
                  <w:pPr>
                    <w:pStyle w:val="68"/>
                    <w:rPr>
                      <w:color w:val="auto"/>
                      <w:lang w:eastAsia="zh-CN"/>
                    </w:rPr>
                  </w:pPr>
                  <w:r>
                    <w:rPr>
                      <w:color w:val="auto"/>
                      <w:lang w:eastAsia="zh-CN"/>
                    </w:rPr>
                    <w:t>476.9</w:t>
                  </w:r>
                </w:p>
              </w:tc>
              <w:tc>
                <w:tcPr>
                  <w:tcW w:w="337" w:type="pct"/>
                  <w:vAlign w:val="center"/>
                </w:tcPr>
                <w:p>
                  <w:pPr>
                    <w:pStyle w:val="68"/>
                    <w:rPr>
                      <w:color w:val="auto"/>
                    </w:rPr>
                  </w:pPr>
                  <w:r>
                    <w:rPr>
                      <w:color w:val="auto"/>
                    </w:rPr>
                    <w:t>15</w:t>
                  </w:r>
                </w:p>
              </w:tc>
              <w:tc>
                <w:tcPr>
                  <w:tcW w:w="574" w:type="pct"/>
                  <w:vAlign w:val="center"/>
                </w:tcPr>
                <w:p>
                  <w:pPr>
                    <w:pStyle w:val="68"/>
                    <w:rPr>
                      <w:color w:val="auto"/>
                      <w:lang w:eastAsia="zh-CN"/>
                    </w:rPr>
                  </w:pPr>
                  <w:r>
                    <w:rPr>
                      <w:color w:val="auto"/>
                      <w:lang w:eastAsia="zh-CN"/>
                    </w:rPr>
                    <w:t>274.2</w:t>
                  </w:r>
                </w:p>
              </w:tc>
              <w:tc>
                <w:tcPr>
                  <w:tcW w:w="330" w:type="pct"/>
                  <w:vAlign w:val="center"/>
                </w:tcPr>
                <w:p>
                  <w:pPr>
                    <w:pStyle w:val="68"/>
                    <w:rPr>
                      <w:color w:val="auto"/>
                    </w:rPr>
                  </w:pPr>
                  <w:r>
                    <w:rPr>
                      <w:color w:val="auto"/>
                    </w:rPr>
                    <w:t>20</w:t>
                  </w:r>
                </w:p>
              </w:tc>
              <w:tc>
                <w:tcPr>
                  <w:tcW w:w="581" w:type="pct"/>
                  <w:vAlign w:val="center"/>
                </w:tcPr>
                <w:p>
                  <w:pPr>
                    <w:pStyle w:val="68"/>
                    <w:rPr>
                      <w:color w:val="auto"/>
                      <w:lang w:eastAsia="zh-CN"/>
                    </w:rPr>
                  </w:pPr>
                  <w:r>
                    <w:rPr>
                      <w:color w:val="auto"/>
                      <w:lang w:eastAsia="zh-CN"/>
                    </w:rPr>
                    <w:t>29</w:t>
                  </w:r>
                </w:p>
              </w:tc>
              <w:tc>
                <w:tcPr>
                  <w:tcW w:w="455" w:type="pct"/>
                  <w:vAlign w:val="center"/>
                </w:tcPr>
                <w:p>
                  <w:pPr>
                    <w:pStyle w:val="68"/>
                    <w:rPr>
                      <w:color w:val="auto"/>
                    </w:rPr>
                  </w:pPr>
                  <w:r>
                    <w:rPr>
                      <w:color w:val="auto"/>
                    </w:rPr>
                    <w:t>55</w:t>
                  </w:r>
                </w:p>
              </w:tc>
              <w:tc>
                <w:tcPr>
                  <w:tcW w:w="455" w:type="pct"/>
                  <w:vAlign w:val="center"/>
                </w:tcPr>
                <w:p>
                  <w:pPr>
                    <w:pStyle w:val="68"/>
                    <w:rPr>
                      <w:color w:val="auto"/>
                      <w:lang w:eastAsia="zh-CN"/>
                    </w:rPr>
                  </w:pPr>
                  <w:r>
                    <w:rPr>
                      <w:rFonts w:hint="eastAsia"/>
                      <w:color w:val="auto"/>
                      <w:lang w:eastAsia="zh-CN"/>
                    </w:rPr>
                    <w:t>2</w:t>
                  </w:r>
                  <w:r>
                    <w:rPr>
                      <w:color w:val="auto"/>
                      <w:lang w:eastAsia="zh-CN"/>
                    </w:rPr>
                    <w:t>.7</w:t>
                  </w:r>
                </w:p>
              </w:tc>
              <w:tc>
                <w:tcPr>
                  <w:tcW w:w="318" w:type="pct"/>
                  <w:vAlign w:val="center"/>
                </w:tcPr>
                <w:p>
                  <w:pPr>
                    <w:pStyle w:val="68"/>
                    <w:rPr>
                      <w:color w:val="auto"/>
                    </w:rPr>
                  </w:pPr>
                  <w:r>
                    <w:rPr>
                      <w:rFonts w:hint="eastAsia"/>
                      <w:color w:val="auto"/>
                    </w:rPr>
                    <w:t>9</w:t>
                  </w:r>
                  <w:r>
                    <w:rPr>
                      <w:color w:val="auto"/>
                    </w:rPr>
                    <w:t>0</w:t>
                  </w:r>
                </w:p>
              </w:tc>
              <w:tc>
                <w:tcPr>
                  <w:tcW w:w="589" w:type="pct"/>
                  <w:vAlign w:val="center"/>
                </w:tcPr>
                <w:p>
                  <w:pPr>
                    <w:pStyle w:val="68"/>
                    <w:rPr>
                      <w:color w:val="auto"/>
                      <w:lang w:eastAsia="zh-CN"/>
                    </w:rPr>
                  </w:pPr>
                  <w:r>
                    <w:rPr>
                      <w:rFonts w:hint="eastAsia"/>
                      <w:color w:val="auto"/>
                      <w:lang w:eastAsia="zh-CN"/>
                    </w:rPr>
                    <w:t>1</w:t>
                  </w:r>
                  <w:r>
                    <w:rPr>
                      <w:color w:val="auto"/>
                      <w:lang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清水池</w:t>
                  </w:r>
                </w:p>
              </w:tc>
              <w:tc>
                <w:tcPr>
                  <w:tcW w:w="801" w:type="pct"/>
                  <w:gridSpan w:val="2"/>
                  <w:vAlign w:val="center"/>
                </w:tcPr>
                <w:p>
                  <w:pPr>
                    <w:pStyle w:val="68"/>
                    <w:rPr>
                      <w:color w:val="auto"/>
                    </w:rPr>
                  </w:pPr>
                  <w:r>
                    <w:rPr>
                      <w:color w:val="auto"/>
                      <w:lang w:eastAsia="zh-CN"/>
                    </w:rPr>
                    <w:t>476.9</w:t>
                  </w:r>
                </w:p>
              </w:tc>
              <w:tc>
                <w:tcPr>
                  <w:tcW w:w="911" w:type="pct"/>
                  <w:gridSpan w:val="2"/>
                  <w:vAlign w:val="center"/>
                </w:tcPr>
                <w:p>
                  <w:pPr>
                    <w:pStyle w:val="68"/>
                    <w:rPr>
                      <w:color w:val="auto"/>
                    </w:rPr>
                  </w:pPr>
                  <w:r>
                    <w:rPr>
                      <w:color w:val="auto"/>
                      <w:lang w:eastAsia="zh-CN"/>
                    </w:rPr>
                    <w:t>274.2</w:t>
                  </w:r>
                </w:p>
              </w:tc>
              <w:tc>
                <w:tcPr>
                  <w:tcW w:w="911" w:type="pct"/>
                  <w:gridSpan w:val="2"/>
                  <w:vAlign w:val="center"/>
                </w:tcPr>
                <w:p>
                  <w:pPr>
                    <w:pStyle w:val="68"/>
                    <w:rPr>
                      <w:color w:val="auto"/>
                    </w:rPr>
                  </w:pPr>
                  <w:r>
                    <w:rPr>
                      <w:color w:val="auto"/>
                      <w:lang w:eastAsia="zh-CN"/>
                    </w:rPr>
                    <w:t>29</w:t>
                  </w:r>
                </w:p>
              </w:tc>
              <w:tc>
                <w:tcPr>
                  <w:tcW w:w="910" w:type="pct"/>
                  <w:gridSpan w:val="2"/>
                  <w:vAlign w:val="center"/>
                </w:tcPr>
                <w:p>
                  <w:pPr>
                    <w:pStyle w:val="68"/>
                    <w:rPr>
                      <w:color w:val="auto"/>
                    </w:rPr>
                  </w:pPr>
                  <w:r>
                    <w:rPr>
                      <w:rFonts w:hint="eastAsia"/>
                      <w:color w:val="auto"/>
                      <w:lang w:eastAsia="zh-CN"/>
                    </w:rPr>
                    <w:t>2</w:t>
                  </w:r>
                  <w:r>
                    <w:rPr>
                      <w:color w:val="auto"/>
                      <w:lang w:eastAsia="zh-CN"/>
                    </w:rPr>
                    <w:t>.7</w:t>
                  </w:r>
                </w:p>
              </w:tc>
              <w:tc>
                <w:tcPr>
                  <w:tcW w:w="907" w:type="pct"/>
                  <w:gridSpan w:val="2"/>
                  <w:vAlign w:val="center"/>
                </w:tcPr>
                <w:p>
                  <w:pPr>
                    <w:pStyle w:val="68"/>
                    <w:rPr>
                      <w:color w:val="auto"/>
                    </w:rPr>
                  </w:pPr>
                  <w:r>
                    <w:rPr>
                      <w:rFonts w:hint="eastAsia"/>
                      <w:color w:val="auto"/>
                      <w:lang w:eastAsia="zh-CN"/>
                    </w:rPr>
                    <w:t>1</w:t>
                  </w:r>
                  <w:r>
                    <w:rPr>
                      <w:color w:val="auto"/>
                      <w:lang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执行标准</w:t>
                  </w:r>
                </w:p>
              </w:tc>
              <w:tc>
                <w:tcPr>
                  <w:tcW w:w="801" w:type="pct"/>
                  <w:gridSpan w:val="2"/>
                  <w:vAlign w:val="center"/>
                </w:tcPr>
                <w:p>
                  <w:pPr>
                    <w:pStyle w:val="68"/>
                    <w:rPr>
                      <w:color w:val="auto"/>
                    </w:rPr>
                  </w:pPr>
                  <w:r>
                    <w:rPr>
                      <w:rFonts w:hint="eastAsia"/>
                      <w:color w:val="auto"/>
                    </w:rPr>
                    <w:t>5</w:t>
                  </w:r>
                  <w:r>
                    <w:rPr>
                      <w:color w:val="auto"/>
                    </w:rPr>
                    <w:t>00</w:t>
                  </w:r>
                </w:p>
              </w:tc>
              <w:tc>
                <w:tcPr>
                  <w:tcW w:w="911" w:type="pct"/>
                  <w:gridSpan w:val="2"/>
                  <w:vAlign w:val="center"/>
                </w:tcPr>
                <w:p>
                  <w:pPr>
                    <w:pStyle w:val="68"/>
                    <w:rPr>
                      <w:color w:val="auto"/>
                    </w:rPr>
                  </w:pPr>
                  <w:r>
                    <w:rPr>
                      <w:rFonts w:hint="eastAsia"/>
                      <w:color w:val="auto"/>
                    </w:rPr>
                    <w:t>3</w:t>
                  </w:r>
                  <w:r>
                    <w:rPr>
                      <w:color w:val="auto"/>
                    </w:rPr>
                    <w:t>00</w:t>
                  </w:r>
                </w:p>
              </w:tc>
              <w:tc>
                <w:tcPr>
                  <w:tcW w:w="911" w:type="pct"/>
                  <w:gridSpan w:val="2"/>
                  <w:vAlign w:val="center"/>
                </w:tcPr>
                <w:p>
                  <w:pPr>
                    <w:pStyle w:val="68"/>
                    <w:rPr>
                      <w:color w:val="auto"/>
                    </w:rPr>
                  </w:pPr>
                  <w:r>
                    <w:rPr>
                      <w:color w:val="auto"/>
                    </w:rPr>
                    <w:t>45</w:t>
                  </w:r>
                </w:p>
              </w:tc>
              <w:tc>
                <w:tcPr>
                  <w:tcW w:w="910" w:type="pct"/>
                  <w:gridSpan w:val="2"/>
                  <w:vAlign w:val="center"/>
                </w:tcPr>
                <w:p>
                  <w:pPr>
                    <w:pStyle w:val="68"/>
                    <w:rPr>
                      <w:color w:val="auto"/>
                    </w:rPr>
                  </w:pPr>
                  <w:r>
                    <w:rPr>
                      <w:rFonts w:hint="eastAsia"/>
                      <w:color w:val="auto"/>
                    </w:rPr>
                    <w:t>8</w:t>
                  </w:r>
                </w:p>
              </w:tc>
              <w:tc>
                <w:tcPr>
                  <w:tcW w:w="907" w:type="pct"/>
                  <w:gridSpan w:val="2"/>
                  <w:vAlign w:val="center"/>
                </w:tcPr>
                <w:p>
                  <w:pPr>
                    <w:pStyle w:val="68"/>
                    <w:rPr>
                      <w:color w:val="auto"/>
                    </w:rPr>
                  </w:pPr>
                  <w:r>
                    <w:rPr>
                      <w:rFonts w:hint="eastAsia"/>
                      <w:color w:val="auto"/>
                    </w:rPr>
                    <w:t>4</w:t>
                  </w:r>
                  <w:r>
                    <w:rPr>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pPr>
                    <w:pStyle w:val="68"/>
                    <w:rPr>
                      <w:color w:val="auto"/>
                    </w:rPr>
                  </w:pPr>
                  <w:r>
                    <w:rPr>
                      <w:rFonts w:hint="eastAsia"/>
                      <w:color w:val="auto"/>
                    </w:rPr>
                    <w:t>污染物排放量</w:t>
                  </w:r>
                </w:p>
              </w:tc>
              <w:tc>
                <w:tcPr>
                  <w:tcW w:w="801" w:type="pct"/>
                  <w:gridSpan w:val="2"/>
                  <w:vAlign w:val="center"/>
                </w:tcPr>
                <w:p>
                  <w:pPr>
                    <w:pStyle w:val="68"/>
                    <w:rPr>
                      <w:color w:val="auto"/>
                    </w:rPr>
                  </w:pPr>
                  <w:r>
                    <w:rPr>
                      <w:rFonts w:hint="eastAsia"/>
                      <w:color w:val="auto"/>
                      <w:lang w:val="en-US" w:eastAsia="zh-CN"/>
                    </w:rPr>
                    <w:t>3.580</w:t>
                  </w:r>
                  <w:r>
                    <w:rPr>
                      <w:rFonts w:hint="eastAsia"/>
                      <w:color w:val="auto"/>
                    </w:rPr>
                    <w:t>t/a</w:t>
                  </w:r>
                </w:p>
              </w:tc>
              <w:tc>
                <w:tcPr>
                  <w:tcW w:w="911" w:type="pct"/>
                  <w:gridSpan w:val="2"/>
                  <w:vAlign w:val="center"/>
                </w:tcPr>
                <w:p>
                  <w:pPr>
                    <w:pStyle w:val="68"/>
                    <w:rPr>
                      <w:color w:val="auto"/>
                    </w:rPr>
                  </w:pPr>
                  <w:r>
                    <w:rPr>
                      <w:rFonts w:hint="eastAsia"/>
                      <w:color w:val="auto"/>
                      <w:lang w:val="en-US" w:eastAsia="zh-CN"/>
                    </w:rPr>
                    <w:t>2.058</w:t>
                  </w:r>
                  <w:r>
                    <w:rPr>
                      <w:rFonts w:hint="eastAsia"/>
                      <w:color w:val="auto"/>
                    </w:rPr>
                    <w:t>t/a</w:t>
                  </w:r>
                </w:p>
              </w:tc>
              <w:tc>
                <w:tcPr>
                  <w:tcW w:w="911" w:type="pct"/>
                  <w:gridSpan w:val="2"/>
                  <w:vAlign w:val="center"/>
                </w:tcPr>
                <w:p>
                  <w:pPr>
                    <w:pStyle w:val="68"/>
                    <w:rPr>
                      <w:color w:val="auto"/>
                    </w:rPr>
                  </w:pPr>
                  <w:r>
                    <w:rPr>
                      <w:rFonts w:hint="eastAsia"/>
                      <w:color w:val="auto"/>
                      <w:lang w:val="en-US" w:eastAsia="zh-CN"/>
                    </w:rPr>
                    <w:t>0.218</w:t>
                  </w:r>
                  <w:r>
                    <w:rPr>
                      <w:rFonts w:hint="eastAsia"/>
                      <w:color w:val="auto"/>
                    </w:rPr>
                    <w:t>t/a</w:t>
                  </w:r>
                </w:p>
              </w:tc>
              <w:tc>
                <w:tcPr>
                  <w:tcW w:w="910" w:type="pct"/>
                  <w:gridSpan w:val="2"/>
                  <w:vAlign w:val="center"/>
                </w:tcPr>
                <w:p>
                  <w:pPr>
                    <w:pStyle w:val="68"/>
                    <w:rPr>
                      <w:color w:val="auto"/>
                    </w:rPr>
                  </w:pPr>
                  <w:r>
                    <w:rPr>
                      <w:rFonts w:hint="eastAsia"/>
                      <w:color w:val="auto"/>
                      <w:lang w:val="en-US" w:eastAsia="zh-CN"/>
                    </w:rPr>
                    <w:t>0.0203</w:t>
                  </w:r>
                  <w:r>
                    <w:rPr>
                      <w:rFonts w:hint="eastAsia"/>
                      <w:color w:val="auto"/>
                    </w:rPr>
                    <w:t>t/a</w:t>
                  </w:r>
                </w:p>
              </w:tc>
              <w:tc>
                <w:tcPr>
                  <w:tcW w:w="907" w:type="pct"/>
                  <w:gridSpan w:val="2"/>
                  <w:vAlign w:val="center"/>
                </w:tcPr>
                <w:p>
                  <w:pPr>
                    <w:pStyle w:val="68"/>
                    <w:rPr>
                      <w:color w:val="auto"/>
                    </w:rPr>
                  </w:pPr>
                  <w:r>
                    <w:rPr>
                      <w:rFonts w:hint="eastAsia"/>
                      <w:color w:val="auto"/>
                      <w:lang w:val="en-US" w:eastAsia="zh-CN"/>
                    </w:rPr>
                    <w:t>0.912</w:t>
                  </w:r>
                  <w:r>
                    <w:rPr>
                      <w:rFonts w:hint="eastAsia"/>
                      <w:color w:val="auto"/>
                    </w:rPr>
                    <w:t>t/a</w:t>
                  </w:r>
                </w:p>
              </w:tc>
            </w:tr>
          </w:tbl>
          <w:p>
            <w:pPr>
              <w:ind w:firstLine="480"/>
              <w:rPr>
                <w:color w:val="auto"/>
              </w:rPr>
            </w:pPr>
            <w:r>
              <w:rPr>
                <w:rFonts w:hint="eastAsia"/>
                <w:color w:val="auto"/>
              </w:rPr>
              <w:t>根据预测分析，项目废水</w:t>
            </w:r>
            <w:r>
              <w:rPr>
                <w:rFonts w:hint="eastAsia"/>
                <w:color w:val="auto"/>
                <w:shd w:val="clear" w:fill="FFFFFF"/>
              </w:rPr>
              <w:t>经</w:t>
            </w:r>
            <w:r>
              <w:rPr>
                <w:rFonts w:hint="eastAsia"/>
                <w:color w:val="auto"/>
              </w:rPr>
              <w:t>自建的一体化污水处理设施处理后出水满足《污水综合排放标准》（GB8978-1996）三级标准、《污水排入城镇下水道水质标准》（GB/T31962-2015）中B等级标准限值。</w:t>
            </w:r>
          </w:p>
          <w:p>
            <w:pPr>
              <w:ind w:firstLine="480"/>
              <w:rPr>
                <w:color w:val="auto"/>
              </w:rPr>
            </w:pPr>
            <w:r>
              <w:rPr>
                <w:rFonts w:hint="eastAsia"/>
                <w:color w:val="auto"/>
              </w:rPr>
              <w:t>项目污水处理设备目前是较成熟和普遍使用的污水处理设备，具有工艺操作简单，运转费用低，处理效果好，运行稳定等特点。是目前较为成熟的污水处理工艺，能有效地确保污水达标排放。项目运行期污水产生量</w:t>
            </w:r>
            <w:r>
              <w:rPr>
                <w:rFonts w:hint="eastAsia"/>
                <w:color w:val="auto"/>
                <w:lang w:val="en-US" w:eastAsia="zh-CN"/>
              </w:rPr>
              <w:t>约</w:t>
            </w:r>
            <w:r>
              <w:rPr>
                <w:rFonts w:hint="eastAsia"/>
                <w:color w:val="auto"/>
              </w:rPr>
              <w:t>为</w:t>
            </w:r>
            <w:r>
              <w:rPr>
                <w:rFonts w:hint="eastAsia"/>
                <w:color w:val="auto"/>
                <w:lang w:val="en-US" w:eastAsia="zh-CN"/>
              </w:rPr>
              <w:t>25.025</w:t>
            </w:r>
            <w:r>
              <w:rPr>
                <w:rFonts w:hint="eastAsia"/>
                <w:color w:val="auto"/>
              </w:rPr>
              <w:t>m</w:t>
            </w:r>
            <w:r>
              <w:rPr>
                <w:rFonts w:hint="eastAsia"/>
                <w:color w:val="auto"/>
                <w:vertAlign w:val="superscript"/>
              </w:rPr>
              <w:t>3</w:t>
            </w:r>
            <w:r>
              <w:rPr>
                <w:rFonts w:hint="eastAsia"/>
                <w:color w:val="auto"/>
              </w:rPr>
              <w:t>/d，考虑</w:t>
            </w:r>
            <w:r>
              <w:rPr>
                <w:color w:val="auto"/>
              </w:rPr>
              <w:t>2</w:t>
            </w:r>
            <w:r>
              <w:rPr>
                <w:rFonts w:hint="eastAsia"/>
                <w:color w:val="auto"/>
              </w:rPr>
              <w:t>0%的富余量，设计选用规模为</w:t>
            </w:r>
            <w:r>
              <w:rPr>
                <w:rFonts w:hint="eastAsia"/>
                <w:color w:val="auto"/>
                <w:lang w:val="en-US" w:eastAsia="zh-CN"/>
              </w:rPr>
              <w:t>31</w:t>
            </w:r>
            <w:r>
              <w:rPr>
                <w:rFonts w:hint="eastAsia"/>
                <w:color w:val="auto"/>
              </w:rPr>
              <w:t>m</w:t>
            </w:r>
            <w:r>
              <w:rPr>
                <w:rFonts w:hint="eastAsia"/>
                <w:color w:val="auto"/>
                <w:vertAlign w:val="superscript"/>
              </w:rPr>
              <w:t>3</w:t>
            </w:r>
            <w:r>
              <w:rPr>
                <w:rFonts w:hint="eastAsia"/>
                <w:color w:val="auto"/>
              </w:rPr>
              <w:t>/d，满足处理要求。本项目采用的污水</w:t>
            </w:r>
            <w:r>
              <w:rPr>
                <w:rFonts w:hint="eastAsia"/>
                <w:color w:val="auto"/>
                <w:lang w:eastAsia="zh-CN"/>
              </w:rPr>
              <w:t>处理工艺</w:t>
            </w:r>
            <w:r>
              <w:rPr>
                <w:rFonts w:hint="eastAsia"/>
                <w:color w:val="auto"/>
              </w:rPr>
              <w:t>也是《排污许可证申请与核发技术规范环境卫生管理业（HJ 1106-2020）》附录A 推荐的废水治理可行技术。</w:t>
            </w:r>
          </w:p>
          <w:p>
            <w:pPr>
              <w:ind w:firstLine="480"/>
              <w:rPr>
                <w:color w:val="auto"/>
              </w:rPr>
            </w:pPr>
            <w:r>
              <w:rPr>
                <w:rFonts w:hint="eastAsia"/>
                <w:color w:val="auto"/>
              </w:rPr>
              <w:t>综上，项目采用的污水处理工艺、处理规模均满足要求。</w:t>
            </w:r>
          </w:p>
          <w:p>
            <w:pPr>
              <w:pStyle w:val="84"/>
              <w:ind w:firstLine="482"/>
              <w:rPr>
                <w:color w:val="auto"/>
              </w:rPr>
            </w:pPr>
            <w:r>
              <w:rPr>
                <w:rFonts w:hint="eastAsia"/>
                <w:color w:val="auto"/>
              </w:rPr>
              <w:t>3</w:t>
            </w:r>
            <w:r>
              <w:rPr>
                <w:color w:val="auto"/>
              </w:rPr>
              <w:t>.</w:t>
            </w:r>
            <w:r>
              <w:rPr>
                <w:rFonts w:hint="eastAsia"/>
                <w:color w:val="auto"/>
              </w:rPr>
              <w:t>废水运输至彩云镇污水处理站处置的可行性</w:t>
            </w:r>
          </w:p>
          <w:p>
            <w:pPr>
              <w:ind w:firstLine="480"/>
              <w:rPr>
                <w:color w:val="auto"/>
              </w:rPr>
            </w:pPr>
            <w:r>
              <w:rPr>
                <w:rFonts w:hint="eastAsia"/>
                <w:color w:val="auto"/>
              </w:rPr>
              <w:t>根据现场踏勘，项目区周边暂无集镇污水管网，远期规划暂无相关污水管网建设方案，经建设单位与</w:t>
            </w:r>
            <w:r>
              <w:rPr>
                <w:rFonts w:hint="eastAsia"/>
                <w:color w:val="auto"/>
                <w:lang w:val="en-US" w:eastAsia="zh-CN"/>
              </w:rPr>
              <w:t>师宗县彩云镇人民政府</w:t>
            </w:r>
            <w:r>
              <w:rPr>
                <w:rFonts w:hint="eastAsia"/>
                <w:color w:val="auto"/>
              </w:rPr>
              <w:t>协商，由建设单位自行处置达到接管标准后，采用</w:t>
            </w:r>
            <w:r>
              <w:rPr>
                <w:rFonts w:hint="eastAsia"/>
                <w:color w:val="auto"/>
                <w:lang w:val="en-US" w:eastAsia="zh-CN"/>
              </w:rPr>
              <w:t>密闭</w:t>
            </w:r>
            <w:r>
              <w:rPr>
                <w:rFonts w:hint="eastAsia"/>
                <w:color w:val="auto"/>
              </w:rPr>
              <w:t>罐车运送至</w:t>
            </w:r>
            <w:r>
              <w:rPr>
                <w:rFonts w:hint="eastAsia"/>
                <w:color w:val="auto"/>
                <w:lang w:eastAsia="zh-CN"/>
              </w:rPr>
              <w:t>师宗县彩云镇污水处理站</w:t>
            </w:r>
            <w:r>
              <w:rPr>
                <w:rFonts w:hint="eastAsia"/>
                <w:color w:val="auto"/>
              </w:rPr>
              <w:t>。</w:t>
            </w:r>
          </w:p>
          <w:p>
            <w:pPr>
              <w:ind w:firstLine="480"/>
              <w:rPr>
                <w:color w:val="auto"/>
              </w:rPr>
            </w:pPr>
            <w:r>
              <w:rPr>
                <w:rFonts w:hint="eastAsia"/>
                <w:color w:val="auto"/>
              </w:rPr>
              <w:t>为此，建设单位</w:t>
            </w:r>
            <w:r>
              <w:rPr>
                <w:rFonts w:hint="eastAsia"/>
                <w:color w:val="auto"/>
                <w:lang w:val="en-US" w:eastAsia="zh-CN"/>
              </w:rPr>
              <w:t>拟</w:t>
            </w:r>
            <w:r>
              <w:rPr>
                <w:rFonts w:hint="eastAsia"/>
                <w:color w:val="auto"/>
              </w:rPr>
              <w:t>设置1</w:t>
            </w:r>
            <w:r>
              <w:rPr>
                <w:rFonts w:hint="eastAsia"/>
                <w:color w:val="auto"/>
                <w:lang w:val="en-US" w:eastAsia="zh-CN"/>
              </w:rPr>
              <w:t>座容积100</w:t>
            </w:r>
            <w:r>
              <w:rPr>
                <w:rFonts w:hint="eastAsia"/>
                <w:color w:val="auto"/>
              </w:rPr>
              <w:t>m³污水池</w:t>
            </w:r>
            <w:r>
              <w:rPr>
                <w:rFonts w:hint="eastAsia"/>
                <w:color w:val="auto"/>
                <w:lang w:val="en-US" w:eastAsia="zh-CN"/>
              </w:rPr>
              <w:t>用于污水暂存</w:t>
            </w:r>
            <w:r>
              <w:rPr>
                <w:rFonts w:hint="eastAsia"/>
                <w:color w:val="auto"/>
              </w:rPr>
              <w:t>，生产废水经项目区内自建一体化污水处理站处理</w:t>
            </w:r>
            <w:r>
              <w:rPr>
                <w:rFonts w:hint="eastAsia"/>
                <w:color w:val="auto"/>
                <w:shd w:val="clear" w:fill="FFFFFF"/>
              </w:rPr>
              <w:t>达</w:t>
            </w:r>
            <w:r>
              <w:rPr>
                <w:rFonts w:hint="eastAsia"/>
                <w:color w:val="auto"/>
              </w:rPr>
              <w:t>《污水综合排放标准》（GB8978-1996）三级标准、《污水排入城镇下水道水质标准》（GB/T 31962-2015）中B等级标准限值后，暂存污水池内，定期采用罐车运输。</w:t>
            </w:r>
          </w:p>
          <w:p>
            <w:pPr>
              <w:ind w:firstLine="480"/>
              <w:rPr>
                <w:color w:val="auto"/>
              </w:rPr>
            </w:pPr>
            <w:r>
              <w:rPr>
                <w:rFonts w:hint="eastAsia"/>
                <w:color w:val="auto"/>
              </w:rPr>
              <w:t>根据彩云镇村镇规划建设和生态环境保护服务中心出具的情况说明（详见附件7），师宗县彩云镇生活污水处理站设计处理规模为5</w:t>
            </w:r>
            <w:r>
              <w:rPr>
                <w:color w:val="auto"/>
              </w:rPr>
              <w:t>00</w:t>
            </w:r>
            <w:r>
              <w:rPr>
                <w:rFonts w:hint="eastAsia"/>
                <w:color w:val="auto"/>
              </w:rPr>
              <w:t>m³</w:t>
            </w:r>
            <w:r>
              <w:rPr>
                <w:color w:val="auto"/>
              </w:rPr>
              <w:t>/</w:t>
            </w:r>
            <w:r>
              <w:rPr>
                <w:rFonts w:hint="eastAsia"/>
                <w:color w:val="auto"/>
              </w:rPr>
              <w:t>d，污水处理站处理工艺为“格栅+调节+</w:t>
            </w:r>
            <w:r>
              <w:rPr>
                <w:color w:val="auto"/>
              </w:rPr>
              <w:t>A</w:t>
            </w:r>
            <w:r>
              <w:rPr>
                <w:color w:val="auto"/>
                <w:vertAlign w:val="superscript"/>
              </w:rPr>
              <w:t>2</w:t>
            </w:r>
            <w:r>
              <w:rPr>
                <w:color w:val="auto"/>
              </w:rPr>
              <w:t>/O+</w:t>
            </w:r>
            <w:r>
              <w:rPr>
                <w:rFonts w:hint="eastAsia"/>
                <w:color w:val="auto"/>
              </w:rPr>
              <w:t>消毒”现状处理规模为4</w:t>
            </w:r>
            <w:r>
              <w:rPr>
                <w:color w:val="auto"/>
              </w:rPr>
              <w:t>50</w:t>
            </w:r>
            <w:r>
              <w:rPr>
                <w:rFonts w:hint="eastAsia"/>
                <w:color w:val="auto"/>
              </w:rPr>
              <w:t>m³/d，尚有余量5</w:t>
            </w:r>
            <w:r>
              <w:rPr>
                <w:color w:val="auto"/>
              </w:rPr>
              <w:t>0</w:t>
            </w:r>
            <w:r>
              <w:rPr>
                <w:rFonts w:hint="eastAsia"/>
                <w:color w:val="auto"/>
              </w:rPr>
              <w:t>m³/d，本项目生产废水产生量</w:t>
            </w:r>
            <w:r>
              <w:rPr>
                <w:rFonts w:hint="eastAsia"/>
                <w:color w:val="auto"/>
                <w:lang w:val="en-US" w:eastAsia="zh-CN"/>
              </w:rPr>
              <w:t>约为25.025</w:t>
            </w:r>
            <w:r>
              <w:rPr>
                <w:rFonts w:hint="eastAsia"/>
                <w:color w:val="auto"/>
              </w:rPr>
              <w:t>m</w:t>
            </w:r>
            <w:r>
              <w:rPr>
                <w:rFonts w:hint="eastAsia"/>
                <w:color w:val="auto"/>
                <w:vertAlign w:val="superscript"/>
              </w:rPr>
              <w:t>3</w:t>
            </w:r>
            <w:r>
              <w:rPr>
                <w:rFonts w:hint="eastAsia"/>
                <w:color w:val="auto"/>
              </w:rPr>
              <w:t>/d，彩云镇生活污水处理站可以接纳本项目产生的废水。</w:t>
            </w:r>
          </w:p>
          <w:p>
            <w:pPr>
              <w:ind w:firstLine="480"/>
              <w:rPr>
                <w:color w:val="auto"/>
              </w:rPr>
            </w:pPr>
            <w:r>
              <w:rPr>
                <w:rFonts w:hint="eastAsia"/>
                <w:color w:val="auto"/>
              </w:rPr>
              <w:t>经现场踏勘，彩云镇污水处理站位于彩云集镇，距离本项目直线距离为1</w:t>
            </w:r>
            <w:r>
              <w:rPr>
                <w:color w:val="auto"/>
              </w:rPr>
              <w:t>.1</w:t>
            </w:r>
            <w:r>
              <w:rPr>
                <w:rFonts w:hint="eastAsia"/>
                <w:color w:val="auto"/>
              </w:rPr>
              <w:t>km，运输距离1</w:t>
            </w:r>
            <w:r>
              <w:rPr>
                <w:color w:val="auto"/>
              </w:rPr>
              <w:t>.56</w:t>
            </w:r>
            <w:r>
              <w:rPr>
                <w:rFonts w:hint="eastAsia"/>
                <w:color w:val="auto"/>
              </w:rPr>
              <w:t>km，本项目</w:t>
            </w:r>
            <w:r>
              <w:rPr>
                <w:rFonts w:hint="eastAsia"/>
                <w:color w:val="auto"/>
                <w:shd w:val="clear" w:fill="FFFFFF"/>
              </w:rPr>
              <w:t>至</w:t>
            </w:r>
            <w:r>
              <w:rPr>
                <w:rFonts w:hint="eastAsia"/>
                <w:color w:val="auto"/>
              </w:rPr>
              <w:t>污水站运输道路为项目东侧</w:t>
            </w:r>
            <w:r>
              <w:rPr>
                <w:rFonts w:hint="eastAsia"/>
                <w:color w:val="auto"/>
                <w:shd w:val="clear" w:fill="FFFFFF"/>
              </w:rPr>
              <w:t>乡</w:t>
            </w:r>
            <w:r>
              <w:rPr>
                <w:rFonts w:hint="eastAsia"/>
                <w:color w:val="auto"/>
              </w:rPr>
              <w:t>道，经</w:t>
            </w:r>
            <w:r>
              <w:rPr>
                <w:rFonts w:hint="eastAsia"/>
                <w:color w:val="auto"/>
                <w:shd w:val="clear" w:fill="FFFFFF"/>
              </w:rPr>
              <w:t>乡</w:t>
            </w:r>
            <w:r>
              <w:rPr>
                <w:rFonts w:hint="eastAsia"/>
                <w:color w:val="auto"/>
              </w:rPr>
              <w:t>道向东接入S</w:t>
            </w:r>
            <w:r>
              <w:rPr>
                <w:color w:val="auto"/>
              </w:rPr>
              <w:t>311</w:t>
            </w:r>
            <w:r>
              <w:rPr>
                <w:rFonts w:hint="eastAsia"/>
                <w:color w:val="auto"/>
              </w:rPr>
              <w:t>省道，交通便利，运输具有可行性。建设单位拟设置1辆运输罐车，容积为1</w:t>
            </w:r>
            <w:r>
              <w:rPr>
                <w:color w:val="auto"/>
              </w:rPr>
              <w:t>5</w:t>
            </w:r>
            <w:r>
              <w:rPr>
                <w:rFonts w:hint="eastAsia"/>
                <w:color w:val="auto"/>
              </w:rPr>
              <w:t>m³，每天清运</w:t>
            </w:r>
            <w:r>
              <w:rPr>
                <w:rFonts w:hint="eastAsia"/>
                <w:color w:val="auto"/>
                <w:lang w:val="en-US" w:eastAsia="zh-CN"/>
              </w:rPr>
              <w:t>2</w:t>
            </w:r>
            <w:r>
              <w:rPr>
                <w:rFonts w:hint="eastAsia"/>
                <w:color w:val="auto"/>
              </w:rPr>
              <w:t>次即可将废水运至彩云镇污水处理站。</w:t>
            </w:r>
          </w:p>
          <w:p>
            <w:pPr>
              <w:ind w:firstLine="480"/>
              <w:rPr>
                <w:color w:val="auto"/>
              </w:rPr>
            </w:pPr>
            <w:r>
              <w:rPr>
                <w:rFonts w:hint="eastAsia"/>
                <w:color w:val="auto"/>
              </w:rPr>
              <w:t>如遇特殊情况，本项目设置的污水池可以连续暂存</w:t>
            </w:r>
            <w:r>
              <w:rPr>
                <w:rFonts w:hint="eastAsia"/>
                <w:color w:val="auto"/>
                <w:lang w:val="en-US" w:eastAsia="zh-CN"/>
              </w:rPr>
              <w:t>3</w:t>
            </w:r>
            <w:r>
              <w:rPr>
                <w:rFonts w:hint="eastAsia"/>
                <w:color w:val="auto"/>
              </w:rPr>
              <w:t>天的生产废水。</w:t>
            </w:r>
          </w:p>
          <w:p>
            <w:pPr>
              <w:ind w:firstLine="480"/>
              <w:rPr>
                <w:color w:val="auto"/>
              </w:rPr>
            </w:pPr>
            <w:r>
              <w:rPr>
                <w:rFonts w:hint="eastAsia"/>
                <w:color w:val="auto"/>
              </w:rPr>
              <w:t>由于罐车运送废水的特殊性和不确定性，本次环评提出：</w:t>
            </w:r>
          </w:p>
          <w:p>
            <w:pPr>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建立罐车运输台账和交接台账，制定明确的清运流程和操作规范。</w:t>
            </w:r>
          </w:p>
          <w:p>
            <w:pPr>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按照每日、每周、每月等不同的时间框架，制定相应的污水清运计划和排污计划。</w:t>
            </w:r>
          </w:p>
          <w:p>
            <w:pPr>
              <w:ind w:firstLine="48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清运过程中应进行必要的防护措施，确保清运过程中不会对环境造成二次污染。</w:t>
            </w:r>
          </w:p>
          <w:p>
            <w:pPr>
              <w:ind w:firstLine="48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污水清运完成后，应对清运的污水进行必要的记录和报告，包括清运数量、清运时间、清运去向等内容。</w:t>
            </w:r>
          </w:p>
          <w:p>
            <w:pPr>
              <w:ind w:firstLine="48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应配备符合要求的污水清运设备，确保清运过程的安全和高效。</w:t>
            </w:r>
          </w:p>
          <w:p>
            <w:pPr>
              <w:ind w:firstLine="48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清运设备应定期进行检修和维护，确保设备的正常运行。</w:t>
            </w:r>
          </w:p>
          <w:p>
            <w:pPr>
              <w:ind w:firstLine="48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清运人员应按照相关规定进行培训，具备清运操作技能和安全意识。</w:t>
            </w:r>
          </w:p>
          <w:p>
            <w:pPr>
              <w:ind w:firstLine="480"/>
              <w:rPr>
                <w:color w:val="auto"/>
              </w:rPr>
            </w:pPr>
            <w:r>
              <w:rPr>
                <w:rFonts w:hint="eastAsia"/>
                <w:color w:val="auto"/>
              </w:rPr>
              <w:t>综上，本项目生产废水采用罐车运至彩云镇污水处理站是可行的。</w:t>
            </w:r>
          </w:p>
          <w:p>
            <w:pPr>
              <w:pStyle w:val="61"/>
              <w:spacing w:before="60" w:after="60"/>
              <w:rPr>
                <w:color w:val="auto"/>
              </w:rPr>
            </w:pPr>
            <w:r>
              <w:rPr>
                <w:rFonts w:hint="eastAsia"/>
                <w:color w:val="auto"/>
              </w:rPr>
              <w:t>4.2.3噪声环境影响和保护措施</w:t>
            </w:r>
          </w:p>
          <w:p>
            <w:pPr>
              <w:pStyle w:val="75"/>
              <w:rPr>
                <w:color w:val="auto"/>
              </w:rPr>
            </w:pPr>
            <w:r>
              <w:rPr>
                <w:rFonts w:hint="eastAsia"/>
                <w:color w:val="auto"/>
              </w:rPr>
              <w:t>4.2.3.1</w:t>
            </w:r>
            <w:r>
              <w:rPr>
                <w:color w:val="auto"/>
              </w:rPr>
              <w:t>预测模型</w:t>
            </w:r>
          </w:p>
          <w:p>
            <w:pPr>
              <w:ind w:firstLine="480"/>
              <w:rPr>
                <w:color w:val="auto"/>
              </w:rPr>
            </w:pPr>
            <w:r>
              <w:rPr>
                <w:color w:val="auto"/>
              </w:rPr>
              <w:t>根据项目建设内容及《环境影响评价技术导则-声环境》（HJ2.4-2021）的要求，项目环评采用的模型为《环境影响评价技术导则 声环境》</w:t>
            </w:r>
            <w:r>
              <w:rPr>
                <w:rFonts w:hint="eastAsia"/>
                <w:color w:val="auto"/>
                <w:lang w:eastAsia="zh-CN"/>
              </w:rPr>
              <w:t>（</w:t>
            </w:r>
            <w:r>
              <w:rPr>
                <w:color w:val="auto"/>
              </w:rPr>
              <w:t>HJ2.4.2021</w:t>
            </w:r>
            <w:r>
              <w:rPr>
                <w:rFonts w:hint="eastAsia"/>
                <w:color w:val="auto"/>
                <w:lang w:eastAsia="zh-CN"/>
              </w:rPr>
              <w:t>）</w:t>
            </w:r>
            <w:r>
              <w:rPr>
                <w:color w:val="auto"/>
              </w:rPr>
              <w:t>附录A（规范性附录）户外声传播的衰减和附录B（规范性附录）中“B.1工业噪声预测计算模型”。</w:t>
            </w:r>
          </w:p>
          <w:p>
            <w:pPr>
              <w:pStyle w:val="75"/>
              <w:rPr>
                <w:color w:val="auto"/>
              </w:rPr>
            </w:pPr>
            <w:r>
              <w:rPr>
                <w:rFonts w:hint="eastAsia"/>
                <w:color w:val="auto"/>
              </w:rPr>
              <w:t>4.2.3.2</w:t>
            </w:r>
            <w:r>
              <w:rPr>
                <w:color w:val="auto"/>
              </w:rPr>
              <w:t>预测参数</w:t>
            </w:r>
          </w:p>
          <w:p>
            <w:pPr>
              <w:ind w:firstLine="480"/>
              <w:rPr>
                <w:color w:val="auto"/>
              </w:rPr>
            </w:pPr>
            <w:r>
              <w:rPr>
                <w:color w:val="auto"/>
              </w:rPr>
              <w:t>根据工程分析，各声源噪声强度、治理措施见下表。</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left="0" w:leftChars="0" w:firstLine="0" w:firstLineChars="0"/>
              <w:rPr>
                <w:color w:val="auto"/>
              </w:rPr>
            </w:pPr>
          </w:p>
        </w:tc>
      </w:tr>
    </w:tbl>
    <w:p>
      <w:pPr>
        <w:adjustRightInd w:val="0"/>
        <w:snapToGrid w:val="0"/>
        <w:ind w:firstLine="562"/>
        <w:rPr>
          <w:rFonts w:ascii="宋体" w:cs="宋体"/>
          <w:b/>
          <w:color w:val="auto"/>
          <w:kern w:val="0"/>
          <w:sz w:val="28"/>
          <w:szCs w:val="28"/>
        </w:rPr>
      </w:pPr>
      <w:r>
        <w:rPr>
          <w:rFonts w:ascii="宋体" w:cs="宋体"/>
          <w:b/>
          <w:color w:val="auto"/>
          <w:kern w:val="0"/>
          <w:sz w:val="28"/>
          <w:szCs w:val="28"/>
        </w:rPr>
        <w:br w:type="page"/>
      </w:r>
    </w:p>
    <w:p>
      <w:pPr>
        <w:adjustRightInd w:val="0"/>
        <w:snapToGrid w:val="0"/>
        <w:ind w:firstLine="562"/>
        <w:rPr>
          <w:rFonts w:ascii="宋体" w:cs="宋体"/>
          <w:b/>
          <w:color w:val="auto"/>
          <w:kern w:val="0"/>
          <w:sz w:val="28"/>
          <w:szCs w:val="28"/>
        </w:rPr>
        <w:sectPr>
          <w:pgSz w:w="11907" w:h="16840"/>
          <w:pgMar w:top="1440" w:right="1800" w:bottom="1440" w:left="1800" w:header="340" w:footer="850" w:gutter="0"/>
          <w:cols w:space="720" w:num="1"/>
          <w:docGrid w:linePitch="326"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 w:type="pct"/>
            <w:vAlign w:val="center"/>
          </w:tcPr>
          <w:p>
            <w:pPr>
              <w:adjustRightInd w:val="0"/>
              <w:snapToGrid w:val="0"/>
              <w:ind w:firstLine="0" w:firstLineChars="0"/>
              <w:jc w:val="center"/>
              <w:rPr>
                <w:rFonts w:ascii="宋体" w:cs="宋体"/>
                <w:color w:val="auto"/>
                <w:kern w:val="0"/>
              </w:rPr>
            </w:pPr>
            <w:r>
              <w:rPr>
                <w:rFonts w:hint="eastAsia" w:ascii="宋体" w:cs="宋体"/>
                <w:color w:val="auto"/>
                <w:kern w:val="0"/>
              </w:rPr>
              <w:t>运营期环境影响和保护措施</w:t>
            </w:r>
          </w:p>
        </w:tc>
        <w:tc>
          <w:tcPr>
            <w:tcW w:w="4920" w:type="pct"/>
          </w:tcPr>
          <w:p>
            <w:pPr>
              <w:pStyle w:val="71"/>
              <w:rPr>
                <w:color w:val="auto"/>
              </w:rPr>
            </w:pPr>
            <w:r>
              <w:rPr>
                <w:rFonts w:hint="eastAsia"/>
                <w:color w:val="auto"/>
              </w:rPr>
              <w:t>表4</w:t>
            </w:r>
            <w:r>
              <w:rPr>
                <w:color w:val="auto"/>
              </w:rPr>
              <w:t>.2-</w:t>
            </w:r>
            <w:r>
              <w:rPr>
                <w:rFonts w:hint="eastAsia"/>
                <w:color w:val="auto"/>
                <w:lang w:val="en-US" w:eastAsia="zh-CN"/>
              </w:rPr>
              <w:t>22</w:t>
            </w:r>
            <w:r>
              <w:rPr>
                <w:color w:val="auto"/>
              </w:rPr>
              <w:t xml:space="preserve"> </w:t>
            </w:r>
            <w:r>
              <w:rPr>
                <w:rFonts w:hint="eastAsia"/>
                <w:color w:val="auto"/>
              </w:rPr>
              <w:t>室外声源一览表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241"/>
              <w:gridCol w:w="886"/>
              <w:gridCol w:w="931"/>
              <w:gridCol w:w="931"/>
              <w:gridCol w:w="688"/>
              <w:gridCol w:w="2623"/>
              <w:gridCol w:w="3791"/>
              <w:gridCol w:w="293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 w:type="pct"/>
                  <w:vMerge w:val="restart"/>
                  <w:vAlign w:val="center"/>
                </w:tcPr>
                <w:p>
                  <w:pPr>
                    <w:pStyle w:val="68"/>
                    <w:rPr>
                      <w:b/>
                      <w:bCs/>
                      <w:color w:val="auto"/>
                    </w:rPr>
                  </w:pPr>
                  <w:r>
                    <w:rPr>
                      <w:b/>
                      <w:bCs/>
                      <w:color w:val="auto"/>
                    </w:rPr>
                    <w:t>序号</w:t>
                  </w:r>
                </w:p>
              </w:tc>
              <w:tc>
                <w:tcPr>
                  <w:tcW w:w="645" w:type="pct"/>
                  <w:vMerge w:val="restart"/>
                  <w:vAlign w:val="center"/>
                </w:tcPr>
                <w:p>
                  <w:pPr>
                    <w:pStyle w:val="68"/>
                    <w:rPr>
                      <w:b/>
                      <w:bCs/>
                      <w:color w:val="auto"/>
                    </w:rPr>
                  </w:pPr>
                  <w:r>
                    <w:rPr>
                      <w:b/>
                      <w:bCs/>
                      <w:color w:val="auto"/>
                    </w:rPr>
                    <w:t>声源名称</w:t>
                  </w:r>
                </w:p>
              </w:tc>
              <w:tc>
                <w:tcPr>
                  <w:tcW w:w="255" w:type="pct"/>
                  <w:vMerge w:val="restart"/>
                  <w:vAlign w:val="center"/>
                </w:tcPr>
                <w:p>
                  <w:pPr>
                    <w:pStyle w:val="68"/>
                    <w:rPr>
                      <w:b/>
                      <w:bCs/>
                      <w:color w:val="auto"/>
                    </w:rPr>
                  </w:pPr>
                  <w:r>
                    <w:rPr>
                      <w:b/>
                      <w:bCs/>
                      <w:color w:val="auto"/>
                    </w:rPr>
                    <w:t>型号</w:t>
                  </w:r>
                </w:p>
              </w:tc>
              <w:tc>
                <w:tcPr>
                  <w:tcW w:w="734" w:type="pct"/>
                  <w:gridSpan w:val="3"/>
                  <w:vAlign w:val="center"/>
                </w:tcPr>
                <w:p>
                  <w:pPr>
                    <w:pStyle w:val="68"/>
                    <w:rPr>
                      <w:b/>
                      <w:bCs/>
                      <w:color w:val="auto"/>
                    </w:rPr>
                  </w:pPr>
                  <w:r>
                    <w:rPr>
                      <w:b/>
                      <w:bCs/>
                      <w:color w:val="auto"/>
                    </w:rPr>
                    <w:t>空间相对位置/m</w:t>
                  </w:r>
                </w:p>
              </w:tc>
              <w:tc>
                <w:tcPr>
                  <w:tcW w:w="1846" w:type="pct"/>
                  <w:gridSpan w:val="2"/>
                  <w:vAlign w:val="center"/>
                </w:tcPr>
                <w:p>
                  <w:pPr>
                    <w:pStyle w:val="68"/>
                    <w:rPr>
                      <w:b/>
                      <w:bCs/>
                      <w:color w:val="auto"/>
                    </w:rPr>
                  </w:pPr>
                  <w:r>
                    <w:rPr>
                      <w:b/>
                      <w:bCs/>
                      <w:color w:val="auto"/>
                    </w:rPr>
                    <w:t>声源源</w:t>
                  </w:r>
                  <w:r>
                    <w:rPr>
                      <w:b/>
                      <w:bCs/>
                      <w:color w:val="auto"/>
                      <w:shd w:val="clear" w:fill="FFFFFF"/>
                    </w:rPr>
                    <w:t>强</w:t>
                  </w:r>
                  <w:r>
                    <w:rPr>
                      <w:b/>
                      <w:bCs/>
                      <w:color w:val="auto"/>
                    </w:rPr>
                    <w:t>（任选一种）</w:t>
                  </w:r>
                </w:p>
              </w:tc>
              <w:tc>
                <w:tcPr>
                  <w:tcW w:w="844" w:type="pct"/>
                  <w:vMerge w:val="restart"/>
                  <w:vAlign w:val="center"/>
                </w:tcPr>
                <w:p>
                  <w:pPr>
                    <w:pStyle w:val="68"/>
                    <w:rPr>
                      <w:b/>
                      <w:bCs/>
                      <w:color w:val="auto"/>
                    </w:rPr>
                  </w:pPr>
                  <w:r>
                    <w:rPr>
                      <w:b/>
                      <w:bCs/>
                      <w:color w:val="auto"/>
                    </w:rPr>
                    <w:t>声源控制措施</w:t>
                  </w:r>
                </w:p>
              </w:tc>
              <w:tc>
                <w:tcPr>
                  <w:tcW w:w="421" w:type="pct"/>
                  <w:vMerge w:val="restart"/>
                  <w:vAlign w:val="center"/>
                </w:tcPr>
                <w:p>
                  <w:pPr>
                    <w:pStyle w:val="68"/>
                    <w:rPr>
                      <w:b/>
                      <w:bCs/>
                      <w:color w:val="auto"/>
                    </w:rPr>
                  </w:pPr>
                  <w:r>
                    <w:rPr>
                      <w:b/>
                      <w:bCs/>
                      <w:color w:val="auto"/>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5" w:type="pct"/>
                  <w:vMerge w:val="continue"/>
                  <w:shd w:val="clear" w:color="auto" w:fill="FFFFFF"/>
                  <w:vAlign w:val="center"/>
                </w:tcPr>
                <w:p>
                  <w:pPr>
                    <w:pStyle w:val="68"/>
                    <w:rPr>
                      <w:b/>
                      <w:bCs/>
                      <w:color w:val="auto"/>
                    </w:rPr>
                  </w:pPr>
                </w:p>
              </w:tc>
              <w:tc>
                <w:tcPr>
                  <w:tcW w:w="645" w:type="pct"/>
                  <w:vMerge w:val="continue"/>
                  <w:shd w:val="clear" w:color="auto" w:fill="FFFFFF"/>
                  <w:vAlign w:val="center"/>
                </w:tcPr>
                <w:p>
                  <w:pPr>
                    <w:pStyle w:val="68"/>
                    <w:rPr>
                      <w:b/>
                      <w:bCs/>
                      <w:color w:val="auto"/>
                    </w:rPr>
                  </w:pPr>
                </w:p>
              </w:tc>
              <w:tc>
                <w:tcPr>
                  <w:tcW w:w="255" w:type="pct"/>
                  <w:vMerge w:val="continue"/>
                  <w:shd w:val="clear" w:color="auto" w:fill="FFFFFF"/>
                  <w:vAlign w:val="center"/>
                </w:tcPr>
                <w:p>
                  <w:pPr>
                    <w:pStyle w:val="68"/>
                    <w:rPr>
                      <w:b/>
                      <w:bCs/>
                      <w:color w:val="auto"/>
                    </w:rPr>
                  </w:pPr>
                </w:p>
              </w:tc>
              <w:tc>
                <w:tcPr>
                  <w:tcW w:w="268" w:type="pct"/>
                  <w:shd w:val="clear" w:color="auto" w:fill="FFFFFF"/>
                  <w:vAlign w:val="center"/>
                </w:tcPr>
                <w:p>
                  <w:pPr>
                    <w:pStyle w:val="68"/>
                    <w:rPr>
                      <w:b/>
                      <w:bCs/>
                      <w:color w:val="auto"/>
                    </w:rPr>
                  </w:pPr>
                  <w:r>
                    <w:rPr>
                      <w:b/>
                      <w:bCs/>
                      <w:color w:val="auto"/>
                    </w:rPr>
                    <w:t>X</w:t>
                  </w:r>
                </w:p>
              </w:tc>
              <w:tc>
                <w:tcPr>
                  <w:tcW w:w="268" w:type="pct"/>
                  <w:shd w:val="clear" w:color="auto" w:fill="FFFFFF"/>
                  <w:vAlign w:val="center"/>
                </w:tcPr>
                <w:p>
                  <w:pPr>
                    <w:pStyle w:val="68"/>
                    <w:rPr>
                      <w:b/>
                      <w:bCs/>
                      <w:color w:val="auto"/>
                    </w:rPr>
                  </w:pPr>
                  <w:r>
                    <w:rPr>
                      <w:b/>
                      <w:bCs/>
                      <w:color w:val="auto"/>
                    </w:rPr>
                    <w:t>Y</w:t>
                  </w:r>
                </w:p>
              </w:tc>
              <w:tc>
                <w:tcPr>
                  <w:tcW w:w="198" w:type="pct"/>
                  <w:shd w:val="clear" w:color="auto" w:fill="FFFFFF"/>
                  <w:vAlign w:val="center"/>
                </w:tcPr>
                <w:p>
                  <w:pPr>
                    <w:pStyle w:val="68"/>
                    <w:rPr>
                      <w:b/>
                      <w:bCs/>
                      <w:color w:val="auto"/>
                    </w:rPr>
                  </w:pPr>
                  <w:r>
                    <w:rPr>
                      <w:b/>
                      <w:bCs/>
                      <w:color w:val="auto"/>
                    </w:rPr>
                    <w:t>Z</w:t>
                  </w:r>
                </w:p>
              </w:tc>
              <w:tc>
                <w:tcPr>
                  <w:tcW w:w="755" w:type="pct"/>
                  <w:shd w:val="clear" w:color="auto" w:fill="FFFFFF"/>
                  <w:vAlign w:val="center"/>
                </w:tcPr>
                <w:p>
                  <w:pPr>
                    <w:pStyle w:val="68"/>
                    <w:rPr>
                      <w:b/>
                      <w:bCs/>
                      <w:color w:val="auto"/>
                    </w:rPr>
                  </w:pPr>
                  <w:r>
                    <w:rPr>
                      <w:b/>
                      <w:bCs/>
                      <w:color w:val="auto"/>
                    </w:rPr>
                    <w:t>（声压级/距声源距离）/（dB(A)/m）</w:t>
                  </w:r>
                </w:p>
              </w:tc>
              <w:tc>
                <w:tcPr>
                  <w:tcW w:w="1091" w:type="pct"/>
                  <w:shd w:val="clear" w:color="auto" w:fill="FFFFFF"/>
                  <w:vAlign w:val="center"/>
                </w:tcPr>
                <w:p>
                  <w:pPr>
                    <w:pStyle w:val="68"/>
                    <w:rPr>
                      <w:b/>
                      <w:bCs/>
                      <w:color w:val="auto"/>
                    </w:rPr>
                  </w:pPr>
                  <w:r>
                    <w:rPr>
                      <w:b/>
                      <w:bCs/>
                      <w:color w:val="auto"/>
                    </w:rPr>
                    <w:t>声功率级/dB(A)</w:t>
                  </w:r>
                </w:p>
              </w:tc>
              <w:tc>
                <w:tcPr>
                  <w:tcW w:w="844" w:type="pct"/>
                  <w:vMerge w:val="continue"/>
                  <w:shd w:val="clear" w:color="auto" w:fill="FFFFFF"/>
                  <w:vAlign w:val="center"/>
                </w:tcPr>
                <w:p>
                  <w:pPr>
                    <w:pStyle w:val="68"/>
                    <w:rPr>
                      <w:color w:val="auto"/>
                    </w:rPr>
                  </w:pPr>
                </w:p>
              </w:tc>
              <w:tc>
                <w:tcPr>
                  <w:tcW w:w="421" w:type="pct"/>
                  <w:vMerge w:val="continue"/>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255" w:type="pct"/>
                  <w:shd w:val="clear" w:color="auto" w:fill="FFFFFF"/>
                  <w:vAlign w:val="center"/>
                </w:tcPr>
                <w:p>
                  <w:pPr>
                    <w:pStyle w:val="68"/>
                    <w:rPr>
                      <w:color w:val="auto"/>
                    </w:rPr>
                  </w:pPr>
                  <w:r>
                    <w:rPr>
                      <w:color w:val="auto"/>
                    </w:rPr>
                    <w:t>1</w:t>
                  </w:r>
                </w:p>
              </w:tc>
              <w:tc>
                <w:tcPr>
                  <w:tcW w:w="645" w:type="pct"/>
                  <w:shd w:val="clear" w:color="auto" w:fill="FFFFFF"/>
                  <w:vAlign w:val="center"/>
                </w:tcPr>
                <w:p>
                  <w:pPr>
                    <w:pStyle w:val="68"/>
                    <w:rPr>
                      <w:color w:val="auto"/>
                    </w:rPr>
                  </w:pPr>
                  <w:r>
                    <w:rPr>
                      <w:color w:val="auto"/>
                    </w:rPr>
                    <w:t>污水处理站风机</w:t>
                  </w:r>
                </w:p>
              </w:tc>
              <w:tc>
                <w:tcPr>
                  <w:tcW w:w="255" w:type="pct"/>
                  <w:shd w:val="clear" w:color="auto" w:fill="FFFFFF"/>
                  <w:vAlign w:val="center"/>
                </w:tcPr>
                <w:p>
                  <w:pPr>
                    <w:pStyle w:val="68"/>
                    <w:rPr>
                      <w:color w:val="auto"/>
                      <w:lang w:eastAsia="zh-CN"/>
                    </w:rPr>
                  </w:pPr>
                  <w:r>
                    <w:rPr>
                      <w:rFonts w:hint="eastAsia"/>
                      <w:color w:val="auto"/>
                      <w:lang w:eastAsia="zh-CN"/>
                    </w:rPr>
                    <w:t>/</w:t>
                  </w:r>
                </w:p>
              </w:tc>
              <w:tc>
                <w:tcPr>
                  <w:tcW w:w="268" w:type="pct"/>
                  <w:shd w:val="clear" w:color="auto" w:fill="FFFFFF"/>
                  <w:vAlign w:val="center"/>
                </w:tcPr>
                <w:p>
                  <w:pPr>
                    <w:pStyle w:val="68"/>
                    <w:rPr>
                      <w:color w:val="auto"/>
                    </w:rPr>
                  </w:pPr>
                  <w:r>
                    <w:rPr>
                      <w:color w:val="auto"/>
                    </w:rPr>
                    <w:t>-8.1</w:t>
                  </w:r>
                </w:p>
              </w:tc>
              <w:tc>
                <w:tcPr>
                  <w:tcW w:w="268" w:type="pct"/>
                  <w:shd w:val="clear" w:color="auto" w:fill="FFFFFF"/>
                  <w:vAlign w:val="center"/>
                </w:tcPr>
                <w:p>
                  <w:pPr>
                    <w:pStyle w:val="68"/>
                    <w:rPr>
                      <w:color w:val="auto"/>
                    </w:rPr>
                  </w:pPr>
                  <w:r>
                    <w:rPr>
                      <w:color w:val="auto"/>
                    </w:rPr>
                    <w:t>-11.1</w:t>
                  </w:r>
                </w:p>
              </w:tc>
              <w:tc>
                <w:tcPr>
                  <w:tcW w:w="198" w:type="pct"/>
                  <w:shd w:val="clear" w:color="auto" w:fill="FFFFFF"/>
                  <w:vAlign w:val="center"/>
                </w:tcPr>
                <w:p>
                  <w:pPr>
                    <w:pStyle w:val="68"/>
                    <w:rPr>
                      <w:color w:val="auto"/>
                    </w:rPr>
                  </w:pPr>
                  <w:r>
                    <w:rPr>
                      <w:color w:val="auto"/>
                    </w:rPr>
                    <w:t>1.2</w:t>
                  </w:r>
                </w:p>
              </w:tc>
              <w:tc>
                <w:tcPr>
                  <w:tcW w:w="755" w:type="pct"/>
                  <w:shd w:val="clear" w:color="auto" w:fill="FFFFFF"/>
                  <w:vAlign w:val="center"/>
                </w:tcPr>
                <w:p>
                  <w:pPr>
                    <w:pStyle w:val="68"/>
                    <w:rPr>
                      <w:color w:val="auto"/>
                      <w:lang w:eastAsia="zh-CN"/>
                    </w:rPr>
                  </w:pPr>
                  <w:r>
                    <w:rPr>
                      <w:rFonts w:hint="eastAsia"/>
                      <w:color w:val="auto"/>
                      <w:lang w:eastAsia="zh-CN"/>
                    </w:rPr>
                    <w:t>/</w:t>
                  </w:r>
                </w:p>
              </w:tc>
              <w:tc>
                <w:tcPr>
                  <w:tcW w:w="1091" w:type="pct"/>
                  <w:shd w:val="clear" w:color="auto" w:fill="FFFFFF"/>
                  <w:vAlign w:val="center"/>
                </w:tcPr>
                <w:p>
                  <w:pPr>
                    <w:pStyle w:val="68"/>
                    <w:rPr>
                      <w:color w:val="auto"/>
                    </w:rPr>
                  </w:pPr>
                  <w:r>
                    <w:rPr>
                      <w:color w:val="auto"/>
                    </w:rPr>
                    <w:t>110</w:t>
                  </w:r>
                </w:p>
              </w:tc>
              <w:tc>
                <w:tcPr>
                  <w:tcW w:w="844" w:type="pct"/>
                  <w:vMerge w:val="restart"/>
                  <w:shd w:val="clear" w:color="auto" w:fill="FFFFFF"/>
                  <w:vAlign w:val="center"/>
                </w:tcPr>
                <w:p>
                  <w:pPr>
                    <w:pStyle w:val="68"/>
                    <w:rPr>
                      <w:color w:val="auto"/>
                      <w:lang w:eastAsia="zh-CN"/>
                    </w:rPr>
                  </w:pPr>
                  <w:r>
                    <w:rPr>
                      <w:rFonts w:hint="eastAsia"/>
                      <w:color w:val="auto"/>
                      <w:lang w:eastAsia="zh-CN"/>
                    </w:rPr>
                    <w:t>基础减震、围墙隔声</w:t>
                  </w:r>
                </w:p>
              </w:tc>
              <w:tc>
                <w:tcPr>
                  <w:tcW w:w="421" w:type="pct"/>
                  <w:vMerge w:val="restart"/>
                  <w:shd w:val="clear" w:color="auto" w:fill="FFFFFF"/>
                  <w:vAlign w:val="center"/>
                </w:tcPr>
                <w:p>
                  <w:pPr>
                    <w:pStyle w:val="68"/>
                    <w:rPr>
                      <w:color w:val="auto"/>
                      <w:lang w:eastAsia="zh-CN"/>
                    </w:rPr>
                  </w:pPr>
                  <w:r>
                    <w:rPr>
                      <w:rFonts w:hint="eastAsia"/>
                      <w:color w:val="auto"/>
                      <w:lang w:eastAsia="zh-CN"/>
                    </w:rPr>
                    <w:t>9:</w:t>
                  </w:r>
                  <w:r>
                    <w:rPr>
                      <w:color w:val="auto"/>
                      <w:lang w:eastAsia="zh-CN"/>
                    </w:rPr>
                    <w:t>00-18</w:t>
                  </w:r>
                  <w:r>
                    <w:rPr>
                      <w:rFonts w:hint="eastAsia"/>
                      <w:color w:val="auto"/>
                      <w:lang w:eastAsia="zh-CN"/>
                    </w:rPr>
                    <w:t>:0</w:t>
                  </w:r>
                  <w:r>
                    <w:rPr>
                      <w:color w:val="auto"/>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0" w:hRule="atLeast"/>
              </w:trPr>
              <w:tc>
                <w:tcPr>
                  <w:tcW w:w="255" w:type="pct"/>
                  <w:shd w:val="clear" w:color="auto" w:fill="FFFFFF"/>
                  <w:vAlign w:val="center"/>
                </w:tcPr>
                <w:p>
                  <w:pPr>
                    <w:pStyle w:val="68"/>
                    <w:rPr>
                      <w:color w:val="auto"/>
                    </w:rPr>
                  </w:pPr>
                  <w:r>
                    <w:rPr>
                      <w:color w:val="auto"/>
                    </w:rPr>
                    <w:t>2</w:t>
                  </w:r>
                </w:p>
              </w:tc>
              <w:tc>
                <w:tcPr>
                  <w:tcW w:w="645" w:type="pct"/>
                  <w:shd w:val="clear" w:color="auto" w:fill="FFFFFF"/>
                  <w:vAlign w:val="center"/>
                </w:tcPr>
                <w:p>
                  <w:pPr>
                    <w:pStyle w:val="68"/>
                    <w:rPr>
                      <w:color w:val="auto"/>
                    </w:rPr>
                  </w:pPr>
                  <w:r>
                    <w:rPr>
                      <w:color w:val="auto"/>
                    </w:rPr>
                    <w:t>污水处理站</w:t>
                  </w:r>
                  <w:r>
                    <w:rPr>
                      <w:color w:val="auto"/>
                      <w:shd w:val="clear" w:fill="FFFFFF"/>
                    </w:rPr>
                    <w:t>泵</w:t>
                  </w:r>
                </w:p>
              </w:tc>
              <w:tc>
                <w:tcPr>
                  <w:tcW w:w="255" w:type="pct"/>
                  <w:shd w:val="clear" w:color="auto" w:fill="FFFFFF"/>
                  <w:vAlign w:val="center"/>
                </w:tcPr>
                <w:p>
                  <w:pPr>
                    <w:pStyle w:val="68"/>
                    <w:rPr>
                      <w:color w:val="auto"/>
                      <w:lang w:eastAsia="zh-CN"/>
                    </w:rPr>
                  </w:pPr>
                  <w:r>
                    <w:rPr>
                      <w:rFonts w:hint="eastAsia"/>
                      <w:color w:val="auto"/>
                      <w:lang w:eastAsia="zh-CN"/>
                    </w:rPr>
                    <w:t>/</w:t>
                  </w:r>
                </w:p>
              </w:tc>
              <w:tc>
                <w:tcPr>
                  <w:tcW w:w="268" w:type="pct"/>
                  <w:shd w:val="clear" w:color="auto" w:fill="FFFFFF"/>
                  <w:vAlign w:val="center"/>
                </w:tcPr>
                <w:p>
                  <w:pPr>
                    <w:pStyle w:val="68"/>
                    <w:rPr>
                      <w:color w:val="auto"/>
                    </w:rPr>
                  </w:pPr>
                  <w:r>
                    <w:rPr>
                      <w:color w:val="auto"/>
                    </w:rPr>
                    <w:t>-10.3</w:t>
                  </w:r>
                </w:p>
              </w:tc>
              <w:tc>
                <w:tcPr>
                  <w:tcW w:w="268" w:type="pct"/>
                  <w:shd w:val="clear" w:color="auto" w:fill="FFFFFF"/>
                  <w:vAlign w:val="center"/>
                </w:tcPr>
                <w:p>
                  <w:pPr>
                    <w:pStyle w:val="68"/>
                    <w:rPr>
                      <w:color w:val="auto"/>
                    </w:rPr>
                  </w:pPr>
                  <w:r>
                    <w:rPr>
                      <w:color w:val="auto"/>
                    </w:rPr>
                    <w:t>-9.2</w:t>
                  </w:r>
                </w:p>
              </w:tc>
              <w:tc>
                <w:tcPr>
                  <w:tcW w:w="198" w:type="pct"/>
                  <w:shd w:val="clear" w:color="auto" w:fill="FFFFFF"/>
                  <w:vAlign w:val="center"/>
                </w:tcPr>
                <w:p>
                  <w:pPr>
                    <w:pStyle w:val="68"/>
                    <w:rPr>
                      <w:color w:val="auto"/>
                    </w:rPr>
                  </w:pPr>
                  <w:r>
                    <w:rPr>
                      <w:color w:val="auto"/>
                    </w:rPr>
                    <w:t>1.2</w:t>
                  </w:r>
                </w:p>
              </w:tc>
              <w:tc>
                <w:tcPr>
                  <w:tcW w:w="755" w:type="pct"/>
                  <w:shd w:val="clear" w:color="auto" w:fill="FFFFFF"/>
                  <w:vAlign w:val="center"/>
                </w:tcPr>
                <w:p>
                  <w:pPr>
                    <w:pStyle w:val="68"/>
                    <w:rPr>
                      <w:color w:val="auto"/>
                      <w:lang w:eastAsia="zh-CN"/>
                    </w:rPr>
                  </w:pPr>
                  <w:r>
                    <w:rPr>
                      <w:rFonts w:hint="eastAsia"/>
                      <w:color w:val="auto"/>
                      <w:lang w:eastAsia="zh-CN"/>
                    </w:rPr>
                    <w:t>/</w:t>
                  </w:r>
                </w:p>
              </w:tc>
              <w:tc>
                <w:tcPr>
                  <w:tcW w:w="1091" w:type="pct"/>
                  <w:shd w:val="clear" w:color="auto" w:fill="FFFFFF"/>
                  <w:vAlign w:val="center"/>
                </w:tcPr>
                <w:p>
                  <w:pPr>
                    <w:pStyle w:val="68"/>
                    <w:rPr>
                      <w:color w:val="auto"/>
                    </w:rPr>
                  </w:pPr>
                  <w:r>
                    <w:rPr>
                      <w:color w:val="auto"/>
                    </w:rPr>
                    <w:t>110</w:t>
                  </w:r>
                </w:p>
              </w:tc>
              <w:tc>
                <w:tcPr>
                  <w:tcW w:w="844" w:type="pct"/>
                  <w:vMerge w:val="continue"/>
                  <w:shd w:val="clear" w:color="auto" w:fill="FFFFFF"/>
                  <w:vAlign w:val="center"/>
                </w:tcPr>
                <w:p>
                  <w:pPr>
                    <w:pStyle w:val="68"/>
                    <w:rPr>
                      <w:color w:val="auto"/>
                    </w:rPr>
                  </w:pPr>
                </w:p>
              </w:tc>
              <w:tc>
                <w:tcPr>
                  <w:tcW w:w="421" w:type="pct"/>
                  <w:vMerge w:val="continue"/>
                  <w:shd w:val="clear" w:color="auto" w:fill="FFFFFF"/>
                  <w:vAlign w:val="center"/>
                </w:tcPr>
                <w:p>
                  <w:pPr>
                    <w:pStyle w:val="68"/>
                    <w:rPr>
                      <w:color w:val="auto"/>
                    </w:rPr>
                  </w:pPr>
                </w:p>
              </w:tc>
            </w:tr>
          </w:tbl>
          <w:p>
            <w:pPr>
              <w:pStyle w:val="71"/>
              <w:rPr>
                <w:color w:val="auto"/>
              </w:rPr>
            </w:pPr>
            <w:r>
              <w:rPr>
                <w:rFonts w:hint="eastAsia"/>
                <w:color w:val="auto"/>
              </w:rPr>
              <w:t>表4</w:t>
            </w:r>
            <w:r>
              <w:rPr>
                <w:color w:val="auto"/>
              </w:rPr>
              <w:t>.2-2</w:t>
            </w:r>
            <w:r>
              <w:rPr>
                <w:rFonts w:hint="eastAsia"/>
                <w:color w:val="auto"/>
                <w:lang w:val="en-US" w:eastAsia="zh-CN"/>
              </w:rPr>
              <w:t xml:space="preserve">3 </w:t>
            </w:r>
            <w:r>
              <w:rPr>
                <w:color w:val="auto"/>
              </w:rPr>
              <w:t xml:space="preserve"> </w:t>
            </w:r>
            <w:r>
              <w:rPr>
                <w:rFonts w:hint="eastAsia"/>
                <w:color w:val="auto"/>
              </w:rPr>
              <w:t>室内声源一览表</w:t>
            </w:r>
          </w:p>
          <w:tbl>
            <w:tblPr>
              <w:tblStyle w:val="2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660"/>
              <w:gridCol w:w="792"/>
              <w:gridCol w:w="733"/>
              <w:gridCol w:w="622"/>
              <w:gridCol w:w="660"/>
              <w:gridCol w:w="664"/>
              <w:gridCol w:w="657"/>
              <w:gridCol w:w="827"/>
              <w:gridCol w:w="660"/>
              <w:gridCol w:w="827"/>
              <w:gridCol w:w="823"/>
              <w:gridCol w:w="827"/>
              <w:gridCol w:w="827"/>
              <w:gridCol w:w="757"/>
              <w:gridCol w:w="667"/>
              <w:gridCol w:w="664"/>
              <w:gridCol w:w="664"/>
              <w:gridCol w:w="664"/>
              <w:gridCol w:w="705"/>
              <w:gridCol w:w="681"/>
              <w:gridCol w:w="681"/>
              <w:gridCol w:w="681"/>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Merge w:val="restart"/>
                  <w:shd w:val="clear" w:color="auto" w:fill="auto"/>
                  <w:vAlign w:val="center"/>
                </w:tcPr>
                <w:p>
                  <w:pPr>
                    <w:pStyle w:val="68"/>
                    <w:rPr>
                      <w:b/>
                      <w:bCs/>
                      <w:color w:val="auto"/>
                    </w:rPr>
                  </w:pPr>
                  <w:bookmarkStart w:id="5" w:name="RANGE!I5"/>
                  <w:r>
                    <w:rPr>
                      <w:rFonts w:hint="eastAsia"/>
                      <w:b/>
                      <w:bCs/>
                      <w:color w:val="auto"/>
                    </w:rPr>
                    <w:t>声源名称</w:t>
                  </w:r>
                  <w:bookmarkEnd w:id="5"/>
                </w:p>
              </w:tc>
              <w:tc>
                <w:tcPr>
                  <w:tcW w:w="190" w:type="pct"/>
                  <w:vMerge w:val="restart"/>
                  <w:shd w:val="clear" w:color="auto" w:fill="auto"/>
                  <w:vAlign w:val="center"/>
                </w:tcPr>
                <w:p>
                  <w:pPr>
                    <w:pStyle w:val="68"/>
                    <w:rPr>
                      <w:b/>
                      <w:bCs/>
                      <w:color w:val="auto"/>
                    </w:rPr>
                  </w:pPr>
                  <w:r>
                    <w:rPr>
                      <w:rFonts w:hint="eastAsia"/>
                      <w:b/>
                      <w:bCs/>
                      <w:color w:val="auto"/>
                    </w:rPr>
                    <w:t>声功率级</w:t>
                  </w:r>
                  <w:r>
                    <w:rPr>
                      <w:b/>
                      <w:bCs/>
                      <w:color w:val="auto"/>
                    </w:rPr>
                    <w:t>/dB(A)</w:t>
                  </w:r>
                </w:p>
              </w:tc>
              <w:tc>
                <w:tcPr>
                  <w:tcW w:w="228" w:type="pct"/>
                  <w:vMerge w:val="restart"/>
                  <w:shd w:val="clear" w:color="auto" w:fill="auto"/>
                  <w:vAlign w:val="center"/>
                </w:tcPr>
                <w:p>
                  <w:pPr>
                    <w:pStyle w:val="68"/>
                    <w:rPr>
                      <w:b/>
                      <w:bCs/>
                      <w:color w:val="auto"/>
                    </w:rPr>
                  </w:pPr>
                  <w:r>
                    <w:rPr>
                      <w:rFonts w:hint="eastAsia"/>
                      <w:b/>
                      <w:bCs/>
                      <w:color w:val="auto"/>
                    </w:rPr>
                    <w:t>声源控制措施</w:t>
                  </w:r>
                </w:p>
              </w:tc>
              <w:tc>
                <w:tcPr>
                  <w:tcW w:w="580" w:type="pct"/>
                  <w:gridSpan w:val="3"/>
                  <w:shd w:val="clear" w:color="auto" w:fill="auto"/>
                  <w:vAlign w:val="center"/>
                </w:tcPr>
                <w:p>
                  <w:pPr>
                    <w:pStyle w:val="68"/>
                    <w:rPr>
                      <w:b/>
                      <w:bCs/>
                      <w:color w:val="auto"/>
                    </w:rPr>
                  </w:pPr>
                  <w:r>
                    <w:rPr>
                      <w:rFonts w:hint="eastAsia"/>
                      <w:b/>
                      <w:bCs/>
                      <w:color w:val="auto"/>
                    </w:rPr>
                    <w:t>空间相对位置</w:t>
                  </w:r>
                  <w:r>
                    <w:rPr>
                      <w:b/>
                      <w:bCs/>
                      <w:color w:val="auto"/>
                    </w:rPr>
                    <w:t>/m</w:t>
                  </w:r>
                </w:p>
              </w:tc>
              <w:tc>
                <w:tcPr>
                  <w:tcW w:w="808" w:type="pct"/>
                  <w:gridSpan w:val="4"/>
                  <w:shd w:val="clear" w:color="auto" w:fill="auto"/>
                  <w:vAlign w:val="center"/>
                </w:tcPr>
                <w:p>
                  <w:pPr>
                    <w:pStyle w:val="68"/>
                    <w:rPr>
                      <w:b/>
                      <w:bCs/>
                      <w:color w:val="auto"/>
                    </w:rPr>
                  </w:pPr>
                  <w:r>
                    <w:rPr>
                      <w:rFonts w:hint="eastAsia"/>
                      <w:b/>
                      <w:bCs/>
                      <w:color w:val="auto"/>
                    </w:rPr>
                    <w:t>距室内边界距离</w:t>
                  </w:r>
                  <w:r>
                    <w:rPr>
                      <w:b/>
                      <w:bCs/>
                      <w:color w:val="auto"/>
                    </w:rPr>
                    <w:t>/m</w:t>
                  </w:r>
                </w:p>
              </w:tc>
              <w:tc>
                <w:tcPr>
                  <w:tcW w:w="951" w:type="pct"/>
                  <w:gridSpan w:val="4"/>
                  <w:shd w:val="clear" w:color="auto" w:fill="auto"/>
                  <w:vAlign w:val="center"/>
                </w:tcPr>
                <w:p>
                  <w:pPr>
                    <w:pStyle w:val="68"/>
                    <w:rPr>
                      <w:b/>
                      <w:bCs/>
                      <w:color w:val="auto"/>
                    </w:rPr>
                  </w:pPr>
                  <w:r>
                    <w:rPr>
                      <w:rFonts w:hint="eastAsia"/>
                      <w:b/>
                      <w:bCs/>
                      <w:color w:val="auto"/>
                    </w:rPr>
                    <w:t>室内边界声级</w:t>
                  </w:r>
                  <w:r>
                    <w:rPr>
                      <w:b/>
                      <w:bCs/>
                      <w:color w:val="auto"/>
                    </w:rPr>
                    <w:t>/dB(A)</w:t>
                  </w:r>
                </w:p>
              </w:tc>
              <w:tc>
                <w:tcPr>
                  <w:tcW w:w="218" w:type="pct"/>
                  <w:vMerge w:val="restart"/>
                  <w:shd w:val="clear" w:color="auto" w:fill="auto"/>
                  <w:vAlign w:val="center"/>
                </w:tcPr>
                <w:p>
                  <w:pPr>
                    <w:pStyle w:val="68"/>
                    <w:rPr>
                      <w:b/>
                      <w:bCs/>
                      <w:color w:val="auto"/>
                    </w:rPr>
                  </w:pPr>
                  <w:r>
                    <w:rPr>
                      <w:rFonts w:hint="eastAsia"/>
                      <w:b/>
                      <w:bCs/>
                      <w:color w:val="auto"/>
                    </w:rPr>
                    <w:t>运行时段</w:t>
                  </w:r>
                </w:p>
              </w:tc>
              <w:tc>
                <w:tcPr>
                  <w:tcW w:w="765" w:type="pct"/>
                  <w:gridSpan w:val="4"/>
                  <w:shd w:val="clear" w:color="auto" w:fill="auto"/>
                  <w:vAlign w:val="center"/>
                </w:tcPr>
                <w:p>
                  <w:pPr>
                    <w:pStyle w:val="68"/>
                    <w:rPr>
                      <w:b/>
                      <w:bCs/>
                      <w:color w:val="auto"/>
                    </w:rPr>
                  </w:pPr>
                  <w:bookmarkStart w:id="6" w:name="RANGE!X5"/>
                  <w:r>
                    <w:rPr>
                      <w:rFonts w:hint="eastAsia"/>
                      <w:b/>
                      <w:bCs/>
                      <w:color w:val="auto"/>
                    </w:rPr>
                    <w:t>建筑物插入损失</w:t>
                  </w:r>
                  <w:r>
                    <w:rPr>
                      <w:b/>
                      <w:bCs/>
                      <w:color w:val="auto"/>
                    </w:rPr>
                    <w:t xml:space="preserve"> / dB(A)</w:t>
                  </w:r>
                  <w:bookmarkEnd w:id="6"/>
                </w:p>
              </w:tc>
              <w:tc>
                <w:tcPr>
                  <w:tcW w:w="1014" w:type="pct"/>
                  <w:gridSpan w:val="5"/>
                  <w:shd w:val="clear" w:color="auto" w:fill="auto"/>
                  <w:vAlign w:val="center"/>
                </w:tcPr>
                <w:p>
                  <w:pPr>
                    <w:pStyle w:val="68"/>
                    <w:rPr>
                      <w:b/>
                      <w:bCs/>
                      <w:color w:val="auto"/>
                    </w:rPr>
                  </w:pPr>
                  <w:r>
                    <w:rPr>
                      <w:rFonts w:hint="eastAsia"/>
                      <w:b/>
                      <w:bCs/>
                      <w:color w:val="auto"/>
                    </w:rPr>
                    <w:t>建筑物外噪声声压级</w:t>
                  </w:r>
                  <w:r>
                    <w:rPr>
                      <w:b/>
                      <w:bCs/>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vMerge w:val="continue"/>
                  <w:vAlign w:val="center"/>
                </w:tcPr>
                <w:p>
                  <w:pPr>
                    <w:pStyle w:val="68"/>
                    <w:rPr>
                      <w:b/>
                      <w:bCs/>
                      <w:color w:val="auto"/>
                    </w:rPr>
                  </w:pPr>
                </w:p>
              </w:tc>
              <w:tc>
                <w:tcPr>
                  <w:tcW w:w="190" w:type="pct"/>
                  <w:vMerge w:val="continue"/>
                  <w:shd w:val="clear" w:color="000000" w:fill="FFFFFF"/>
                  <w:vAlign w:val="center"/>
                </w:tcPr>
                <w:p>
                  <w:pPr>
                    <w:pStyle w:val="68"/>
                    <w:rPr>
                      <w:b/>
                      <w:bCs/>
                      <w:color w:val="auto"/>
                    </w:rPr>
                  </w:pPr>
                </w:p>
              </w:tc>
              <w:tc>
                <w:tcPr>
                  <w:tcW w:w="228" w:type="pct"/>
                  <w:vMerge w:val="continue"/>
                  <w:vAlign w:val="center"/>
                </w:tcPr>
                <w:p>
                  <w:pPr>
                    <w:pStyle w:val="68"/>
                    <w:rPr>
                      <w:b/>
                      <w:bCs/>
                      <w:color w:val="auto"/>
                    </w:rPr>
                  </w:pPr>
                </w:p>
              </w:tc>
              <w:tc>
                <w:tcPr>
                  <w:tcW w:w="211" w:type="pct"/>
                  <w:shd w:val="clear" w:color="000000" w:fill="FFFFFF"/>
                  <w:vAlign w:val="center"/>
                </w:tcPr>
                <w:p>
                  <w:pPr>
                    <w:pStyle w:val="68"/>
                    <w:rPr>
                      <w:rFonts w:eastAsia="等线"/>
                      <w:b/>
                      <w:bCs/>
                      <w:color w:val="auto"/>
                    </w:rPr>
                  </w:pPr>
                  <w:r>
                    <w:rPr>
                      <w:rFonts w:eastAsia="等线"/>
                      <w:b/>
                      <w:bCs/>
                      <w:color w:val="auto"/>
                    </w:rPr>
                    <w:t>X</w:t>
                  </w:r>
                </w:p>
              </w:tc>
              <w:tc>
                <w:tcPr>
                  <w:tcW w:w="179" w:type="pct"/>
                  <w:shd w:val="clear" w:color="000000" w:fill="FFFFFF"/>
                  <w:vAlign w:val="center"/>
                </w:tcPr>
                <w:p>
                  <w:pPr>
                    <w:pStyle w:val="68"/>
                    <w:rPr>
                      <w:rFonts w:eastAsia="等线"/>
                      <w:b/>
                      <w:bCs/>
                      <w:color w:val="auto"/>
                    </w:rPr>
                  </w:pPr>
                  <w:r>
                    <w:rPr>
                      <w:rFonts w:eastAsia="等线"/>
                      <w:b/>
                      <w:bCs/>
                      <w:color w:val="auto"/>
                    </w:rPr>
                    <w:t>Y</w:t>
                  </w:r>
                </w:p>
              </w:tc>
              <w:tc>
                <w:tcPr>
                  <w:tcW w:w="190" w:type="pct"/>
                  <w:shd w:val="clear" w:color="000000" w:fill="FFFFFF"/>
                  <w:vAlign w:val="center"/>
                </w:tcPr>
                <w:p>
                  <w:pPr>
                    <w:pStyle w:val="68"/>
                    <w:rPr>
                      <w:rFonts w:eastAsia="等线"/>
                      <w:b/>
                      <w:bCs/>
                      <w:color w:val="auto"/>
                    </w:rPr>
                  </w:pPr>
                  <w:r>
                    <w:rPr>
                      <w:rFonts w:eastAsia="等线"/>
                      <w:b/>
                      <w:bCs/>
                      <w:color w:val="auto"/>
                    </w:rPr>
                    <w:t>Z</w:t>
                  </w:r>
                </w:p>
              </w:tc>
              <w:tc>
                <w:tcPr>
                  <w:tcW w:w="191" w:type="pct"/>
                  <w:shd w:val="clear" w:color="000000" w:fill="FFFFFF"/>
                  <w:vAlign w:val="center"/>
                </w:tcPr>
                <w:p>
                  <w:pPr>
                    <w:pStyle w:val="68"/>
                    <w:rPr>
                      <w:b/>
                      <w:bCs/>
                      <w:color w:val="auto"/>
                    </w:rPr>
                  </w:pPr>
                  <w:r>
                    <w:rPr>
                      <w:rFonts w:hint="eastAsia"/>
                      <w:b/>
                      <w:bCs/>
                      <w:color w:val="auto"/>
                    </w:rPr>
                    <w:t>东</w:t>
                  </w:r>
                </w:p>
              </w:tc>
              <w:tc>
                <w:tcPr>
                  <w:tcW w:w="189" w:type="pct"/>
                  <w:shd w:val="clear" w:color="000000" w:fill="FFFFFF"/>
                  <w:vAlign w:val="center"/>
                </w:tcPr>
                <w:p>
                  <w:pPr>
                    <w:pStyle w:val="68"/>
                    <w:rPr>
                      <w:b/>
                      <w:bCs/>
                      <w:color w:val="auto"/>
                    </w:rPr>
                  </w:pPr>
                  <w:r>
                    <w:rPr>
                      <w:rFonts w:hint="eastAsia"/>
                      <w:b/>
                      <w:bCs/>
                      <w:color w:val="auto"/>
                    </w:rPr>
                    <w:t>南</w:t>
                  </w:r>
                </w:p>
              </w:tc>
              <w:tc>
                <w:tcPr>
                  <w:tcW w:w="238" w:type="pct"/>
                  <w:shd w:val="clear" w:color="000000" w:fill="FFFFFF"/>
                  <w:vAlign w:val="center"/>
                </w:tcPr>
                <w:p>
                  <w:pPr>
                    <w:pStyle w:val="68"/>
                    <w:rPr>
                      <w:b/>
                      <w:bCs/>
                      <w:color w:val="auto"/>
                    </w:rPr>
                  </w:pPr>
                  <w:r>
                    <w:rPr>
                      <w:rFonts w:hint="eastAsia"/>
                      <w:b/>
                      <w:bCs/>
                      <w:color w:val="auto"/>
                    </w:rPr>
                    <w:t>西</w:t>
                  </w:r>
                </w:p>
              </w:tc>
              <w:tc>
                <w:tcPr>
                  <w:tcW w:w="190" w:type="pct"/>
                  <w:shd w:val="clear" w:color="000000" w:fill="FFFFFF"/>
                  <w:vAlign w:val="center"/>
                </w:tcPr>
                <w:p>
                  <w:pPr>
                    <w:pStyle w:val="68"/>
                    <w:rPr>
                      <w:b/>
                      <w:bCs/>
                      <w:color w:val="auto"/>
                    </w:rPr>
                  </w:pPr>
                  <w:r>
                    <w:rPr>
                      <w:rFonts w:hint="eastAsia"/>
                      <w:b/>
                      <w:bCs/>
                      <w:color w:val="auto"/>
                    </w:rPr>
                    <w:t>北</w:t>
                  </w:r>
                </w:p>
              </w:tc>
              <w:tc>
                <w:tcPr>
                  <w:tcW w:w="238" w:type="pct"/>
                  <w:shd w:val="clear" w:color="000000" w:fill="FFFFFF"/>
                  <w:vAlign w:val="center"/>
                </w:tcPr>
                <w:p>
                  <w:pPr>
                    <w:pStyle w:val="68"/>
                    <w:rPr>
                      <w:b/>
                      <w:bCs/>
                      <w:color w:val="auto"/>
                    </w:rPr>
                  </w:pPr>
                  <w:r>
                    <w:rPr>
                      <w:rFonts w:hint="eastAsia"/>
                      <w:b/>
                      <w:bCs/>
                      <w:color w:val="auto"/>
                    </w:rPr>
                    <w:t>东</w:t>
                  </w:r>
                </w:p>
              </w:tc>
              <w:tc>
                <w:tcPr>
                  <w:tcW w:w="237" w:type="pct"/>
                  <w:shd w:val="clear" w:color="000000" w:fill="FFFFFF"/>
                  <w:vAlign w:val="center"/>
                </w:tcPr>
                <w:p>
                  <w:pPr>
                    <w:pStyle w:val="68"/>
                    <w:rPr>
                      <w:b/>
                      <w:bCs/>
                      <w:color w:val="auto"/>
                    </w:rPr>
                  </w:pPr>
                  <w:r>
                    <w:rPr>
                      <w:rFonts w:hint="eastAsia"/>
                      <w:b/>
                      <w:bCs/>
                      <w:color w:val="auto"/>
                    </w:rPr>
                    <w:t>南</w:t>
                  </w:r>
                </w:p>
              </w:tc>
              <w:tc>
                <w:tcPr>
                  <w:tcW w:w="238" w:type="pct"/>
                  <w:shd w:val="clear" w:color="000000" w:fill="FFFFFF"/>
                  <w:vAlign w:val="center"/>
                </w:tcPr>
                <w:p>
                  <w:pPr>
                    <w:pStyle w:val="68"/>
                    <w:rPr>
                      <w:b/>
                      <w:bCs/>
                      <w:color w:val="auto"/>
                    </w:rPr>
                  </w:pPr>
                  <w:r>
                    <w:rPr>
                      <w:rFonts w:hint="eastAsia"/>
                      <w:b/>
                      <w:bCs/>
                      <w:color w:val="auto"/>
                    </w:rPr>
                    <w:t>西</w:t>
                  </w:r>
                </w:p>
              </w:tc>
              <w:tc>
                <w:tcPr>
                  <w:tcW w:w="238" w:type="pct"/>
                  <w:shd w:val="clear" w:color="000000" w:fill="FFFFFF"/>
                  <w:vAlign w:val="center"/>
                </w:tcPr>
                <w:p>
                  <w:pPr>
                    <w:pStyle w:val="68"/>
                    <w:rPr>
                      <w:b/>
                      <w:bCs/>
                      <w:color w:val="auto"/>
                    </w:rPr>
                  </w:pPr>
                  <w:r>
                    <w:rPr>
                      <w:rFonts w:hint="eastAsia"/>
                      <w:b/>
                      <w:bCs/>
                      <w:color w:val="auto"/>
                    </w:rPr>
                    <w:t>北</w:t>
                  </w:r>
                </w:p>
              </w:tc>
              <w:tc>
                <w:tcPr>
                  <w:tcW w:w="218" w:type="pct"/>
                  <w:vMerge w:val="continue"/>
                  <w:vAlign w:val="center"/>
                </w:tcPr>
                <w:p>
                  <w:pPr>
                    <w:pStyle w:val="68"/>
                    <w:rPr>
                      <w:b/>
                      <w:bCs/>
                      <w:color w:val="auto"/>
                    </w:rPr>
                  </w:pPr>
                </w:p>
              </w:tc>
              <w:tc>
                <w:tcPr>
                  <w:tcW w:w="192" w:type="pct"/>
                  <w:shd w:val="clear" w:color="000000" w:fill="FFFFFF"/>
                  <w:vAlign w:val="center"/>
                </w:tcPr>
                <w:p>
                  <w:pPr>
                    <w:pStyle w:val="68"/>
                    <w:rPr>
                      <w:b/>
                      <w:bCs/>
                      <w:color w:val="auto"/>
                    </w:rPr>
                  </w:pPr>
                  <w:r>
                    <w:rPr>
                      <w:rFonts w:hint="eastAsia"/>
                      <w:b/>
                      <w:bCs/>
                      <w:color w:val="auto"/>
                    </w:rPr>
                    <w:t>东</w:t>
                  </w:r>
                </w:p>
              </w:tc>
              <w:tc>
                <w:tcPr>
                  <w:tcW w:w="191" w:type="pct"/>
                  <w:shd w:val="clear" w:color="000000" w:fill="FFFFFF"/>
                  <w:vAlign w:val="center"/>
                </w:tcPr>
                <w:p>
                  <w:pPr>
                    <w:pStyle w:val="68"/>
                    <w:rPr>
                      <w:b/>
                      <w:bCs/>
                      <w:color w:val="auto"/>
                    </w:rPr>
                  </w:pPr>
                  <w:r>
                    <w:rPr>
                      <w:rFonts w:hint="eastAsia"/>
                      <w:b/>
                      <w:bCs/>
                      <w:color w:val="auto"/>
                    </w:rPr>
                    <w:t>南</w:t>
                  </w:r>
                </w:p>
              </w:tc>
              <w:tc>
                <w:tcPr>
                  <w:tcW w:w="191" w:type="pct"/>
                  <w:shd w:val="clear" w:color="000000" w:fill="FFFFFF"/>
                  <w:vAlign w:val="center"/>
                </w:tcPr>
                <w:p>
                  <w:pPr>
                    <w:pStyle w:val="68"/>
                    <w:rPr>
                      <w:b/>
                      <w:bCs/>
                      <w:color w:val="auto"/>
                    </w:rPr>
                  </w:pPr>
                  <w:r>
                    <w:rPr>
                      <w:rFonts w:hint="eastAsia"/>
                      <w:b/>
                      <w:bCs/>
                      <w:color w:val="auto"/>
                    </w:rPr>
                    <w:t>西</w:t>
                  </w:r>
                </w:p>
              </w:tc>
              <w:tc>
                <w:tcPr>
                  <w:tcW w:w="191" w:type="pct"/>
                  <w:shd w:val="clear" w:color="000000" w:fill="FFFFFF"/>
                  <w:vAlign w:val="center"/>
                </w:tcPr>
                <w:p>
                  <w:pPr>
                    <w:pStyle w:val="68"/>
                    <w:rPr>
                      <w:b/>
                      <w:bCs/>
                      <w:color w:val="auto"/>
                    </w:rPr>
                  </w:pPr>
                  <w:r>
                    <w:rPr>
                      <w:rFonts w:hint="eastAsia"/>
                      <w:b/>
                      <w:bCs/>
                      <w:color w:val="auto"/>
                    </w:rPr>
                    <w:t>北</w:t>
                  </w:r>
                </w:p>
              </w:tc>
              <w:tc>
                <w:tcPr>
                  <w:tcW w:w="203" w:type="pct"/>
                  <w:shd w:val="clear" w:color="000000" w:fill="FFFFFF"/>
                  <w:vAlign w:val="center"/>
                </w:tcPr>
                <w:p>
                  <w:pPr>
                    <w:pStyle w:val="68"/>
                    <w:rPr>
                      <w:b/>
                      <w:bCs/>
                      <w:color w:val="auto"/>
                    </w:rPr>
                  </w:pPr>
                  <w:r>
                    <w:rPr>
                      <w:rFonts w:hint="eastAsia"/>
                      <w:b/>
                      <w:bCs/>
                      <w:color w:val="auto"/>
                    </w:rPr>
                    <w:t>东</w:t>
                  </w:r>
                </w:p>
              </w:tc>
              <w:tc>
                <w:tcPr>
                  <w:tcW w:w="196" w:type="pct"/>
                  <w:shd w:val="clear" w:color="000000" w:fill="FFFFFF"/>
                  <w:vAlign w:val="center"/>
                </w:tcPr>
                <w:p>
                  <w:pPr>
                    <w:pStyle w:val="68"/>
                    <w:rPr>
                      <w:b/>
                      <w:bCs/>
                      <w:color w:val="auto"/>
                    </w:rPr>
                  </w:pPr>
                  <w:r>
                    <w:rPr>
                      <w:rFonts w:hint="eastAsia"/>
                      <w:b/>
                      <w:bCs/>
                      <w:color w:val="auto"/>
                    </w:rPr>
                    <w:t>南</w:t>
                  </w:r>
                </w:p>
              </w:tc>
              <w:tc>
                <w:tcPr>
                  <w:tcW w:w="196" w:type="pct"/>
                  <w:shd w:val="clear" w:color="000000" w:fill="FFFFFF"/>
                  <w:vAlign w:val="center"/>
                </w:tcPr>
                <w:p>
                  <w:pPr>
                    <w:pStyle w:val="68"/>
                    <w:rPr>
                      <w:b/>
                      <w:bCs/>
                      <w:color w:val="auto"/>
                    </w:rPr>
                  </w:pPr>
                  <w:r>
                    <w:rPr>
                      <w:rFonts w:hint="eastAsia"/>
                      <w:b/>
                      <w:bCs/>
                      <w:color w:val="auto"/>
                    </w:rPr>
                    <w:t>西</w:t>
                  </w:r>
                </w:p>
              </w:tc>
              <w:tc>
                <w:tcPr>
                  <w:tcW w:w="196" w:type="pct"/>
                  <w:shd w:val="clear" w:color="000000" w:fill="FFFFFF"/>
                  <w:vAlign w:val="center"/>
                </w:tcPr>
                <w:p>
                  <w:pPr>
                    <w:pStyle w:val="68"/>
                    <w:rPr>
                      <w:b/>
                      <w:bCs/>
                      <w:color w:val="auto"/>
                    </w:rPr>
                  </w:pPr>
                  <w:r>
                    <w:rPr>
                      <w:rFonts w:hint="eastAsia"/>
                      <w:b/>
                      <w:bCs/>
                      <w:color w:val="auto"/>
                    </w:rPr>
                    <w:t>北</w:t>
                  </w:r>
                </w:p>
              </w:tc>
              <w:tc>
                <w:tcPr>
                  <w:tcW w:w="223" w:type="pct"/>
                  <w:shd w:val="clear" w:color="000000" w:fill="FFFFFF"/>
                  <w:vAlign w:val="center"/>
                </w:tcPr>
                <w:p>
                  <w:pPr>
                    <w:pStyle w:val="68"/>
                    <w:rPr>
                      <w:b/>
                      <w:bCs/>
                      <w:color w:val="auto"/>
                    </w:rPr>
                  </w:pPr>
                  <w:r>
                    <w:rPr>
                      <w:rFonts w:hint="eastAsia"/>
                      <w:b/>
                      <w:bCs/>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进料料仓</w:t>
                  </w:r>
                </w:p>
              </w:tc>
              <w:tc>
                <w:tcPr>
                  <w:tcW w:w="190" w:type="pct"/>
                  <w:shd w:val="clear" w:color="000000" w:fill="FFFFFF"/>
                  <w:vAlign w:val="center"/>
                </w:tcPr>
                <w:p>
                  <w:pPr>
                    <w:pStyle w:val="68"/>
                    <w:rPr>
                      <w:rFonts w:eastAsia="等线"/>
                      <w:color w:val="auto"/>
                    </w:rPr>
                  </w:pPr>
                  <w:r>
                    <w:rPr>
                      <w:rFonts w:eastAsia="等线"/>
                      <w:color w:val="auto"/>
                    </w:rPr>
                    <w:t>85</w:t>
                  </w:r>
                </w:p>
              </w:tc>
              <w:tc>
                <w:tcPr>
                  <w:tcW w:w="228" w:type="pct"/>
                  <w:vMerge w:val="restart"/>
                  <w:shd w:val="clear" w:color="000000" w:fill="FFFFFF"/>
                  <w:vAlign w:val="center"/>
                </w:tcPr>
                <w:p>
                  <w:pPr>
                    <w:pStyle w:val="68"/>
                    <w:rPr>
                      <w:color w:val="auto"/>
                    </w:rPr>
                  </w:pPr>
                  <w:r>
                    <w:rPr>
                      <w:rFonts w:hint="eastAsia"/>
                      <w:color w:val="auto"/>
                    </w:rPr>
                    <w:t>厂房隔声</w:t>
                  </w:r>
                </w:p>
              </w:tc>
              <w:tc>
                <w:tcPr>
                  <w:tcW w:w="211" w:type="pct"/>
                  <w:shd w:val="clear" w:color="000000" w:fill="FFFFFF"/>
                  <w:vAlign w:val="center"/>
                </w:tcPr>
                <w:p>
                  <w:pPr>
                    <w:pStyle w:val="68"/>
                    <w:rPr>
                      <w:rFonts w:eastAsia="等线"/>
                      <w:color w:val="auto"/>
                    </w:rPr>
                  </w:pPr>
                  <w:r>
                    <w:rPr>
                      <w:rFonts w:eastAsia="等线"/>
                      <w:color w:val="auto"/>
                    </w:rPr>
                    <w:t>-1.6</w:t>
                  </w:r>
                </w:p>
              </w:tc>
              <w:tc>
                <w:tcPr>
                  <w:tcW w:w="179" w:type="pct"/>
                  <w:shd w:val="clear" w:color="000000" w:fill="FFFFFF"/>
                  <w:vAlign w:val="center"/>
                </w:tcPr>
                <w:p>
                  <w:pPr>
                    <w:pStyle w:val="68"/>
                    <w:rPr>
                      <w:rFonts w:eastAsia="等线"/>
                      <w:color w:val="auto"/>
                    </w:rPr>
                  </w:pPr>
                  <w:r>
                    <w:rPr>
                      <w:rFonts w:eastAsia="等线"/>
                      <w:color w:val="auto"/>
                    </w:rPr>
                    <w:t>13.8</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5</w:t>
                  </w:r>
                </w:p>
              </w:tc>
              <w:tc>
                <w:tcPr>
                  <w:tcW w:w="189" w:type="pct"/>
                  <w:shd w:val="clear" w:color="000000" w:fill="FFFFFF"/>
                  <w:vAlign w:val="center"/>
                </w:tcPr>
                <w:p>
                  <w:pPr>
                    <w:pStyle w:val="68"/>
                    <w:rPr>
                      <w:rFonts w:eastAsia="等线"/>
                      <w:color w:val="auto"/>
                    </w:rPr>
                  </w:pPr>
                  <w:r>
                    <w:rPr>
                      <w:rFonts w:eastAsia="等线"/>
                      <w:color w:val="auto"/>
                    </w:rPr>
                    <w:t>3.2</w:t>
                  </w:r>
                </w:p>
              </w:tc>
              <w:tc>
                <w:tcPr>
                  <w:tcW w:w="238" w:type="pct"/>
                  <w:shd w:val="clear" w:color="000000" w:fill="FFFFFF"/>
                  <w:vAlign w:val="center"/>
                </w:tcPr>
                <w:p>
                  <w:pPr>
                    <w:pStyle w:val="68"/>
                    <w:rPr>
                      <w:rFonts w:eastAsia="等线"/>
                      <w:color w:val="auto"/>
                    </w:rPr>
                  </w:pPr>
                  <w:r>
                    <w:rPr>
                      <w:rFonts w:eastAsia="等线"/>
                      <w:color w:val="auto"/>
                    </w:rPr>
                    <w:t>21.6</w:t>
                  </w:r>
                </w:p>
              </w:tc>
              <w:tc>
                <w:tcPr>
                  <w:tcW w:w="190" w:type="pct"/>
                  <w:shd w:val="clear" w:color="000000" w:fill="FFFFFF"/>
                  <w:vAlign w:val="center"/>
                </w:tcPr>
                <w:p>
                  <w:pPr>
                    <w:pStyle w:val="68"/>
                    <w:rPr>
                      <w:rFonts w:eastAsia="等线"/>
                      <w:color w:val="auto"/>
                    </w:rPr>
                  </w:pPr>
                  <w:r>
                    <w:rPr>
                      <w:rFonts w:eastAsia="等线"/>
                      <w:color w:val="auto"/>
                    </w:rPr>
                    <w:t>4.7</w:t>
                  </w:r>
                </w:p>
              </w:tc>
              <w:tc>
                <w:tcPr>
                  <w:tcW w:w="238" w:type="pct"/>
                  <w:shd w:val="clear" w:color="000000" w:fill="FFFFFF"/>
                  <w:vAlign w:val="center"/>
                </w:tcPr>
                <w:p>
                  <w:pPr>
                    <w:pStyle w:val="68"/>
                    <w:rPr>
                      <w:rFonts w:eastAsia="等线"/>
                      <w:color w:val="auto"/>
                    </w:rPr>
                  </w:pPr>
                  <w:r>
                    <w:rPr>
                      <w:rFonts w:eastAsia="等线"/>
                      <w:color w:val="auto"/>
                    </w:rPr>
                    <w:t>78.6</w:t>
                  </w:r>
                </w:p>
              </w:tc>
              <w:tc>
                <w:tcPr>
                  <w:tcW w:w="237" w:type="pct"/>
                  <w:shd w:val="clear" w:color="000000" w:fill="FFFFFF"/>
                  <w:vAlign w:val="center"/>
                </w:tcPr>
                <w:p>
                  <w:pPr>
                    <w:pStyle w:val="68"/>
                    <w:rPr>
                      <w:rFonts w:eastAsia="等线"/>
                      <w:color w:val="auto"/>
                    </w:rPr>
                  </w:pPr>
                  <w:r>
                    <w:rPr>
                      <w:rFonts w:eastAsia="等线"/>
                      <w:color w:val="auto"/>
                    </w:rPr>
                    <w:t>78.7</w:t>
                  </w:r>
                </w:p>
              </w:tc>
              <w:tc>
                <w:tcPr>
                  <w:tcW w:w="238"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18" w:type="pct"/>
                  <w:vMerge w:val="restart"/>
                  <w:shd w:val="clear" w:color="000000" w:fill="FFFFFF"/>
                  <w:vAlign w:val="center"/>
                </w:tcPr>
                <w:p>
                  <w:pPr>
                    <w:pStyle w:val="68"/>
                    <w:rPr>
                      <w:rFonts w:eastAsia="等线"/>
                      <w:color w:val="auto"/>
                    </w:rPr>
                  </w:pPr>
                  <w:r>
                    <w:rPr>
                      <w:rFonts w:eastAsia="等线"/>
                      <w:color w:val="auto"/>
                    </w:rPr>
                    <w:t>9:00-18:00</w:t>
                  </w: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57.7</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固液分离甩干机</w:t>
                  </w:r>
                </w:p>
              </w:tc>
              <w:tc>
                <w:tcPr>
                  <w:tcW w:w="190" w:type="pct"/>
                  <w:shd w:val="clear" w:color="000000" w:fill="FFFFFF"/>
                  <w:vAlign w:val="center"/>
                </w:tcPr>
                <w:p>
                  <w:pPr>
                    <w:pStyle w:val="68"/>
                    <w:rPr>
                      <w:rFonts w:eastAsia="等线"/>
                      <w:color w:val="auto"/>
                    </w:rPr>
                  </w:pPr>
                  <w:r>
                    <w:rPr>
                      <w:rFonts w:eastAsia="等线"/>
                      <w:color w:val="auto"/>
                    </w:rPr>
                    <w:t>85</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-3.9</w:t>
                  </w:r>
                </w:p>
              </w:tc>
              <w:tc>
                <w:tcPr>
                  <w:tcW w:w="179" w:type="pct"/>
                  <w:shd w:val="clear" w:color="000000" w:fill="FFFFFF"/>
                  <w:vAlign w:val="center"/>
                </w:tcPr>
                <w:p>
                  <w:pPr>
                    <w:pStyle w:val="68"/>
                    <w:rPr>
                      <w:rFonts w:eastAsia="等线"/>
                      <w:color w:val="auto"/>
                    </w:rPr>
                  </w:pPr>
                  <w:r>
                    <w:rPr>
                      <w:rFonts w:eastAsia="等线"/>
                      <w:color w:val="auto"/>
                    </w:rPr>
                    <w:t>13.3</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7.3</w:t>
                  </w:r>
                </w:p>
              </w:tc>
              <w:tc>
                <w:tcPr>
                  <w:tcW w:w="189" w:type="pct"/>
                  <w:shd w:val="clear" w:color="000000" w:fill="FFFFFF"/>
                  <w:vAlign w:val="center"/>
                </w:tcPr>
                <w:p>
                  <w:pPr>
                    <w:pStyle w:val="68"/>
                    <w:rPr>
                      <w:rFonts w:eastAsia="等线"/>
                      <w:color w:val="auto"/>
                    </w:rPr>
                  </w:pPr>
                  <w:r>
                    <w:rPr>
                      <w:rFonts w:eastAsia="等线"/>
                      <w:color w:val="auto"/>
                    </w:rPr>
                    <w:t>3.7</w:t>
                  </w:r>
                </w:p>
              </w:tc>
              <w:tc>
                <w:tcPr>
                  <w:tcW w:w="238" w:type="pct"/>
                  <w:shd w:val="clear" w:color="000000" w:fill="FFFFFF"/>
                  <w:vAlign w:val="center"/>
                </w:tcPr>
                <w:p>
                  <w:pPr>
                    <w:pStyle w:val="68"/>
                    <w:rPr>
                      <w:rFonts w:eastAsia="等线"/>
                      <w:color w:val="auto"/>
                    </w:rPr>
                  </w:pPr>
                  <w:r>
                    <w:rPr>
                      <w:rFonts w:eastAsia="等线"/>
                      <w:color w:val="auto"/>
                    </w:rPr>
                    <w:t>19.3</w:t>
                  </w:r>
                </w:p>
              </w:tc>
              <w:tc>
                <w:tcPr>
                  <w:tcW w:w="190" w:type="pct"/>
                  <w:shd w:val="clear" w:color="000000" w:fill="FFFFFF"/>
                  <w:vAlign w:val="center"/>
                </w:tcPr>
                <w:p>
                  <w:pPr>
                    <w:pStyle w:val="68"/>
                    <w:rPr>
                      <w:rFonts w:eastAsia="等线"/>
                      <w:color w:val="auto"/>
                    </w:rPr>
                  </w:pPr>
                  <w:r>
                    <w:rPr>
                      <w:rFonts w:eastAsia="等线"/>
                      <w:color w:val="auto"/>
                    </w:rPr>
                    <w:t>4.2</w:t>
                  </w:r>
                </w:p>
              </w:tc>
              <w:tc>
                <w:tcPr>
                  <w:tcW w:w="238" w:type="pct"/>
                  <w:shd w:val="clear" w:color="000000" w:fill="FFFFFF"/>
                  <w:vAlign w:val="center"/>
                </w:tcPr>
                <w:p>
                  <w:pPr>
                    <w:pStyle w:val="68"/>
                    <w:rPr>
                      <w:rFonts w:eastAsia="等线"/>
                      <w:color w:val="auto"/>
                    </w:rPr>
                  </w:pPr>
                  <w:r>
                    <w:rPr>
                      <w:rFonts w:eastAsia="等线"/>
                      <w:color w:val="auto"/>
                    </w:rPr>
                    <w:t>78.6</w:t>
                  </w:r>
                </w:p>
              </w:tc>
              <w:tc>
                <w:tcPr>
                  <w:tcW w:w="237" w:type="pct"/>
                  <w:shd w:val="clear" w:color="000000" w:fill="FFFFFF"/>
                  <w:vAlign w:val="center"/>
                </w:tcPr>
                <w:p>
                  <w:pPr>
                    <w:pStyle w:val="68"/>
                    <w:rPr>
                      <w:rFonts w:eastAsia="等线"/>
                      <w:color w:val="auto"/>
                    </w:rPr>
                  </w:pPr>
                  <w:r>
                    <w:rPr>
                      <w:rFonts w:eastAsia="等线"/>
                      <w:color w:val="auto"/>
                    </w:rPr>
                    <w:t>78.7</w:t>
                  </w:r>
                </w:p>
              </w:tc>
              <w:tc>
                <w:tcPr>
                  <w:tcW w:w="238"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57.7</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shd w:val="clear" w:fill="FFFFFF"/>
                    </w:rPr>
                    <w:t>无轴</w:t>
                  </w:r>
                  <w:r>
                    <w:rPr>
                      <w:rFonts w:hint="eastAsia"/>
                      <w:color w:val="auto"/>
                    </w:rPr>
                    <w:t>螺旋提升机</w:t>
                  </w:r>
                </w:p>
              </w:tc>
              <w:tc>
                <w:tcPr>
                  <w:tcW w:w="190" w:type="pct"/>
                  <w:shd w:val="clear" w:color="000000" w:fill="FFFFFF"/>
                  <w:vAlign w:val="center"/>
                </w:tcPr>
                <w:p>
                  <w:pPr>
                    <w:pStyle w:val="68"/>
                    <w:rPr>
                      <w:rFonts w:eastAsia="等线"/>
                      <w:color w:val="auto"/>
                    </w:rPr>
                  </w:pPr>
                  <w:r>
                    <w:rPr>
                      <w:rFonts w:eastAsia="等线"/>
                      <w:color w:val="auto"/>
                    </w:rPr>
                    <w:t>85</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-9.6</w:t>
                  </w:r>
                </w:p>
              </w:tc>
              <w:tc>
                <w:tcPr>
                  <w:tcW w:w="179" w:type="pct"/>
                  <w:shd w:val="clear" w:color="000000" w:fill="FFFFFF"/>
                  <w:vAlign w:val="center"/>
                </w:tcPr>
                <w:p>
                  <w:pPr>
                    <w:pStyle w:val="68"/>
                    <w:rPr>
                      <w:rFonts w:eastAsia="等线"/>
                      <w:color w:val="auto"/>
                    </w:rPr>
                  </w:pPr>
                  <w:r>
                    <w:rPr>
                      <w:rFonts w:eastAsia="等线"/>
                      <w:color w:val="auto"/>
                    </w:rPr>
                    <w:t>11.1</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13.5</w:t>
                  </w:r>
                </w:p>
              </w:tc>
              <w:tc>
                <w:tcPr>
                  <w:tcW w:w="189" w:type="pct"/>
                  <w:shd w:val="clear" w:color="000000" w:fill="FFFFFF"/>
                  <w:vAlign w:val="center"/>
                </w:tcPr>
                <w:p>
                  <w:pPr>
                    <w:pStyle w:val="68"/>
                    <w:rPr>
                      <w:rFonts w:eastAsia="等线"/>
                      <w:color w:val="auto"/>
                    </w:rPr>
                  </w:pPr>
                  <w:r>
                    <w:rPr>
                      <w:rFonts w:eastAsia="等线"/>
                      <w:color w:val="auto"/>
                    </w:rPr>
                    <w:t>4.1</w:t>
                  </w:r>
                </w:p>
              </w:tc>
              <w:tc>
                <w:tcPr>
                  <w:tcW w:w="238" w:type="pct"/>
                  <w:shd w:val="clear" w:color="000000" w:fill="FFFFFF"/>
                  <w:vAlign w:val="center"/>
                </w:tcPr>
                <w:p>
                  <w:pPr>
                    <w:pStyle w:val="68"/>
                    <w:rPr>
                      <w:rFonts w:eastAsia="等线"/>
                      <w:color w:val="auto"/>
                    </w:rPr>
                  </w:pPr>
                  <w:r>
                    <w:rPr>
                      <w:rFonts w:eastAsia="等线"/>
                      <w:color w:val="auto"/>
                    </w:rPr>
                    <w:t>13.2</w:t>
                  </w:r>
                </w:p>
              </w:tc>
              <w:tc>
                <w:tcPr>
                  <w:tcW w:w="190" w:type="pct"/>
                  <w:shd w:val="clear" w:color="000000" w:fill="FFFFFF"/>
                  <w:vAlign w:val="center"/>
                </w:tcPr>
                <w:p>
                  <w:pPr>
                    <w:pStyle w:val="68"/>
                    <w:rPr>
                      <w:rFonts w:eastAsia="等线"/>
                      <w:color w:val="auto"/>
                    </w:rPr>
                  </w:pPr>
                  <w:r>
                    <w:rPr>
                      <w:rFonts w:eastAsia="等线"/>
                      <w:color w:val="auto"/>
                    </w:rPr>
                    <w:t>3.9</w:t>
                  </w:r>
                </w:p>
              </w:tc>
              <w:tc>
                <w:tcPr>
                  <w:tcW w:w="238" w:type="pct"/>
                  <w:shd w:val="clear" w:color="000000" w:fill="FFFFFF"/>
                  <w:vAlign w:val="center"/>
                </w:tcPr>
                <w:p>
                  <w:pPr>
                    <w:pStyle w:val="68"/>
                    <w:rPr>
                      <w:rFonts w:eastAsia="等线"/>
                      <w:color w:val="auto"/>
                    </w:rPr>
                  </w:pPr>
                  <w:r>
                    <w:rPr>
                      <w:rFonts w:eastAsia="等线"/>
                      <w:color w:val="auto"/>
                    </w:rPr>
                    <w:t>78.6</w:t>
                  </w:r>
                </w:p>
              </w:tc>
              <w:tc>
                <w:tcPr>
                  <w:tcW w:w="237"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78.7</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57.7</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有</w:t>
                  </w:r>
                  <w:r>
                    <w:rPr>
                      <w:rFonts w:hint="eastAsia"/>
                      <w:color w:val="auto"/>
                      <w:shd w:val="clear" w:fill="FFFFFF"/>
                    </w:rPr>
                    <w:t>轴</w:t>
                  </w:r>
                  <w:r>
                    <w:rPr>
                      <w:rFonts w:hint="eastAsia"/>
                      <w:color w:val="auto"/>
                    </w:rPr>
                    <w:t>螺旋提升机</w:t>
                  </w:r>
                </w:p>
              </w:tc>
              <w:tc>
                <w:tcPr>
                  <w:tcW w:w="190" w:type="pct"/>
                  <w:shd w:val="clear" w:color="000000" w:fill="FFFFFF"/>
                  <w:vAlign w:val="center"/>
                </w:tcPr>
                <w:p>
                  <w:pPr>
                    <w:pStyle w:val="68"/>
                    <w:rPr>
                      <w:rFonts w:eastAsia="等线"/>
                      <w:color w:val="auto"/>
                    </w:rPr>
                  </w:pPr>
                  <w:r>
                    <w:rPr>
                      <w:rFonts w:eastAsia="等线"/>
                      <w:color w:val="auto"/>
                    </w:rPr>
                    <w:t>85</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-12.1</w:t>
                  </w:r>
                </w:p>
              </w:tc>
              <w:tc>
                <w:tcPr>
                  <w:tcW w:w="179" w:type="pct"/>
                  <w:shd w:val="clear" w:color="000000" w:fill="FFFFFF"/>
                  <w:vAlign w:val="center"/>
                </w:tcPr>
                <w:p>
                  <w:pPr>
                    <w:pStyle w:val="68"/>
                    <w:rPr>
                      <w:rFonts w:eastAsia="等线"/>
                      <w:color w:val="auto"/>
                    </w:rPr>
                  </w:pPr>
                  <w:r>
                    <w:rPr>
                      <w:rFonts w:eastAsia="等线"/>
                      <w:color w:val="auto"/>
                    </w:rPr>
                    <w:t>9.9</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16.2</w:t>
                  </w:r>
                </w:p>
              </w:tc>
              <w:tc>
                <w:tcPr>
                  <w:tcW w:w="189" w:type="pct"/>
                  <w:shd w:val="clear" w:color="000000" w:fill="FFFFFF"/>
                  <w:vAlign w:val="center"/>
                </w:tcPr>
                <w:p>
                  <w:pPr>
                    <w:pStyle w:val="68"/>
                    <w:rPr>
                      <w:rFonts w:eastAsia="等线"/>
                      <w:color w:val="auto"/>
                    </w:rPr>
                  </w:pPr>
                  <w:r>
                    <w:rPr>
                      <w:rFonts w:eastAsia="等线"/>
                      <w:color w:val="auto"/>
                    </w:rPr>
                    <w:t>4</w:t>
                  </w:r>
                </w:p>
              </w:tc>
              <w:tc>
                <w:tcPr>
                  <w:tcW w:w="238" w:type="pct"/>
                  <w:shd w:val="clear" w:color="000000" w:fill="FFFFFF"/>
                  <w:vAlign w:val="center"/>
                </w:tcPr>
                <w:p>
                  <w:pPr>
                    <w:pStyle w:val="68"/>
                    <w:rPr>
                      <w:rFonts w:eastAsia="等线"/>
                      <w:color w:val="auto"/>
                    </w:rPr>
                  </w:pPr>
                  <w:r>
                    <w:rPr>
                      <w:rFonts w:eastAsia="等线"/>
                      <w:color w:val="auto"/>
                    </w:rPr>
                    <w:t>10.5</w:t>
                  </w:r>
                </w:p>
              </w:tc>
              <w:tc>
                <w:tcPr>
                  <w:tcW w:w="190" w:type="pct"/>
                  <w:shd w:val="clear" w:color="000000" w:fill="FFFFFF"/>
                  <w:vAlign w:val="center"/>
                </w:tcPr>
                <w:p>
                  <w:pPr>
                    <w:pStyle w:val="68"/>
                    <w:rPr>
                      <w:rFonts w:eastAsia="等线"/>
                      <w:color w:val="auto"/>
                    </w:rPr>
                  </w:pPr>
                  <w:r>
                    <w:rPr>
                      <w:rFonts w:eastAsia="等线"/>
                      <w:color w:val="auto"/>
                    </w:rPr>
                    <w:t>4</w:t>
                  </w:r>
                </w:p>
              </w:tc>
              <w:tc>
                <w:tcPr>
                  <w:tcW w:w="238" w:type="pct"/>
                  <w:shd w:val="clear" w:color="000000" w:fill="FFFFFF"/>
                  <w:vAlign w:val="center"/>
                </w:tcPr>
                <w:p>
                  <w:pPr>
                    <w:pStyle w:val="68"/>
                    <w:rPr>
                      <w:rFonts w:eastAsia="等线"/>
                      <w:color w:val="auto"/>
                    </w:rPr>
                  </w:pPr>
                  <w:r>
                    <w:rPr>
                      <w:rFonts w:eastAsia="等线"/>
                      <w:color w:val="auto"/>
                    </w:rPr>
                    <w:t>78.6</w:t>
                  </w:r>
                </w:p>
              </w:tc>
              <w:tc>
                <w:tcPr>
                  <w:tcW w:w="237"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三相分离机</w:t>
                  </w:r>
                </w:p>
              </w:tc>
              <w:tc>
                <w:tcPr>
                  <w:tcW w:w="190" w:type="pct"/>
                  <w:shd w:val="clear" w:color="000000" w:fill="FFFFFF"/>
                  <w:vAlign w:val="center"/>
                </w:tcPr>
                <w:p>
                  <w:pPr>
                    <w:pStyle w:val="68"/>
                    <w:rPr>
                      <w:rFonts w:eastAsia="等线"/>
                      <w:color w:val="auto"/>
                    </w:rPr>
                  </w:pPr>
                  <w:r>
                    <w:rPr>
                      <w:rFonts w:eastAsia="等线"/>
                      <w:color w:val="auto"/>
                    </w:rPr>
                    <w:t>85</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-14.6</w:t>
                  </w:r>
                </w:p>
              </w:tc>
              <w:tc>
                <w:tcPr>
                  <w:tcW w:w="179" w:type="pct"/>
                  <w:shd w:val="clear" w:color="000000" w:fill="FFFFFF"/>
                  <w:vAlign w:val="center"/>
                </w:tcPr>
                <w:p>
                  <w:pPr>
                    <w:pStyle w:val="68"/>
                    <w:rPr>
                      <w:rFonts w:eastAsia="等线"/>
                      <w:color w:val="auto"/>
                    </w:rPr>
                  </w:pPr>
                  <w:r>
                    <w:rPr>
                      <w:rFonts w:eastAsia="等线"/>
                      <w:color w:val="auto"/>
                    </w:rPr>
                    <w:t>8.9</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18.9</w:t>
                  </w:r>
                </w:p>
              </w:tc>
              <w:tc>
                <w:tcPr>
                  <w:tcW w:w="189" w:type="pct"/>
                  <w:shd w:val="clear" w:color="000000" w:fill="FFFFFF"/>
                  <w:vAlign w:val="center"/>
                </w:tcPr>
                <w:p>
                  <w:pPr>
                    <w:pStyle w:val="68"/>
                    <w:rPr>
                      <w:rFonts w:eastAsia="等线"/>
                      <w:color w:val="auto"/>
                    </w:rPr>
                  </w:pPr>
                  <w:r>
                    <w:rPr>
                      <w:rFonts w:eastAsia="等线"/>
                      <w:color w:val="auto"/>
                    </w:rPr>
                    <w:t>4.1</w:t>
                  </w:r>
                </w:p>
              </w:tc>
              <w:tc>
                <w:tcPr>
                  <w:tcW w:w="238" w:type="pct"/>
                  <w:shd w:val="clear" w:color="000000" w:fill="FFFFFF"/>
                  <w:vAlign w:val="center"/>
                </w:tcPr>
                <w:p>
                  <w:pPr>
                    <w:pStyle w:val="68"/>
                    <w:rPr>
                      <w:rFonts w:eastAsia="等线"/>
                      <w:color w:val="auto"/>
                    </w:rPr>
                  </w:pPr>
                  <w:r>
                    <w:rPr>
                      <w:rFonts w:eastAsia="等线"/>
                      <w:color w:val="auto"/>
                    </w:rPr>
                    <w:t>7.8</w:t>
                  </w:r>
                </w:p>
              </w:tc>
              <w:tc>
                <w:tcPr>
                  <w:tcW w:w="190" w:type="pct"/>
                  <w:shd w:val="clear" w:color="000000" w:fill="FFFFFF"/>
                  <w:vAlign w:val="center"/>
                </w:tcPr>
                <w:p>
                  <w:pPr>
                    <w:pStyle w:val="68"/>
                    <w:rPr>
                      <w:rFonts w:eastAsia="等线"/>
                      <w:color w:val="auto"/>
                    </w:rPr>
                  </w:pPr>
                  <w:r>
                    <w:rPr>
                      <w:rFonts w:eastAsia="等线"/>
                      <w:color w:val="auto"/>
                    </w:rPr>
                    <w:t>3.9</w:t>
                  </w:r>
                </w:p>
              </w:tc>
              <w:tc>
                <w:tcPr>
                  <w:tcW w:w="238" w:type="pct"/>
                  <w:shd w:val="clear" w:color="000000" w:fill="FFFFFF"/>
                  <w:vAlign w:val="center"/>
                </w:tcPr>
                <w:p>
                  <w:pPr>
                    <w:pStyle w:val="68"/>
                    <w:rPr>
                      <w:rFonts w:eastAsia="等线"/>
                      <w:color w:val="auto"/>
                    </w:rPr>
                  </w:pPr>
                  <w:r>
                    <w:rPr>
                      <w:rFonts w:eastAsia="等线"/>
                      <w:color w:val="auto"/>
                    </w:rPr>
                    <w:t>78.6</w:t>
                  </w:r>
                </w:p>
              </w:tc>
              <w:tc>
                <w:tcPr>
                  <w:tcW w:w="237"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78.6</w:t>
                  </w:r>
                </w:p>
              </w:tc>
              <w:tc>
                <w:tcPr>
                  <w:tcW w:w="238" w:type="pct"/>
                  <w:shd w:val="clear" w:color="000000" w:fill="FFFFFF"/>
                  <w:vAlign w:val="center"/>
                </w:tcPr>
                <w:p>
                  <w:pPr>
                    <w:pStyle w:val="68"/>
                    <w:rPr>
                      <w:rFonts w:eastAsia="等线"/>
                      <w:color w:val="auto"/>
                    </w:rPr>
                  </w:pPr>
                  <w:r>
                    <w:rPr>
                      <w:rFonts w:eastAsia="等线"/>
                      <w:color w:val="auto"/>
                    </w:rPr>
                    <w:t>78.7</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57.6</w:t>
                  </w:r>
                </w:p>
              </w:tc>
              <w:tc>
                <w:tcPr>
                  <w:tcW w:w="196" w:type="pct"/>
                  <w:shd w:val="clear" w:color="000000" w:fill="FFFFFF"/>
                  <w:vAlign w:val="center"/>
                </w:tcPr>
                <w:p>
                  <w:pPr>
                    <w:pStyle w:val="68"/>
                    <w:rPr>
                      <w:rFonts w:eastAsia="等线"/>
                      <w:color w:val="auto"/>
                    </w:rPr>
                  </w:pPr>
                  <w:r>
                    <w:rPr>
                      <w:rFonts w:eastAsia="等线"/>
                      <w:color w:val="auto"/>
                    </w:rPr>
                    <w:t>57.7</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锅炉风机</w:t>
                  </w:r>
                </w:p>
              </w:tc>
              <w:tc>
                <w:tcPr>
                  <w:tcW w:w="190" w:type="pct"/>
                  <w:shd w:val="clear" w:color="000000" w:fill="FFFFFF"/>
                  <w:vAlign w:val="center"/>
                </w:tcPr>
                <w:p>
                  <w:pPr>
                    <w:pStyle w:val="68"/>
                    <w:rPr>
                      <w:rFonts w:eastAsia="等线"/>
                      <w:color w:val="auto"/>
                    </w:rPr>
                  </w:pPr>
                  <w:r>
                    <w:rPr>
                      <w:rFonts w:eastAsia="等线"/>
                      <w:color w:val="auto"/>
                    </w:rPr>
                    <w:t>110</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-13.5</w:t>
                  </w:r>
                </w:p>
              </w:tc>
              <w:tc>
                <w:tcPr>
                  <w:tcW w:w="179" w:type="pct"/>
                  <w:shd w:val="clear" w:color="000000" w:fill="FFFFFF"/>
                  <w:vAlign w:val="center"/>
                </w:tcPr>
                <w:p>
                  <w:pPr>
                    <w:pStyle w:val="68"/>
                    <w:rPr>
                      <w:rFonts w:eastAsia="等线"/>
                      <w:color w:val="auto"/>
                    </w:rPr>
                  </w:pPr>
                  <w:r>
                    <w:rPr>
                      <w:rFonts w:eastAsia="等线"/>
                      <w:color w:val="auto"/>
                    </w:rPr>
                    <w:t>6.7</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18.9</w:t>
                  </w:r>
                </w:p>
              </w:tc>
              <w:tc>
                <w:tcPr>
                  <w:tcW w:w="189" w:type="pct"/>
                  <w:shd w:val="clear" w:color="000000" w:fill="FFFFFF"/>
                  <w:vAlign w:val="center"/>
                </w:tcPr>
                <w:p>
                  <w:pPr>
                    <w:pStyle w:val="68"/>
                    <w:rPr>
                      <w:rFonts w:eastAsia="等线"/>
                      <w:color w:val="auto"/>
                    </w:rPr>
                  </w:pPr>
                  <w:r>
                    <w:rPr>
                      <w:rFonts w:eastAsia="等线"/>
                      <w:color w:val="auto"/>
                    </w:rPr>
                    <w:t>1.7</w:t>
                  </w:r>
                </w:p>
              </w:tc>
              <w:tc>
                <w:tcPr>
                  <w:tcW w:w="238" w:type="pct"/>
                  <w:shd w:val="clear" w:color="000000" w:fill="FFFFFF"/>
                  <w:vAlign w:val="center"/>
                </w:tcPr>
                <w:p>
                  <w:pPr>
                    <w:pStyle w:val="68"/>
                    <w:rPr>
                      <w:rFonts w:eastAsia="等线"/>
                      <w:color w:val="auto"/>
                    </w:rPr>
                  </w:pPr>
                  <w:r>
                    <w:rPr>
                      <w:rFonts w:eastAsia="等线"/>
                      <w:color w:val="auto"/>
                    </w:rPr>
                    <w:t>7.7</w:t>
                  </w:r>
                </w:p>
              </w:tc>
              <w:tc>
                <w:tcPr>
                  <w:tcW w:w="190" w:type="pct"/>
                  <w:shd w:val="clear" w:color="000000" w:fill="FFFFFF"/>
                  <w:vAlign w:val="center"/>
                </w:tcPr>
                <w:p>
                  <w:pPr>
                    <w:pStyle w:val="68"/>
                    <w:rPr>
                      <w:rFonts w:eastAsia="等线"/>
                      <w:color w:val="auto"/>
                    </w:rPr>
                  </w:pPr>
                  <w:r>
                    <w:rPr>
                      <w:rFonts w:eastAsia="等线"/>
                      <w:color w:val="auto"/>
                    </w:rPr>
                    <w:t>6.4</w:t>
                  </w:r>
                </w:p>
              </w:tc>
              <w:tc>
                <w:tcPr>
                  <w:tcW w:w="238" w:type="pct"/>
                  <w:shd w:val="clear" w:color="000000" w:fill="FFFFFF"/>
                  <w:vAlign w:val="center"/>
                </w:tcPr>
                <w:p>
                  <w:pPr>
                    <w:pStyle w:val="68"/>
                    <w:rPr>
                      <w:rFonts w:eastAsia="等线"/>
                      <w:color w:val="auto"/>
                    </w:rPr>
                  </w:pPr>
                  <w:r>
                    <w:rPr>
                      <w:rFonts w:eastAsia="等线"/>
                      <w:color w:val="auto"/>
                    </w:rPr>
                    <w:t>103.6</w:t>
                  </w:r>
                </w:p>
              </w:tc>
              <w:tc>
                <w:tcPr>
                  <w:tcW w:w="237" w:type="pct"/>
                  <w:shd w:val="clear" w:color="000000" w:fill="FFFFFF"/>
                  <w:vAlign w:val="center"/>
                </w:tcPr>
                <w:p>
                  <w:pPr>
                    <w:pStyle w:val="68"/>
                    <w:rPr>
                      <w:rFonts w:eastAsia="等线"/>
                      <w:color w:val="auto"/>
                    </w:rPr>
                  </w:pPr>
                  <w:r>
                    <w:rPr>
                      <w:rFonts w:eastAsia="等线"/>
                      <w:color w:val="auto"/>
                    </w:rPr>
                    <w:t>104.1</w:t>
                  </w:r>
                </w:p>
              </w:tc>
              <w:tc>
                <w:tcPr>
                  <w:tcW w:w="238" w:type="pct"/>
                  <w:shd w:val="clear" w:color="000000" w:fill="FFFFFF"/>
                  <w:vAlign w:val="center"/>
                </w:tcPr>
                <w:p>
                  <w:pPr>
                    <w:pStyle w:val="68"/>
                    <w:rPr>
                      <w:rFonts w:eastAsia="等线"/>
                      <w:color w:val="auto"/>
                    </w:rPr>
                  </w:pPr>
                  <w:r>
                    <w:rPr>
                      <w:rFonts w:eastAsia="等线"/>
                      <w:color w:val="auto"/>
                    </w:rPr>
                    <w:t>103.6</w:t>
                  </w:r>
                </w:p>
              </w:tc>
              <w:tc>
                <w:tcPr>
                  <w:tcW w:w="238" w:type="pct"/>
                  <w:shd w:val="clear" w:color="000000" w:fill="FFFFFF"/>
                  <w:vAlign w:val="center"/>
                </w:tcPr>
                <w:p>
                  <w:pPr>
                    <w:pStyle w:val="68"/>
                    <w:rPr>
                      <w:rFonts w:eastAsia="等线"/>
                      <w:color w:val="auto"/>
                    </w:rPr>
                  </w:pPr>
                  <w:r>
                    <w:rPr>
                      <w:rFonts w:eastAsia="等线"/>
                      <w:color w:val="auto"/>
                    </w:rPr>
                    <w:t>103.6</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83.1</w:t>
                  </w:r>
                </w:p>
              </w:tc>
              <w:tc>
                <w:tcPr>
                  <w:tcW w:w="196"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82.6</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rPr>
                  </w:pPr>
                  <w:r>
                    <w:rPr>
                      <w:rFonts w:hint="eastAsia"/>
                      <w:color w:val="auto"/>
                    </w:rPr>
                    <w:t>除臭系统风机</w:t>
                  </w:r>
                </w:p>
              </w:tc>
              <w:tc>
                <w:tcPr>
                  <w:tcW w:w="190" w:type="pct"/>
                  <w:shd w:val="clear" w:color="000000" w:fill="FFFFFF"/>
                  <w:vAlign w:val="center"/>
                </w:tcPr>
                <w:p>
                  <w:pPr>
                    <w:pStyle w:val="68"/>
                    <w:rPr>
                      <w:rFonts w:eastAsia="等线"/>
                      <w:color w:val="auto"/>
                    </w:rPr>
                  </w:pPr>
                  <w:r>
                    <w:rPr>
                      <w:rFonts w:eastAsia="等线"/>
                      <w:color w:val="auto"/>
                    </w:rPr>
                    <w:t>110</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-6.9</w:t>
                  </w:r>
                </w:p>
              </w:tc>
              <w:tc>
                <w:tcPr>
                  <w:tcW w:w="179" w:type="pct"/>
                  <w:shd w:val="clear" w:color="000000" w:fill="FFFFFF"/>
                  <w:vAlign w:val="center"/>
                </w:tcPr>
                <w:p>
                  <w:pPr>
                    <w:pStyle w:val="68"/>
                    <w:rPr>
                      <w:rFonts w:eastAsia="等线"/>
                      <w:color w:val="auto"/>
                    </w:rPr>
                  </w:pPr>
                  <w:r>
                    <w:rPr>
                      <w:rFonts w:eastAsia="等线"/>
                      <w:color w:val="auto"/>
                    </w:rPr>
                    <w:t>15.5</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9.1</w:t>
                  </w:r>
                </w:p>
              </w:tc>
              <w:tc>
                <w:tcPr>
                  <w:tcW w:w="189" w:type="pct"/>
                  <w:shd w:val="clear" w:color="000000" w:fill="FFFFFF"/>
                  <w:vAlign w:val="center"/>
                </w:tcPr>
                <w:p>
                  <w:pPr>
                    <w:pStyle w:val="68"/>
                    <w:rPr>
                      <w:rFonts w:eastAsia="等线"/>
                      <w:color w:val="auto"/>
                    </w:rPr>
                  </w:pPr>
                  <w:r>
                    <w:rPr>
                      <w:rFonts w:eastAsia="等线"/>
                      <w:color w:val="auto"/>
                    </w:rPr>
                    <w:t>6.9</w:t>
                  </w:r>
                </w:p>
              </w:tc>
              <w:tc>
                <w:tcPr>
                  <w:tcW w:w="238" w:type="pct"/>
                  <w:shd w:val="clear" w:color="000000" w:fill="FFFFFF"/>
                  <w:vAlign w:val="center"/>
                </w:tcPr>
                <w:p>
                  <w:pPr>
                    <w:pStyle w:val="68"/>
                    <w:rPr>
                      <w:rFonts w:eastAsia="等线"/>
                      <w:color w:val="auto"/>
                    </w:rPr>
                  </w:pPr>
                  <w:r>
                    <w:rPr>
                      <w:rFonts w:eastAsia="等线"/>
                      <w:color w:val="auto"/>
                    </w:rPr>
                    <w:t>17.7</w:t>
                  </w:r>
                </w:p>
              </w:tc>
              <w:tc>
                <w:tcPr>
                  <w:tcW w:w="190" w:type="pct"/>
                  <w:shd w:val="clear" w:color="000000" w:fill="FFFFFF"/>
                  <w:vAlign w:val="center"/>
                </w:tcPr>
                <w:p>
                  <w:pPr>
                    <w:pStyle w:val="68"/>
                    <w:rPr>
                      <w:rFonts w:eastAsia="等线"/>
                      <w:color w:val="auto"/>
                    </w:rPr>
                  </w:pPr>
                  <w:r>
                    <w:rPr>
                      <w:rFonts w:eastAsia="等线"/>
                      <w:color w:val="auto"/>
                    </w:rPr>
                    <w:t>1</w:t>
                  </w:r>
                </w:p>
              </w:tc>
              <w:tc>
                <w:tcPr>
                  <w:tcW w:w="238" w:type="pct"/>
                  <w:shd w:val="clear" w:color="000000" w:fill="FFFFFF"/>
                  <w:vAlign w:val="center"/>
                </w:tcPr>
                <w:p>
                  <w:pPr>
                    <w:pStyle w:val="68"/>
                    <w:rPr>
                      <w:rFonts w:eastAsia="等线"/>
                      <w:color w:val="auto"/>
                    </w:rPr>
                  </w:pPr>
                  <w:r>
                    <w:rPr>
                      <w:rFonts w:eastAsia="等线"/>
                      <w:color w:val="auto"/>
                    </w:rPr>
                    <w:t>103.6</w:t>
                  </w:r>
                </w:p>
              </w:tc>
              <w:tc>
                <w:tcPr>
                  <w:tcW w:w="237" w:type="pct"/>
                  <w:shd w:val="clear" w:color="000000" w:fill="FFFFFF"/>
                  <w:vAlign w:val="center"/>
                </w:tcPr>
                <w:p>
                  <w:pPr>
                    <w:pStyle w:val="68"/>
                    <w:rPr>
                      <w:rFonts w:eastAsia="等线"/>
                      <w:color w:val="auto"/>
                    </w:rPr>
                  </w:pPr>
                  <w:r>
                    <w:rPr>
                      <w:rFonts w:eastAsia="等线"/>
                      <w:color w:val="auto"/>
                    </w:rPr>
                    <w:t>103.6</w:t>
                  </w:r>
                </w:p>
              </w:tc>
              <w:tc>
                <w:tcPr>
                  <w:tcW w:w="238" w:type="pct"/>
                  <w:shd w:val="clear" w:color="000000" w:fill="FFFFFF"/>
                  <w:vAlign w:val="center"/>
                </w:tcPr>
                <w:p>
                  <w:pPr>
                    <w:pStyle w:val="68"/>
                    <w:rPr>
                      <w:rFonts w:eastAsia="等线"/>
                      <w:color w:val="auto"/>
                    </w:rPr>
                  </w:pPr>
                  <w:r>
                    <w:rPr>
                      <w:rFonts w:eastAsia="等线"/>
                      <w:color w:val="auto"/>
                    </w:rPr>
                    <w:t>103.6</w:t>
                  </w:r>
                </w:p>
              </w:tc>
              <w:tc>
                <w:tcPr>
                  <w:tcW w:w="238" w:type="pct"/>
                  <w:shd w:val="clear" w:color="000000" w:fill="FFFFFF"/>
                  <w:vAlign w:val="center"/>
                </w:tcPr>
                <w:p>
                  <w:pPr>
                    <w:pStyle w:val="68"/>
                    <w:rPr>
                      <w:rFonts w:eastAsia="等线"/>
                      <w:color w:val="auto"/>
                    </w:rPr>
                  </w:pPr>
                  <w:r>
                    <w:rPr>
                      <w:rFonts w:eastAsia="等线"/>
                      <w:color w:val="auto"/>
                    </w:rPr>
                    <w:t>104.9</w:t>
                  </w:r>
                </w:p>
              </w:tc>
              <w:tc>
                <w:tcPr>
                  <w:tcW w:w="218" w:type="pct"/>
                  <w:vMerge w:val="continue"/>
                  <w:vAlign w:val="center"/>
                </w:tcPr>
                <w:p>
                  <w:pPr>
                    <w:pStyle w:val="68"/>
                    <w:rPr>
                      <w:rFonts w:eastAsia="等线"/>
                      <w:color w:val="auto"/>
                    </w:rPr>
                  </w:pP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83.9</w:t>
                  </w:r>
                </w:p>
              </w:tc>
              <w:tc>
                <w:tcPr>
                  <w:tcW w:w="223" w:type="pct"/>
                  <w:shd w:val="clear" w:color="000000" w:fill="FFFFFF"/>
                  <w:vAlign w:val="center"/>
                </w:tcPr>
                <w:p>
                  <w:pPr>
                    <w:pStyle w:val="68"/>
                    <w:rPr>
                      <w:rFonts w:eastAsia="等线"/>
                      <w:color w:val="auto"/>
                    </w:rPr>
                  </w:pPr>
                  <w:r>
                    <w:rPr>
                      <w:rFonts w:eastAsia="等线"/>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6" w:type="pct"/>
                  <w:shd w:val="clear" w:color="000000" w:fill="FFFFFF"/>
                  <w:vAlign w:val="center"/>
                </w:tcPr>
                <w:p>
                  <w:pPr>
                    <w:pStyle w:val="68"/>
                    <w:rPr>
                      <w:color w:val="auto"/>
                      <w:lang w:eastAsia="zh-CN"/>
                    </w:rPr>
                  </w:pPr>
                  <w:r>
                    <w:rPr>
                      <w:rFonts w:hint="eastAsia"/>
                      <w:color w:val="auto"/>
                      <w:lang w:eastAsia="zh-CN"/>
                    </w:rPr>
                    <w:t>好氧发酵仓风机</w:t>
                  </w:r>
                </w:p>
              </w:tc>
              <w:tc>
                <w:tcPr>
                  <w:tcW w:w="190" w:type="pct"/>
                  <w:shd w:val="clear" w:color="000000" w:fill="FFFFFF"/>
                  <w:vAlign w:val="center"/>
                </w:tcPr>
                <w:p>
                  <w:pPr>
                    <w:pStyle w:val="68"/>
                    <w:rPr>
                      <w:rFonts w:eastAsia="等线"/>
                      <w:color w:val="auto"/>
                      <w:lang w:eastAsia="zh-CN"/>
                    </w:rPr>
                  </w:pPr>
                  <w:r>
                    <w:rPr>
                      <w:rFonts w:hint="eastAsia" w:eastAsia="等线"/>
                      <w:color w:val="auto"/>
                      <w:lang w:eastAsia="zh-CN"/>
                    </w:rPr>
                    <w:t>1</w:t>
                  </w:r>
                  <w:r>
                    <w:rPr>
                      <w:rFonts w:eastAsia="等线"/>
                      <w:color w:val="auto"/>
                      <w:lang w:eastAsia="zh-CN"/>
                    </w:rPr>
                    <w:t>10</w:t>
                  </w:r>
                </w:p>
              </w:tc>
              <w:tc>
                <w:tcPr>
                  <w:tcW w:w="228" w:type="pct"/>
                  <w:vMerge w:val="continue"/>
                  <w:vAlign w:val="center"/>
                </w:tcPr>
                <w:p>
                  <w:pPr>
                    <w:pStyle w:val="68"/>
                    <w:rPr>
                      <w:color w:val="auto"/>
                    </w:rPr>
                  </w:pPr>
                </w:p>
              </w:tc>
              <w:tc>
                <w:tcPr>
                  <w:tcW w:w="211" w:type="pct"/>
                  <w:shd w:val="clear" w:color="000000" w:fill="FFFFFF"/>
                  <w:vAlign w:val="center"/>
                </w:tcPr>
                <w:p>
                  <w:pPr>
                    <w:pStyle w:val="68"/>
                    <w:rPr>
                      <w:rFonts w:eastAsia="等线"/>
                      <w:color w:val="auto"/>
                    </w:rPr>
                  </w:pPr>
                  <w:r>
                    <w:rPr>
                      <w:rFonts w:eastAsia="等线"/>
                      <w:color w:val="auto"/>
                    </w:rPr>
                    <w:t>-12.5</w:t>
                  </w:r>
                </w:p>
              </w:tc>
              <w:tc>
                <w:tcPr>
                  <w:tcW w:w="179" w:type="pct"/>
                  <w:shd w:val="clear" w:color="000000" w:fill="FFFFFF"/>
                  <w:vAlign w:val="center"/>
                </w:tcPr>
                <w:p>
                  <w:pPr>
                    <w:pStyle w:val="68"/>
                    <w:rPr>
                      <w:rFonts w:eastAsia="等线"/>
                      <w:color w:val="auto"/>
                    </w:rPr>
                  </w:pPr>
                  <w:r>
                    <w:rPr>
                      <w:rFonts w:eastAsia="等线"/>
                      <w:color w:val="auto"/>
                    </w:rPr>
                    <w:t>7.7</w:t>
                  </w:r>
                </w:p>
              </w:tc>
              <w:tc>
                <w:tcPr>
                  <w:tcW w:w="190" w:type="pct"/>
                  <w:shd w:val="clear" w:color="000000" w:fill="FFFFFF"/>
                  <w:vAlign w:val="center"/>
                </w:tcPr>
                <w:p>
                  <w:pPr>
                    <w:pStyle w:val="68"/>
                    <w:rPr>
                      <w:rFonts w:eastAsia="等线"/>
                      <w:color w:val="auto"/>
                    </w:rPr>
                  </w:pPr>
                  <w:r>
                    <w:rPr>
                      <w:rFonts w:eastAsia="等线"/>
                      <w:color w:val="auto"/>
                    </w:rPr>
                    <w:t>1.2</w:t>
                  </w:r>
                </w:p>
              </w:tc>
              <w:tc>
                <w:tcPr>
                  <w:tcW w:w="191" w:type="pct"/>
                  <w:shd w:val="clear" w:color="000000" w:fill="FFFFFF"/>
                  <w:vAlign w:val="center"/>
                </w:tcPr>
                <w:p>
                  <w:pPr>
                    <w:pStyle w:val="68"/>
                    <w:rPr>
                      <w:rFonts w:eastAsia="等线"/>
                      <w:color w:val="auto"/>
                    </w:rPr>
                  </w:pPr>
                  <w:r>
                    <w:rPr>
                      <w:rFonts w:eastAsia="等线"/>
                      <w:color w:val="auto"/>
                    </w:rPr>
                    <w:t>6.3</w:t>
                  </w:r>
                </w:p>
              </w:tc>
              <w:tc>
                <w:tcPr>
                  <w:tcW w:w="189" w:type="pct"/>
                  <w:shd w:val="clear" w:color="000000" w:fill="FFFFFF"/>
                  <w:vAlign w:val="center"/>
                </w:tcPr>
                <w:p>
                  <w:pPr>
                    <w:pStyle w:val="68"/>
                    <w:rPr>
                      <w:rFonts w:eastAsia="等线"/>
                      <w:color w:val="auto"/>
                    </w:rPr>
                  </w:pPr>
                  <w:r>
                    <w:rPr>
                      <w:rFonts w:eastAsia="等线"/>
                      <w:color w:val="auto"/>
                    </w:rPr>
                    <w:t>2.7</w:t>
                  </w:r>
                </w:p>
              </w:tc>
              <w:tc>
                <w:tcPr>
                  <w:tcW w:w="238" w:type="pct"/>
                  <w:shd w:val="clear" w:color="000000" w:fill="FFFFFF"/>
                  <w:vAlign w:val="center"/>
                </w:tcPr>
                <w:p>
                  <w:pPr>
                    <w:pStyle w:val="68"/>
                    <w:rPr>
                      <w:rFonts w:eastAsia="等线"/>
                      <w:color w:val="auto"/>
                    </w:rPr>
                  </w:pPr>
                  <w:r>
                    <w:rPr>
                      <w:rFonts w:eastAsia="等线"/>
                      <w:color w:val="auto"/>
                    </w:rPr>
                    <w:t>15.3</w:t>
                  </w:r>
                </w:p>
              </w:tc>
              <w:tc>
                <w:tcPr>
                  <w:tcW w:w="190" w:type="pct"/>
                  <w:shd w:val="clear" w:color="000000" w:fill="FFFFFF"/>
                  <w:vAlign w:val="center"/>
                </w:tcPr>
                <w:p>
                  <w:pPr>
                    <w:pStyle w:val="68"/>
                    <w:rPr>
                      <w:rFonts w:eastAsia="等线"/>
                      <w:color w:val="auto"/>
                    </w:rPr>
                  </w:pPr>
                  <w:r>
                    <w:rPr>
                      <w:rFonts w:eastAsia="等线"/>
                      <w:color w:val="auto"/>
                    </w:rPr>
                    <w:t>14.2</w:t>
                  </w:r>
                </w:p>
              </w:tc>
              <w:tc>
                <w:tcPr>
                  <w:tcW w:w="238" w:type="pct"/>
                  <w:shd w:val="clear" w:color="000000" w:fill="FFFFFF"/>
                  <w:vAlign w:val="center"/>
                </w:tcPr>
                <w:p>
                  <w:pPr>
                    <w:pStyle w:val="68"/>
                    <w:rPr>
                      <w:rFonts w:eastAsia="等线"/>
                      <w:color w:val="auto"/>
                    </w:rPr>
                  </w:pPr>
                  <w:r>
                    <w:rPr>
                      <w:rFonts w:eastAsia="等线"/>
                      <w:color w:val="auto"/>
                    </w:rPr>
                    <w:t>103.5</w:t>
                  </w:r>
                </w:p>
              </w:tc>
              <w:tc>
                <w:tcPr>
                  <w:tcW w:w="237" w:type="pct"/>
                  <w:shd w:val="clear" w:color="000000" w:fill="FFFFFF"/>
                  <w:vAlign w:val="center"/>
                </w:tcPr>
                <w:p>
                  <w:pPr>
                    <w:pStyle w:val="68"/>
                    <w:rPr>
                      <w:rFonts w:eastAsia="等线"/>
                      <w:color w:val="auto"/>
                    </w:rPr>
                  </w:pPr>
                  <w:r>
                    <w:rPr>
                      <w:rFonts w:eastAsia="等线"/>
                      <w:color w:val="auto"/>
                    </w:rPr>
                    <w:t>103.7</w:t>
                  </w:r>
                </w:p>
              </w:tc>
              <w:tc>
                <w:tcPr>
                  <w:tcW w:w="238" w:type="pct"/>
                  <w:shd w:val="clear" w:color="000000" w:fill="FFFFFF"/>
                  <w:vAlign w:val="center"/>
                </w:tcPr>
                <w:p>
                  <w:pPr>
                    <w:pStyle w:val="68"/>
                    <w:rPr>
                      <w:rFonts w:eastAsia="等线"/>
                      <w:color w:val="auto"/>
                    </w:rPr>
                  </w:pPr>
                  <w:r>
                    <w:rPr>
                      <w:rFonts w:eastAsia="等线"/>
                      <w:color w:val="auto"/>
                    </w:rPr>
                    <w:t>104.1</w:t>
                  </w:r>
                </w:p>
              </w:tc>
              <w:tc>
                <w:tcPr>
                  <w:tcW w:w="238" w:type="pct"/>
                  <w:shd w:val="clear" w:color="000000" w:fill="FFFFFF"/>
                  <w:vAlign w:val="center"/>
                </w:tcPr>
                <w:p>
                  <w:pPr>
                    <w:pStyle w:val="68"/>
                    <w:rPr>
                      <w:rFonts w:eastAsia="等线"/>
                      <w:color w:val="auto"/>
                    </w:rPr>
                  </w:pPr>
                  <w:r>
                    <w:rPr>
                      <w:rFonts w:eastAsia="等线"/>
                      <w:color w:val="auto"/>
                    </w:rPr>
                    <w:t>104.2</w:t>
                  </w:r>
                </w:p>
              </w:tc>
              <w:tc>
                <w:tcPr>
                  <w:tcW w:w="218" w:type="pct"/>
                  <w:vAlign w:val="center"/>
                </w:tcPr>
                <w:p>
                  <w:pPr>
                    <w:pStyle w:val="68"/>
                    <w:rPr>
                      <w:rFonts w:eastAsia="等线"/>
                      <w:color w:val="auto"/>
                    </w:rPr>
                  </w:pPr>
                  <w:r>
                    <w:rPr>
                      <w:rFonts w:hint="eastAsia" w:eastAsia="等线"/>
                      <w:color w:val="auto"/>
                      <w:lang w:eastAsia="zh-CN"/>
                    </w:rPr>
                    <w:t>全天</w:t>
                  </w:r>
                </w:p>
              </w:tc>
              <w:tc>
                <w:tcPr>
                  <w:tcW w:w="192"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191" w:type="pct"/>
                  <w:shd w:val="clear" w:color="000000" w:fill="FFFFFF"/>
                  <w:vAlign w:val="center"/>
                </w:tcPr>
                <w:p>
                  <w:pPr>
                    <w:pStyle w:val="68"/>
                    <w:rPr>
                      <w:rFonts w:eastAsia="等线"/>
                      <w:color w:val="auto"/>
                    </w:rPr>
                  </w:pPr>
                  <w:r>
                    <w:rPr>
                      <w:rFonts w:eastAsia="等线"/>
                      <w:color w:val="auto"/>
                    </w:rPr>
                    <w:t>21</w:t>
                  </w:r>
                </w:p>
              </w:tc>
              <w:tc>
                <w:tcPr>
                  <w:tcW w:w="203"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82.6</w:t>
                  </w:r>
                </w:p>
              </w:tc>
              <w:tc>
                <w:tcPr>
                  <w:tcW w:w="196" w:type="pct"/>
                  <w:shd w:val="clear" w:color="000000" w:fill="FFFFFF"/>
                  <w:vAlign w:val="center"/>
                </w:tcPr>
                <w:p>
                  <w:pPr>
                    <w:pStyle w:val="68"/>
                    <w:rPr>
                      <w:rFonts w:eastAsia="等线"/>
                      <w:color w:val="auto"/>
                    </w:rPr>
                  </w:pPr>
                  <w:r>
                    <w:rPr>
                      <w:rFonts w:eastAsia="等线"/>
                      <w:color w:val="auto"/>
                    </w:rPr>
                    <w:t>82.5</w:t>
                  </w:r>
                </w:p>
              </w:tc>
              <w:tc>
                <w:tcPr>
                  <w:tcW w:w="196" w:type="pct"/>
                  <w:shd w:val="clear" w:color="000000" w:fill="FFFFFF"/>
                  <w:vAlign w:val="center"/>
                </w:tcPr>
                <w:p>
                  <w:pPr>
                    <w:pStyle w:val="68"/>
                    <w:rPr>
                      <w:rFonts w:eastAsia="等线"/>
                      <w:color w:val="auto"/>
                    </w:rPr>
                  </w:pPr>
                  <w:r>
                    <w:rPr>
                      <w:rFonts w:eastAsia="等线"/>
                      <w:color w:val="auto"/>
                    </w:rPr>
                    <w:t>83.7</w:t>
                  </w:r>
                </w:p>
              </w:tc>
              <w:tc>
                <w:tcPr>
                  <w:tcW w:w="223" w:type="pct"/>
                  <w:shd w:val="clear" w:color="000000" w:fill="FFFFFF"/>
                  <w:vAlign w:val="center"/>
                </w:tcPr>
                <w:p>
                  <w:pPr>
                    <w:pStyle w:val="68"/>
                    <w:rPr>
                      <w:rFonts w:eastAsia="等线"/>
                      <w:color w:val="auto"/>
                    </w:rPr>
                  </w:pPr>
                  <w:r>
                    <w:rPr>
                      <w:rFonts w:eastAsia="等线"/>
                      <w:color w:val="auto"/>
                    </w:rPr>
                    <w:t>1</w:t>
                  </w:r>
                </w:p>
              </w:tc>
            </w:tr>
          </w:tbl>
          <w:p>
            <w:pPr>
              <w:pStyle w:val="71"/>
              <w:rPr>
                <w:rFonts w:ascii="宋体" w:cs="宋体"/>
                <w:color w:val="auto"/>
                <w:kern w:val="0"/>
                <w:sz w:val="28"/>
                <w:szCs w:val="28"/>
              </w:rPr>
            </w:pPr>
          </w:p>
        </w:tc>
      </w:tr>
    </w:tbl>
    <w:p>
      <w:pPr>
        <w:adjustRightInd w:val="0"/>
        <w:snapToGrid w:val="0"/>
        <w:ind w:firstLine="562"/>
        <w:rPr>
          <w:rFonts w:ascii="宋体" w:cs="宋体"/>
          <w:b/>
          <w:color w:val="auto"/>
          <w:kern w:val="0"/>
          <w:sz w:val="28"/>
          <w:szCs w:val="28"/>
        </w:rPr>
        <w:sectPr>
          <w:pgSz w:w="19278" w:h="13211" w:orient="landscape"/>
          <w:pgMar w:top="720" w:right="720" w:bottom="720" w:left="720" w:header="851" w:footer="851" w:gutter="0"/>
          <w:cols w:space="720" w:num="1"/>
          <w:docGrid w:linePitch="326" w:charSpace="0"/>
        </w:sectPr>
      </w:pPr>
      <w:r>
        <w:rPr>
          <w:rFonts w:ascii="宋体" w:cs="宋体"/>
          <w:b/>
          <w:color w:val="auto"/>
          <w:kern w:val="0"/>
          <w:sz w:val="28"/>
          <w:szCs w:val="28"/>
        </w:rPr>
        <w:br w:type="page"/>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Align w:val="center"/>
          </w:tcPr>
          <w:p>
            <w:pPr>
              <w:adjustRightInd w:val="0"/>
              <w:snapToGrid w:val="0"/>
              <w:ind w:firstLine="0" w:firstLineChars="0"/>
              <w:jc w:val="center"/>
              <w:rPr>
                <w:rFonts w:ascii="宋体" w:cs="宋体"/>
                <w:b/>
                <w:color w:val="auto"/>
                <w:kern w:val="0"/>
                <w:sz w:val="28"/>
                <w:szCs w:val="28"/>
              </w:rPr>
            </w:pPr>
            <w:r>
              <w:rPr>
                <w:rFonts w:hint="eastAsia" w:ascii="宋体" w:cs="宋体"/>
                <w:color w:val="auto"/>
                <w:kern w:val="0"/>
              </w:rPr>
              <w:t>运营期环境影响和保护措施</w:t>
            </w:r>
          </w:p>
        </w:tc>
        <w:tc>
          <w:tcPr>
            <w:tcW w:w="8131" w:type="dxa"/>
          </w:tcPr>
          <w:p>
            <w:pPr>
              <w:ind w:firstLine="480"/>
              <w:rPr>
                <w:color w:val="auto"/>
              </w:rPr>
            </w:pPr>
            <w:r>
              <w:rPr>
                <w:color w:val="auto"/>
              </w:rPr>
              <w:t>项目噪声环境影响预测基础数据见表4.</w:t>
            </w:r>
            <w:r>
              <w:rPr>
                <w:rFonts w:hint="eastAsia"/>
                <w:color w:val="auto"/>
                <w:lang w:val="en-US" w:eastAsia="zh-CN"/>
              </w:rPr>
              <w:t>2</w:t>
            </w:r>
            <w:r>
              <w:rPr>
                <w:color w:val="auto"/>
              </w:rPr>
              <w:t>-</w:t>
            </w:r>
            <w:r>
              <w:rPr>
                <w:rFonts w:hint="eastAsia"/>
                <w:color w:val="auto"/>
                <w:lang w:val="en-US" w:eastAsia="zh-CN"/>
              </w:rPr>
              <w:t>24</w:t>
            </w:r>
            <w:r>
              <w:rPr>
                <w:color w:val="auto"/>
              </w:rPr>
              <w:t>。</w:t>
            </w:r>
          </w:p>
          <w:p>
            <w:pPr>
              <w:pStyle w:val="71"/>
              <w:rPr>
                <w:color w:val="auto"/>
              </w:rPr>
            </w:pPr>
            <w:r>
              <w:rPr>
                <w:color w:val="auto"/>
              </w:rPr>
              <w:t>表4.2-</w:t>
            </w:r>
            <w:r>
              <w:rPr>
                <w:rFonts w:hint="eastAsia"/>
                <w:color w:val="auto"/>
                <w:lang w:val="en-US" w:eastAsia="zh-CN"/>
              </w:rPr>
              <w:t>24</w:t>
            </w:r>
            <w:r>
              <w:rPr>
                <w:color w:val="auto"/>
              </w:rPr>
              <w:t xml:space="preserve"> 项目噪声环境影响预测基础数据表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2045"/>
              <w:gridCol w:w="1569"/>
              <w:gridCol w:w="156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1091" w:type="dxa"/>
                  <w:vAlign w:val="center"/>
                </w:tcPr>
                <w:p>
                  <w:pPr>
                    <w:pStyle w:val="68"/>
                    <w:rPr>
                      <w:b/>
                      <w:bCs/>
                      <w:color w:val="auto"/>
                    </w:rPr>
                  </w:pPr>
                  <w:bookmarkStart w:id="7" w:name="PT_4"/>
                  <w:r>
                    <w:rPr>
                      <w:b/>
                      <w:bCs/>
                      <w:color w:val="auto"/>
                    </w:rPr>
                    <w:t>序号</w:t>
                  </w:r>
                </w:p>
              </w:tc>
              <w:tc>
                <w:tcPr>
                  <w:tcW w:w="2045" w:type="dxa"/>
                  <w:vAlign w:val="center"/>
                </w:tcPr>
                <w:p>
                  <w:pPr>
                    <w:pStyle w:val="68"/>
                    <w:rPr>
                      <w:b/>
                      <w:bCs/>
                      <w:color w:val="auto"/>
                    </w:rPr>
                  </w:pPr>
                  <w:r>
                    <w:rPr>
                      <w:b/>
                      <w:bCs/>
                      <w:color w:val="auto"/>
                    </w:rPr>
                    <w:t>名称</w:t>
                  </w:r>
                </w:p>
              </w:tc>
              <w:tc>
                <w:tcPr>
                  <w:tcW w:w="1569" w:type="dxa"/>
                  <w:vAlign w:val="center"/>
                </w:tcPr>
                <w:p>
                  <w:pPr>
                    <w:pStyle w:val="68"/>
                    <w:rPr>
                      <w:b/>
                      <w:bCs/>
                      <w:color w:val="auto"/>
                    </w:rPr>
                  </w:pPr>
                  <w:r>
                    <w:rPr>
                      <w:b/>
                      <w:bCs/>
                      <w:color w:val="auto"/>
                    </w:rPr>
                    <w:t>单位</w:t>
                  </w:r>
                </w:p>
              </w:tc>
              <w:tc>
                <w:tcPr>
                  <w:tcW w:w="1568" w:type="dxa"/>
                  <w:vAlign w:val="center"/>
                </w:tcPr>
                <w:p>
                  <w:pPr>
                    <w:pStyle w:val="68"/>
                    <w:rPr>
                      <w:b/>
                      <w:bCs/>
                      <w:color w:val="auto"/>
                    </w:rPr>
                  </w:pPr>
                  <w:r>
                    <w:rPr>
                      <w:b/>
                      <w:bCs/>
                      <w:color w:val="auto"/>
                    </w:rPr>
                    <w:t>数据</w:t>
                  </w:r>
                </w:p>
              </w:tc>
              <w:tc>
                <w:tcPr>
                  <w:tcW w:w="1568" w:type="dxa"/>
                  <w:vAlign w:val="center"/>
                </w:tcPr>
                <w:p>
                  <w:pPr>
                    <w:pStyle w:val="68"/>
                    <w:rPr>
                      <w:b/>
                      <w:bCs/>
                      <w:color w:val="auto"/>
                    </w:rPr>
                  </w:pPr>
                  <w:r>
                    <w:rPr>
                      <w:b/>
                      <w:bCs/>
                      <w:color w:val="auto"/>
                    </w:rPr>
                    <w:t>备注</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3" w:hRule="exact"/>
                <w:jc w:val="center"/>
              </w:trPr>
              <w:tc>
                <w:tcPr>
                  <w:tcW w:w="1091" w:type="dxa"/>
                  <w:shd w:val="clear" w:color="auto" w:fill="FFFFFF"/>
                  <w:vAlign w:val="center"/>
                </w:tcPr>
                <w:p>
                  <w:pPr>
                    <w:pStyle w:val="68"/>
                    <w:rPr>
                      <w:color w:val="auto"/>
                    </w:rPr>
                  </w:pPr>
                  <w:r>
                    <w:rPr>
                      <w:color w:val="auto"/>
                    </w:rPr>
                    <w:t>1</w:t>
                  </w:r>
                </w:p>
              </w:tc>
              <w:tc>
                <w:tcPr>
                  <w:tcW w:w="2045" w:type="dxa"/>
                  <w:shd w:val="clear" w:color="auto" w:fill="FFFFFF"/>
                  <w:vAlign w:val="center"/>
                </w:tcPr>
                <w:p>
                  <w:pPr>
                    <w:pStyle w:val="68"/>
                    <w:rPr>
                      <w:color w:val="auto"/>
                    </w:rPr>
                  </w:pPr>
                  <w:r>
                    <w:rPr>
                      <w:color w:val="auto"/>
                    </w:rPr>
                    <w:t>年平均风速</w:t>
                  </w:r>
                </w:p>
              </w:tc>
              <w:tc>
                <w:tcPr>
                  <w:tcW w:w="1569" w:type="dxa"/>
                  <w:shd w:val="clear" w:color="auto" w:fill="FFFFFF"/>
                  <w:vAlign w:val="center"/>
                </w:tcPr>
                <w:p>
                  <w:pPr>
                    <w:pStyle w:val="68"/>
                    <w:rPr>
                      <w:color w:val="auto"/>
                    </w:rPr>
                  </w:pPr>
                  <w:r>
                    <w:rPr>
                      <w:color w:val="auto"/>
                    </w:rPr>
                    <w:t>m/s</w:t>
                  </w:r>
                </w:p>
              </w:tc>
              <w:tc>
                <w:tcPr>
                  <w:tcW w:w="1568" w:type="dxa"/>
                  <w:shd w:val="clear" w:color="auto" w:fill="FFFFFF"/>
                  <w:vAlign w:val="center"/>
                </w:tcPr>
                <w:p>
                  <w:pPr>
                    <w:pStyle w:val="68"/>
                    <w:rPr>
                      <w:color w:val="auto"/>
                    </w:rPr>
                  </w:pPr>
                  <w:r>
                    <w:rPr>
                      <w:color w:val="auto"/>
                    </w:rPr>
                    <w:t>1.5</w:t>
                  </w:r>
                </w:p>
              </w:tc>
              <w:tc>
                <w:tcPr>
                  <w:tcW w:w="1568" w:type="dxa"/>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7" w:hRule="exact"/>
                <w:jc w:val="center"/>
              </w:trPr>
              <w:tc>
                <w:tcPr>
                  <w:tcW w:w="1091" w:type="dxa"/>
                  <w:shd w:val="clear" w:color="auto" w:fill="FFFFFF"/>
                  <w:vAlign w:val="center"/>
                </w:tcPr>
                <w:p>
                  <w:pPr>
                    <w:pStyle w:val="68"/>
                    <w:rPr>
                      <w:color w:val="auto"/>
                    </w:rPr>
                  </w:pPr>
                  <w:r>
                    <w:rPr>
                      <w:color w:val="auto"/>
                    </w:rPr>
                    <w:t>2</w:t>
                  </w:r>
                </w:p>
              </w:tc>
              <w:tc>
                <w:tcPr>
                  <w:tcW w:w="2045" w:type="dxa"/>
                  <w:shd w:val="clear" w:color="auto" w:fill="FFFFFF"/>
                  <w:vAlign w:val="center"/>
                </w:tcPr>
                <w:p>
                  <w:pPr>
                    <w:pStyle w:val="68"/>
                    <w:rPr>
                      <w:color w:val="auto"/>
                    </w:rPr>
                  </w:pPr>
                  <w:r>
                    <w:rPr>
                      <w:color w:val="auto"/>
                    </w:rPr>
                    <w:t>主导风向</w:t>
                  </w:r>
                </w:p>
              </w:tc>
              <w:tc>
                <w:tcPr>
                  <w:tcW w:w="1569" w:type="dxa"/>
                  <w:shd w:val="clear" w:color="auto" w:fill="FFFFFF"/>
                  <w:vAlign w:val="center"/>
                </w:tcPr>
                <w:p>
                  <w:pPr>
                    <w:pStyle w:val="68"/>
                    <w:rPr>
                      <w:color w:val="auto"/>
                    </w:rPr>
                  </w:pPr>
                  <w:r>
                    <w:rPr>
                      <w:color w:val="auto"/>
                    </w:rPr>
                    <w:t>/</w:t>
                  </w:r>
                </w:p>
              </w:tc>
              <w:tc>
                <w:tcPr>
                  <w:tcW w:w="1568" w:type="dxa"/>
                  <w:shd w:val="clear" w:color="auto" w:fill="FFFFFF"/>
                  <w:vAlign w:val="center"/>
                </w:tcPr>
                <w:p>
                  <w:pPr>
                    <w:pStyle w:val="68"/>
                    <w:rPr>
                      <w:color w:val="auto"/>
                    </w:rPr>
                  </w:pPr>
                  <w:r>
                    <w:rPr>
                      <w:rFonts w:hint="eastAsia"/>
                      <w:color w:val="auto"/>
                      <w:lang w:eastAsia="zh-CN"/>
                    </w:rPr>
                    <w:t>西南风</w:t>
                  </w:r>
                </w:p>
              </w:tc>
              <w:tc>
                <w:tcPr>
                  <w:tcW w:w="1568" w:type="dxa"/>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7" w:hRule="exact"/>
                <w:jc w:val="center"/>
              </w:trPr>
              <w:tc>
                <w:tcPr>
                  <w:tcW w:w="1091" w:type="dxa"/>
                  <w:shd w:val="clear" w:color="auto" w:fill="FFFFFF"/>
                  <w:vAlign w:val="center"/>
                </w:tcPr>
                <w:p>
                  <w:pPr>
                    <w:pStyle w:val="68"/>
                    <w:rPr>
                      <w:color w:val="auto"/>
                    </w:rPr>
                  </w:pPr>
                  <w:r>
                    <w:rPr>
                      <w:color w:val="auto"/>
                    </w:rPr>
                    <w:t>3</w:t>
                  </w:r>
                </w:p>
              </w:tc>
              <w:tc>
                <w:tcPr>
                  <w:tcW w:w="2045" w:type="dxa"/>
                  <w:shd w:val="clear" w:color="auto" w:fill="FFFFFF"/>
                  <w:vAlign w:val="center"/>
                </w:tcPr>
                <w:p>
                  <w:pPr>
                    <w:pStyle w:val="68"/>
                    <w:rPr>
                      <w:color w:val="auto"/>
                    </w:rPr>
                  </w:pPr>
                  <w:r>
                    <w:rPr>
                      <w:color w:val="auto"/>
                    </w:rPr>
                    <w:t>年平均气温</w:t>
                  </w:r>
                </w:p>
              </w:tc>
              <w:tc>
                <w:tcPr>
                  <w:tcW w:w="1569" w:type="dxa"/>
                  <w:shd w:val="clear" w:color="auto" w:fill="FFFFFF"/>
                  <w:vAlign w:val="center"/>
                </w:tcPr>
                <w:p>
                  <w:pPr>
                    <w:pStyle w:val="68"/>
                    <w:rPr>
                      <w:color w:val="auto"/>
                    </w:rPr>
                  </w:pPr>
                  <w:r>
                    <w:rPr>
                      <w:color w:val="auto"/>
                    </w:rPr>
                    <w:t>℃</w:t>
                  </w:r>
                </w:p>
              </w:tc>
              <w:tc>
                <w:tcPr>
                  <w:tcW w:w="1568" w:type="dxa"/>
                  <w:shd w:val="clear" w:color="auto" w:fill="FFFFFF"/>
                  <w:vAlign w:val="center"/>
                </w:tcPr>
                <w:p>
                  <w:pPr>
                    <w:pStyle w:val="68"/>
                    <w:rPr>
                      <w:color w:val="auto"/>
                    </w:rPr>
                  </w:pPr>
                  <w:r>
                    <w:rPr>
                      <w:color w:val="auto"/>
                    </w:rPr>
                    <w:t>20</w:t>
                  </w:r>
                </w:p>
              </w:tc>
              <w:tc>
                <w:tcPr>
                  <w:tcW w:w="1568" w:type="dxa"/>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60" w:hRule="exact"/>
                <w:jc w:val="center"/>
              </w:trPr>
              <w:tc>
                <w:tcPr>
                  <w:tcW w:w="1091" w:type="dxa"/>
                  <w:shd w:val="clear" w:color="auto" w:fill="FFFFFF"/>
                  <w:vAlign w:val="center"/>
                </w:tcPr>
                <w:p>
                  <w:pPr>
                    <w:pStyle w:val="68"/>
                    <w:rPr>
                      <w:color w:val="auto"/>
                    </w:rPr>
                  </w:pPr>
                  <w:r>
                    <w:rPr>
                      <w:color w:val="auto"/>
                    </w:rPr>
                    <w:t>4</w:t>
                  </w:r>
                </w:p>
              </w:tc>
              <w:tc>
                <w:tcPr>
                  <w:tcW w:w="2045" w:type="dxa"/>
                  <w:shd w:val="clear" w:color="auto" w:fill="FFFFFF"/>
                  <w:vAlign w:val="center"/>
                </w:tcPr>
                <w:p>
                  <w:pPr>
                    <w:pStyle w:val="68"/>
                    <w:rPr>
                      <w:color w:val="auto"/>
                    </w:rPr>
                  </w:pPr>
                  <w:r>
                    <w:rPr>
                      <w:color w:val="auto"/>
                    </w:rPr>
                    <w:t>年平均相对湿度</w:t>
                  </w:r>
                </w:p>
              </w:tc>
              <w:tc>
                <w:tcPr>
                  <w:tcW w:w="1569" w:type="dxa"/>
                  <w:shd w:val="clear" w:color="auto" w:fill="FFFFFF"/>
                  <w:vAlign w:val="center"/>
                </w:tcPr>
                <w:p>
                  <w:pPr>
                    <w:pStyle w:val="68"/>
                    <w:rPr>
                      <w:color w:val="auto"/>
                    </w:rPr>
                  </w:pPr>
                  <w:r>
                    <w:rPr>
                      <w:color w:val="auto"/>
                    </w:rPr>
                    <w:t>%</w:t>
                  </w:r>
                </w:p>
              </w:tc>
              <w:tc>
                <w:tcPr>
                  <w:tcW w:w="1568" w:type="dxa"/>
                  <w:shd w:val="clear" w:color="auto" w:fill="FFFFFF"/>
                  <w:vAlign w:val="center"/>
                </w:tcPr>
                <w:p>
                  <w:pPr>
                    <w:pStyle w:val="68"/>
                    <w:rPr>
                      <w:color w:val="auto"/>
                    </w:rPr>
                  </w:pPr>
                  <w:r>
                    <w:rPr>
                      <w:color w:val="auto"/>
                    </w:rPr>
                    <w:t>75</w:t>
                  </w:r>
                </w:p>
              </w:tc>
              <w:tc>
                <w:tcPr>
                  <w:tcW w:w="1568" w:type="dxa"/>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0" w:hRule="exact"/>
                <w:jc w:val="center"/>
              </w:trPr>
              <w:tc>
                <w:tcPr>
                  <w:tcW w:w="1091" w:type="dxa"/>
                  <w:shd w:val="clear" w:color="auto" w:fill="FFFFFF"/>
                  <w:vAlign w:val="center"/>
                </w:tcPr>
                <w:p>
                  <w:pPr>
                    <w:pStyle w:val="68"/>
                    <w:rPr>
                      <w:color w:val="auto"/>
                    </w:rPr>
                  </w:pPr>
                  <w:r>
                    <w:rPr>
                      <w:color w:val="auto"/>
                    </w:rPr>
                    <w:t>5</w:t>
                  </w:r>
                </w:p>
              </w:tc>
              <w:tc>
                <w:tcPr>
                  <w:tcW w:w="2045" w:type="dxa"/>
                  <w:shd w:val="clear" w:color="auto" w:fill="FFFFFF"/>
                  <w:vAlign w:val="center"/>
                </w:tcPr>
                <w:p>
                  <w:pPr>
                    <w:pStyle w:val="68"/>
                    <w:rPr>
                      <w:color w:val="auto"/>
                    </w:rPr>
                  </w:pPr>
                  <w:r>
                    <w:rPr>
                      <w:color w:val="auto"/>
                    </w:rPr>
                    <w:t>大气压强</w:t>
                  </w:r>
                </w:p>
              </w:tc>
              <w:tc>
                <w:tcPr>
                  <w:tcW w:w="1569" w:type="dxa"/>
                  <w:shd w:val="clear" w:color="auto" w:fill="FFFFFF"/>
                  <w:vAlign w:val="center"/>
                </w:tcPr>
                <w:p>
                  <w:pPr>
                    <w:pStyle w:val="68"/>
                    <w:rPr>
                      <w:color w:val="auto"/>
                    </w:rPr>
                  </w:pPr>
                  <w:r>
                    <w:rPr>
                      <w:color w:val="auto"/>
                      <w:shd w:val="clear" w:fill="FFFFFF"/>
                    </w:rPr>
                    <w:t>atm</w:t>
                  </w:r>
                </w:p>
              </w:tc>
              <w:tc>
                <w:tcPr>
                  <w:tcW w:w="1568" w:type="dxa"/>
                  <w:shd w:val="clear" w:color="auto" w:fill="FFFFFF"/>
                  <w:vAlign w:val="center"/>
                </w:tcPr>
                <w:p>
                  <w:pPr>
                    <w:pStyle w:val="68"/>
                    <w:rPr>
                      <w:color w:val="auto"/>
                    </w:rPr>
                  </w:pPr>
                  <w:r>
                    <w:rPr>
                      <w:color w:val="auto"/>
                    </w:rPr>
                    <w:t>1</w:t>
                  </w:r>
                </w:p>
              </w:tc>
              <w:tc>
                <w:tcPr>
                  <w:tcW w:w="1568" w:type="dxa"/>
                  <w:shd w:val="clear" w:color="auto" w:fill="FFFFFF"/>
                  <w:vAlign w:val="center"/>
                </w:tcPr>
                <w:p>
                  <w:pPr>
                    <w:pStyle w:val="68"/>
                    <w:rPr>
                      <w:color w:val="auto"/>
                    </w:rPr>
                  </w:pPr>
                </w:p>
              </w:tc>
            </w:tr>
          </w:tbl>
          <w:p>
            <w:pPr>
              <w:ind w:firstLine="480"/>
              <w:rPr>
                <w:color w:val="auto"/>
              </w:rPr>
            </w:pPr>
            <w:r>
              <w:rPr>
                <w:color w:val="auto"/>
              </w:rPr>
              <w:t>声源和预测点间的地形、高差、障碍物、树林、灌木等的分布情况以及地面覆盖情况（如草地、水面、水泥地面、土质地面等）根据现场踏勘、项目总平图等，并结合卫星图片地理信息数据确定，数据精度为10m。</w:t>
            </w:r>
          </w:p>
          <w:p>
            <w:pPr>
              <w:pStyle w:val="75"/>
              <w:rPr>
                <w:color w:val="auto"/>
              </w:rPr>
            </w:pPr>
            <w:r>
              <w:rPr>
                <w:rFonts w:hint="eastAsia"/>
                <w:color w:val="auto"/>
              </w:rPr>
              <w:t>4</w:t>
            </w:r>
            <w:r>
              <w:rPr>
                <w:color w:val="auto"/>
              </w:rPr>
              <w:t>.2.3.3预测结果</w:t>
            </w:r>
          </w:p>
          <w:p>
            <w:pPr>
              <w:ind w:firstLine="480"/>
              <w:rPr>
                <w:color w:val="auto"/>
              </w:rPr>
            </w:pPr>
            <w:r>
              <w:rPr>
                <w:color w:val="auto"/>
              </w:rPr>
              <w:t>通过预测模型计算，项目厂界噪声预测结果与达标分析见表4.2-</w:t>
            </w:r>
            <w:r>
              <w:rPr>
                <w:rFonts w:hint="eastAsia"/>
                <w:color w:val="auto"/>
                <w:lang w:val="en-US" w:eastAsia="zh-CN"/>
              </w:rPr>
              <w:t>25</w:t>
            </w:r>
            <w:r>
              <w:rPr>
                <w:rFonts w:hint="eastAsia"/>
                <w:color w:val="auto"/>
              </w:rPr>
              <w:t>，</w:t>
            </w:r>
            <w:r>
              <w:rPr>
                <w:color w:val="auto"/>
              </w:rPr>
              <w:t>声环境保护目标噪声预测结果与达标分析见表4.2-</w:t>
            </w:r>
            <w:r>
              <w:rPr>
                <w:rFonts w:hint="eastAsia"/>
                <w:color w:val="auto"/>
                <w:lang w:val="en-US" w:eastAsia="zh-CN"/>
              </w:rPr>
              <w:t>26</w:t>
            </w:r>
            <w:r>
              <w:rPr>
                <w:rFonts w:hint="eastAsia"/>
                <w:color w:val="auto"/>
              </w:rPr>
              <w:t>。</w:t>
            </w:r>
          </w:p>
          <w:p>
            <w:pPr>
              <w:pStyle w:val="71"/>
              <w:rPr>
                <w:color w:val="auto"/>
              </w:rPr>
            </w:pPr>
            <w:r>
              <w:rPr>
                <w:color w:val="auto"/>
              </w:rPr>
              <w:t>表4.2-</w:t>
            </w:r>
            <w:r>
              <w:rPr>
                <w:rFonts w:hint="eastAsia"/>
                <w:color w:val="auto"/>
                <w:lang w:val="en-US" w:eastAsia="zh-CN"/>
              </w:rPr>
              <w:t xml:space="preserve">25  </w:t>
            </w:r>
            <w:r>
              <w:rPr>
                <w:color w:val="auto"/>
                <w:shd w:val="clear" w:fill="FFFFFF"/>
              </w:rPr>
              <w:t>厂界</w:t>
            </w:r>
            <w:r>
              <w:rPr>
                <w:color w:val="auto"/>
              </w:rPr>
              <w:t>昼间</w:t>
            </w:r>
            <w:r>
              <w:rPr>
                <w:rFonts w:hint="eastAsia"/>
                <w:color w:val="auto"/>
              </w:rPr>
              <w:t>、夜间</w:t>
            </w:r>
            <w:r>
              <w:rPr>
                <w:color w:val="auto"/>
              </w:rPr>
              <w:t>预测结果一览表    单位：dB(A)</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740"/>
              <w:gridCol w:w="740"/>
              <w:gridCol w:w="740"/>
              <w:gridCol w:w="910"/>
              <w:gridCol w:w="1315"/>
              <w:gridCol w:w="1316"/>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03" w:type="dxa"/>
                  <w:vMerge w:val="restart"/>
                  <w:vAlign w:val="center"/>
                </w:tcPr>
                <w:p>
                  <w:pPr>
                    <w:pStyle w:val="68"/>
                    <w:rPr>
                      <w:b/>
                      <w:bCs/>
                      <w:color w:val="auto"/>
                    </w:rPr>
                  </w:pPr>
                  <w:r>
                    <w:rPr>
                      <w:b/>
                      <w:bCs/>
                      <w:color w:val="auto"/>
                    </w:rPr>
                    <w:t>预测方位</w:t>
                  </w:r>
                </w:p>
              </w:tc>
              <w:tc>
                <w:tcPr>
                  <w:tcW w:w="2220" w:type="dxa"/>
                  <w:gridSpan w:val="3"/>
                  <w:vAlign w:val="center"/>
                </w:tcPr>
                <w:p>
                  <w:pPr>
                    <w:pStyle w:val="68"/>
                    <w:rPr>
                      <w:b/>
                      <w:bCs/>
                      <w:color w:val="auto"/>
                    </w:rPr>
                  </w:pPr>
                  <w:r>
                    <w:rPr>
                      <w:rFonts w:hint="eastAsia"/>
                      <w:b/>
                      <w:bCs/>
                      <w:color w:val="auto"/>
                    </w:rPr>
                    <w:t>最大值点</w:t>
                  </w:r>
                  <w:r>
                    <w:rPr>
                      <w:b/>
                      <w:bCs/>
                      <w:color w:val="auto"/>
                    </w:rPr>
                    <w:t>空间相对位置/m</w:t>
                  </w:r>
                </w:p>
              </w:tc>
              <w:tc>
                <w:tcPr>
                  <w:tcW w:w="910" w:type="dxa"/>
                  <w:vMerge w:val="restart"/>
                  <w:vAlign w:val="center"/>
                </w:tcPr>
                <w:p>
                  <w:pPr>
                    <w:pStyle w:val="68"/>
                    <w:rPr>
                      <w:b/>
                      <w:bCs/>
                      <w:color w:val="auto"/>
                    </w:rPr>
                  </w:pPr>
                  <w:r>
                    <w:rPr>
                      <w:b/>
                      <w:bCs/>
                      <w:color w:val="auto"/>
                    </w:rPr>
                    <w:t>时段</w:t>
                  </w:r>
                </w:p>
              </w:tc>
              <w:tc>
                <w:tcPr>
                  <w:tcW w:w="1315" w:type="dxa"/>
                  <w:vMerge w:val="restart"/>
                  <w:vAlign w:val="center"/>
                </w:tcPr>
                <w:p>
                  <w:pPr>
                    <w:pStyle w:val="68"/>
                    <w:rPr>
                      <w:b/>
                      <w:bCs/>
                      <w:color w:val="auto"/>
                    </w:rPr>
                  </w:pPr>
                  <w:r>
                    <w:rPr>
                      <w:rFonts w:hint="eastAsia"/>
                      <w:b/>
                      <w:bCs/>
                      <w:color w:val="auto"/>
                    </w:rPr>
                    <w:t>贡献值</w:t>
                  </w:r>
                  <w:r>
                    <w:rPr>
                      <w:b/>
                      <w:bCs/>
                      <w:color w:val="auto"/>
                    </w:rPr>
                    <w:t>（dB(A)）</w:t>
                  </w:r>
                </w:p>
              </w:tc>
              <w:tc>
                <w:tcPr>
                  <w:tcW w:w="1316" w:type="dxa"/>
                  <w:vMerge w:val="restart"/>
                  <w:vAlign w:val="center"/>
                </w:tcPr>
                <w:p>
                  <w:pPr>
                    <w:pStyle w:val="68"/>
                    <w:rPr>
                      <w:b/>
                      <w:bCs/>
                      <w:color w:val="auto"/>
                    </w:rPr>
                  </w:pPr>
                  <w:r>
                    <w:rPr>
                      <w:b/>
                      <w:bCs/>
                      <w:color w:val="auto"/>
                    </w:rPr>
                    <w:t>标准限值</w:t>
                  </w:r>
                </w:p>
                <w:p>
                  <w:pPr>
                    <w:pStyle w:val="68"/>
                    <w:rPr>
                      <w:b/>
                      <w:bCs/>
                      <w:color w:val="auto"/>
                    </w:rPr>
                  </w:pPr>
                  <w:r>
                    <w:rPr>
                      <w:rFonts w:hint="eastAsia"/>
                      <w:b/>
                      <w:bCs/>
                      <w:color w:val="auto"/>
                      <w:lang w:eastAsia="zh-CN"/>
                    </w:rPr>
                    <w:t>(</w:t>
                  </w:r>
                  <w:r>
                    <w:rPr>
                      <w:b/>
                      <w:bCs/>
                      <w:color w:val="auto"/>
                    </w:rPr>
                    <w:t>dB</w:t>
                  </w:r>
                  <w:r>
                    <w:rPr>
                      <w:b/>
                      <w:bCs/>
                      <w:color w:val="auto"/>
                      <w:shd w:val="clear" w:fill="FFFFFF"/>
                    </w:rPr>
                    <w:t>(</w:t>
                  </w:r>
                  <w:r>
                    <w:rPr>
                      <w:b/>
                      <w:bCs/>
                      <w:color w:val="auto"/>
                    </w:rPr>
                    <w:t>A</w:t>
                  </w:r>
                  <w:bookmarkStart w:id="15" w:name="_GoBack"/>
                  <w:r>
                    <w:rPr>
                      <w:b/>
                      <w:bCs/>
                      <w:color w:val="auto"/>
                      <w:shd w:val="clear" w:fill="FFFFFF"/>
                    </w:rPr>
                    <w:t>)</w:t>
                  </w:r>
                  <w:r>
                    <w:rPr>
                      <w:rFonts w:hint="eastAsia"/>
                      <w:b/>
                      <w:bCs/>
                      <w:color w:val="auto"/>
                      <w:shd w:val="clear" w:fill="FFFFFF"/>
                      <w:lang w:eastAsia="zh-CN"/>
                    </w:rPr>
                    <w:t>)</w:t>
                  </w:r>
                  <w:bookmarkEnd w:id="15"/>
                </w:p>
              </w:tc>
              <w:tc>
                <w:tcPr>
                  <w:tcW w:w="1077" w:type="dxa"/>
                  <w:vMerge w:val="restart"/>
                  <w:vAlign w:val="center"/>
                </w:tcPr>
                <w:p>
                  <w:pPr>
                    <w:pStyle w:val="68"/>
                    <w:rPr>
                      <w:b/>
                      <w:bCs/>
                      <w:color w:val="auto"/>
                    </w:rPr>
                  </w:pPr>
                  <w:r>
                    <w:rPr>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shd w:val="clear" w:color="auto" w:fill="FFFFFF"/>
                  <w:vAlign w:val="center"/>
                </w:tcPr>
                <w:p>
                  <w:pPr>
                    <w:pStyle w:val="68"/>
                    <w:rPr>
                      <w:color w:val="auto"/>
                    </w:rPr>
                  </w:pPr>
                </w:p>
              </w:tc>
              <w:tc>
                <w:tcPr>
                  <w:tcW w:w="740" w:type="dxa"/>
                  <w:shd w:val="clear" w:color="auto" w:fill="FFFFFF"/>
                  <w:vAlign w:val="center"/>
                </w:tcPr>
                <w:p>
                  <w:pPr>
                    <w:pStyle w:val="68"/>
                    <w:rPr>
                      <w:b/>
                      <w:bCs/>
                      <w:color w:val="auto"/>
                    </w:rPr>
                  </w:pPr>
                  <w:r>
                    <w:rPr>
                      <w:b/>
                      <w:bCs/>
                      <w:color w:val="auto"/>
                    </w:rPr>
                    <w:t>X</w:t>
                  </w:r>
                </w:p>
              </w:tc>
              <w:tc>
                <w:tcPr>
                  <w:tcW w:w="740" w:type="dxa"/>
                  <w:shd w:val="clear" w:color="auto" w:fill="FFFFFF"/>
                  <w:vAlign w:val="center"/>
                </w:tcPr>
                <w:p>
                  <w:pPr>
                    <w:pStyle w:val="68"/>
                    <w:rPr>
                      <w:b/>
                      <w:bCs/>
                      <w:color w:val="auto"/>
                    </w:rPr>
                  </w:pPr>
                  <w:r>
                    <w:rPr>
                      <w:b/>
                      <w:bCs/>
                      <w:color w:val="auto"/>
                    </w:rPr>
                    <w:t>Y</w:t>
                  </w:r>
                </w:p>
              </w:tc>
              <w:tc>
                <w:tcPr>
                  <w:tcW w:w="740" w:type="dxa"/>
                  <w:shd w:val="clear" w:color="auto" w:fill="FFFFFF"/>
                  <w:vAlign w:val="center"/>
                </w:tcPr>
                <w:p>
                  <w:pPr>
                    <w:pStyle w:val="68"/>
                    <w:rPr>
                      <w:b/>
                      <w:bCs/>
                      <w:color w:val="auto"/>
                    </w:rPr>
                  </w:pPr>
                  <w:r>
                    <w:rPr>
                      <w:b/>
                      <w:bCs/>
                      <w:color w:val="auto"/>
                    </w:rPr>
                    <w:t>Z</w:t>
                  </w:r>
                </w:p>
              </w:tc>
              <w:tc>
                <w:tcPr>
                  <w:tcW w:w="910" w:type="dxa"/>
                  <w:vMerge w:val="continue"/>
                  <w:shd w:val="clear" w:color="auto" w:fill="FFFFFF"/>
                  <w:vAlign w:val="center"/>
                </w:tcPr>
                <w:p>
                  <w:pPr>
                    <w:pStyle w:val="68"/>
                    <w:rPr>
                      <w:color w:val="auto"/>
                    </w:rPr>
                  </w:pPr>
                </w:p>
              </w:tc>
              <w:tc>
                <w:tcPr>
                  <w:tcW w:w="1315" w:type="dxa"/>
                  <w:vMerge w:val="continue"/>
                  <w:shd w:val="clear" w:color="auto" w:fill="FFFFFF"/>
                  <w:vAlign w:val="center"/>
                </w:tcPr>
                <w:p>
                  <w:pPr>
                    <w:pStyle w:val="68"/>
                    <w:rPr>
                      <w:color w:val="auto"/>
                    </w:rPr>
                  </w:pPr>
                </w:p>
              </w:tc>
              <w:tc>
                <w:tcPr>
                  <w:tcW w:w="1316" w:type="dxa"/>
                  <w:vMerge w:val="continue"/>
                  <w:shd w:val="clear" w:color="auto" w:fill="FFFFFF"/>
                  <w:vAlign w:val="center"/>
                </w:tcPr>
                <w:p>
                  <w:pPr>
                    <w:pStyle w:val="68"/>
                    <w:rPr>
                      <w:color w:val="auto"/>
                    </w:rPr>
                  </w:pPr>
                </w:p>
              </w:tc>
              <w:tc>
                <w:tcPr>
                  <w:tcW w:w="1077" w:type="dxa"/>
                  <w:vMerge w:val="continue"/>
                  <w:shd w:val="clear" w:color="auto" w:fill="FFFFFF"/>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restart"/>
                  <w:shd w:val="clear" w:color="auto" w:fill="FFFFFF"/>
                  <w:vAlign w:val="center"/>
                </w:tcPr>
                <w:p>
                  <w:pPr>
                    <w:pStyle w:val="68"/>
                    <w:rPr>
                      <w:color w:val="auto"/>
                    </w:rPr>
                  </w:pPr>
                  <w:r>
                    <w:rPr>
                      <w:color w:val="auto"/>
                    </w:rPr>
                    <w:t>东侧</w:t>
                  </w:r>
                </w:p>
              </w:tc>
              <w:tc>
                <w:tcPr>
                  <w:tcW w:w="740" w:type="dxa"/>
                  <w:vMerge w:val="restart"/>
                  <w:shd w:val="clear" w:color="auto" w:fill="FFFFFF"/>
                  <w:vAlign w:val="center"/>
                </w:tcPr>
                <w:p>
                  <w:pPr>
                    <w:pStyle w:val="68"/>
                    <w:rPr>
                      <w:color w:val="auto"/>
                    </w:rPr>
                  </w:pPr>
                  <w:r>
                    <w:rPr>
                      <w:color w:val="auto"/>
                    </w:rPr>
                    <w:t>12.4</w:t>
                  </w:r>
                </w:p>
              </w:tc>
              <w:tc>
                <w:tcPr>
                  <w:tcW w:w="740" w:type="dxa"/>
                  <w:vMerge w:val="restart"/>
                  <w:shd w:val="clear" w:color="auto" w:fill="FFFFFF"/>
                  <w:vAlign w:val="center"/>
                </w:tcPr>
                <w:p>
                  <w:pPr>
                    <w:pStyle w:val="68"/>
                    <w:rPr>
                      <w:color w:val="auto"/>
                    </w:rPr>
                  </w:pPr>
                  <w:r>
                    <w:rPr>
                      <w:color w:val="auto"/>
                    </w:rPr>
                    <w:t>-11.2</w:t>
                  </w:r>
                </w:p>
              </w:tc>
              <w:tc>
                <w:tcPr>
                  <w:tcW w:w="740" w:type="dxa"/>
                  <w:vMerge w:val="restart"/>
                  <w:shd w:val="clear" w:color="auto" w:fill="FFFFFF"/>
                  <w:vAlign w:val="center"/>
                </w:tcPr>
                <w:p>
                  <w:pPr>
                    <w:pStyle w:val="68"/>
                    <w:rPr>
                      <w:color w:val="auto"/>
                    </w:rPr>
                  </w:pPr>
                  <w:r>
                    <w:rPr>
                      <w:color w:val="auto"/>
                    </w:rPr>
                    <w:t>1.2</w:t>
                  </w:r>
                </w:p>
              </w:tc>
              <w:tc>
                <w:tcPr>
                  <w:tcW w:w="910" w:type="dxa"/>
                  <w:shd w:val="clear" w:color="auto" w:fill="FFFFFF"/>
                  <w:vAlign w:val="center"/>
                </w:tcPr>
                <w:p>
                  <w:pPr>
                    <w:pStyle w:val="68"/>
                    <w:rPr>
                      <w:color w:val="auto"/>
                    </w:rPr>
                  </w:pPr>
                  <w:r>
                    <w:rPr>
                      <w:color w:val="auto"/>
                    </w:rPr>
                    <w:t>昼间</w:t>
                  </w:r>
                </w:p>
              </w:tc>
              <w:tc>
                <w:tcPr>
                  <w:tcW w:w="1315" w:type="dxa"/>
                  <w:shd w:val="clear" w:color="auto" w:fill="FFFFFF"/>
                  <w:vAlign w:val="center"/>
                </w:tcPr>
                <w:p>
                  <w:pPr>
                    <w:pStyle w:val="68"/>
                    <w:rPr>
                      <w:color w:val="auto"/>
                    </w:rPr>
                  </w:pPr>
                  <w:r>
                    <w:rPr>
                      <w:color w:val="auto"/>
                    </w:rPr>
                    <w:t>47.6</w:t>
                  </w:r>
                </w:p>
              </w:tc>
              <w:tc>
                <w:tcPr>
                  <w:tcW w:w="1316" w:type="dxa"/>
                  <w:shd w:val="clear" w:color="auto" w:fill="FFFFFF"/>
                  <w:vAlign w:val="center"/>
                </w:tcPr>
                <w:p>
                  <w:pPr>
                    <w:pStyle w:val="68"/>
                    <w:rPr>
                      <w:color w:val="auto"/>
                    </w:rPr>
                  </w:pPr>
                  <w:r>
                    <w:rPr>
                      <w:color w:val="auto"/>
                    </w:rPr>
                    <w:t>60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1003"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910" w:type="dxa"/>
                  <w:shd w:val="clear" w:color="auto" w:fill="FFFFFF"/>
                  <w:vAlign w:val="center"/>
                </w:tcPr>
                <w:p>
                  <w:pPr>
                    <w:pStyle w:val="68"/>
                    <w:rPr>
                      <w:color w:val="auto"/>
                    </w:rPr>
                  </w:pPr>
                  <w:r>
                    <w:rPr>
                      <w:rFonts w:hint="eastAsia"/>
                      <w:color w:val="auto"/>
                      <w:lang w:eastAsia="zh-CN"/>
                    </w:rPr>
                    <w:t>夜间</w:t>
                  </w:r>
                </w:p>
              </w:tc>
              <w:tc>
                <w:tcPr>
                  <w:tcW w:w="1315" w:type="dxa"/>
                  <w:shd w:val="clear" w:color="auto" w:fill="FFFFFF"/>
                  <w:vAlign w:val="center"/>
                </w:tcPr>
                <w:p>
                  <w:pPr>
                    <w:pStyle w:val="68"/>
                    <w:rPr>
                      <w:color w:val="auto"/>
                      <w:lang w:eastAsia="zh-CN"/>
                    </w:rPr>
                  </w:pPr>
                  <w:r>
                    <w:rPr>
                      <w:rFonts w:hint="eastAsia"/>
                      <w:color w:val="auto"/>
                      <w:lang w:eastAsia="zh-CN"/>
                    </w:rPr>
                    <w:t>4</w:t>
                  </w:r>
                  <w:r>
                    <w:rPr>
                      <w:color w:val="auto"/>
                      <w:lang w:eastAsia="zh-CN"/>
                    </w:rPr>
                    <w:t>1.4</w:t>
                  </w:r>
                </w:p>
              </w:tc>
              <w:tc>
                <w:tcPr>
                  <w:tcW w:w="1316" w:type="dxa"/>
                  <w:shd w:val="clear" w:color="auto" w:fill="FFFFFF"/>
                  <w:vAlign w:val="center"/>
                </w:tcPr>
                <w:p>
                  <w:pPr>
                    <w:pStyle w:val="68"/>
                    <w:rPr>
                      <w:color w:val="auto"/>
                      <w:lang w:eastAsia="zh-CN"/>
                    </w:rPr>
                  </w:pPr>
                  <w:r>
                    <w:rPr>
                      <w:rFonts w:hint="eastAsia"/>
                      <w:color w:val="auto"/>
                      <w:lang w:eastAsia="zh-CN"/>
                    </w:rPr>
                    <w:t>5</w:t>
                  </w:r>
                  <w:r>
                    <w:rPr>
                      <w:color w:val="auto"/>
                      <w:lang w:eastAsia="zh-CN"/>
                    </w:rPr>
                    <w:t>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restart"/>
                  <w:shd w:val="clear" w:color="auto" w:fill="FFFFFF"/>
                  <w:vAlign w:val="center"/>
                </w:tcPr>
                <w:p>
                  <w:pPr>
                    <w:pStyle w:val="68"/>
                    <w:rPr>
                      <w:color w:val="auto"/>
                    </w:rPr>
                  </w:pPr>
                  <w:r>
                    <w:rPr>
                      <w:color w:val="auto"/>
                    </w:rPr>
                    <w:t>南侧</w:t>
                  </w:r>
                </w:p>
              </w:tc>
              <w:tc>
                <w:tcPr>
                  <w:tcW w:w="740" w:type="dxa"/>
                  <w:vMerge w:val="restart"/>
                  <w:shd w:val="clear" w:color="auto" w:fill="FFFFFF"/>
                  <w:vAlign w:val="center"/>
                </w:tcPr>
                <w:p>
                  <w:pPr>
                    <w:pStyle w:val="68"/>
                    <w:rPr>
                      <w:color w:val="auto"/>
                    </w:rPr>
                  </w:pPr>
                  <w:r>
                    <w:rPr>
                      <w:color w:val="auto"/>
                    </w:rPr>
                    <w:t>-14.7</w:t>
                  </w:r>
                </w:p>
              </w:tc>
              <w:tc>
                <w:tcPr>
                  <w:tcW w:w="740" w:type="dxa"/>
                  <w:vMerge w:val="restart"/>
                  <w:shd w:val="clear" w:color="auto" w:fill="FFFFFF"/>
                  <w:vAlign w:val="center"/>
                </w:tcPr>
                <w:p>
                  <w:pPr>
                    <w:pStyle w:val="68"/>
                    <w:rPr>
                      <w:color w:val="auto"/>
                    </w:rPr>
                  </w:pPr>
                  <w:r>
                    <w:rPr>
                      <w:color w:val="auto"/>
                    </w:rPr>
                    <w:t>-13.8</w:t>
                  </w:r>
                </w:p>
              </w:tc>
              <w:tc>
                <w:tcPr>
                  <w:tcW w:w="740" w:type="dxa"/>
                  <w:vMerge w:val="restart"/>
                  <w:shd w:val="clear" w:color="auto" w:fill="FFFFFF"/>
                  <w:vAlign w:val="center"/>
                </w:tcPr>
                <w:p>
                  <w:pPr>
                    <w:pStyle w:val="68"/>
                    <w:rPr>
                      <w:color w:val="auto"/>
                    </w:rPr>
                  </w:pPr>
                  <w:r>
                    <w:rPr>
                      <w:color w:val="auto"/>
                    </w:rPr>
                    <w:t>1.2</w:t>
                  </w:r>
                </w:p>
              </w:tc>
              <w:tc>
                <w:tcPr>
                  <w:tcW w:w="910" w:type="dxa"/>
                  <w:shd w:val="clear" w:color="auto" w:fill="FFFFFF"/>
                  <w:vAlign w:val="center"/>
                </w:tcPr>
                <w:p>
                  <w:pPr>
                    <w:pStyle w:val="68"/>
                    <w:rPr>
                      <w:color w:val="auto"/>
                    </w:rPr>
                  </w:pPr>
                  <w:r>
                    <w:rPr>
                      <w:color w:val="auto"/>
                    </w:rPr>
                    <w:t>昼间</w:t>
                  </w:r>
                </w:p>
              </w:tc>
              <w:tc>
                <w:tcPr>
                  <w:tcW w:w="1315" w:type="dxa"/>
                  <w:shd w:val="clear" w:color="auto" w:fill="FFFFFF"/>
                  <w:vAlign w:val="center"/>
                </w:tcPr>
                <w:p>
                  <w:pPr>
                    <w:pStyle w:val="68"/>
                    <w:rPr>
                      <w:color w:val="auto"/>
                    </w:rPr>
                  </w:pPr>
                  <w:r>
                    <w:rPr>
                      <w:color w:val="auto"/>
                    </w:rPr>
                    <w:t>56.4</w:t>
                  </w:r>
                </w:p>
              </w:tc>
              <w:tc>
                <w:tcPr>
                  <w:tcW w:w="1316" w:type="dxa"/>
                  <w:shd w:val="clear" w:color="auto" w:fill="FFFFFF"/>
                  <w:vAlign w:val="center"/>
                </w:tcPr>
                <w:p>
                  <w:pPr>
                    <w:pStyle w:val="68"/>
                    <w:rPr>
                      <w:color w:val="auto"/>
                    </w:rPr>
                  </w:pPr>
                  <w:r>
                    <w:rPr>
                      <w:color w:val="auto"/>
                    </w:rPr>
                    <w:t>60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910" w:type="dxa"/>
                  <w:shd w:val="clear" w:color="auto" w:fill="FFFFFF"/>
                  <w:vAlign w:val="center"/>
                </w:tcPr>
                <w:p>
                  <w:pPr>
                    <w:pStyle w:val="68"/>
                    <w:rPr>
                      <w:color w:val="auto"/>
                    </w:rPr>
                  </w:pPr>
                  <w:r>
                    <w:rPr>
                      <w:rFonts w:hint="eastAsia"/>
                      <w:color w:val="auto"/>
                      <w:lang w:eastAsia="zh-CN"/>
                    </w:rPr>
                    <w:t>夜间</w:t>
                  </w:r>
                </w:p>
              </w:tc>
              <w:tc>
                <w:tcPr>
                  <w:tcW w:w="1315" w:type="dxa"/>
                  <w:shd w:val="clear" w:color="auto" w:fill="FFFFFF"/>
                  <w:vAlign w:val="center"/>
                </w:tcPr>
                <w:p>
                  <w:pPr>
                    <w:pStyle w:val="68"/>
                    <w:rPr>
                      <w:color w:val="auto"/>
                      <w:lang w:eastAsia="zh-CN"/>
                    </w:rPr>
                  </w:pPr>
                  <w:r>
                    <w:rPr>
                      <w:color w:val="auto"/>
                      <w:lang w:eastAsia="zh-CN"/>
                    </w:rPr>
                    <w:t>48.7</w:t>
                  </w:r>
                </w:p>
              </w:tc>
              <w:tc>
                <w:tcPr>
                  <w:tcW w:w="1316" w:type="dxa"/>
                  <w:shd w:val="clear" w:color="auto" w:fill="FFFFFF"/>
                  <w:vAlign w:val="center"/>
                </w:tcPr>
                <w:p>
                  <w:pPr>
                    <w:pStyle w:val="68"/>
                    <w:rPr>
                      <w:color w:val="auto"/>
                      <w:lang w:eastAsia="zh-CN"/>
                    </w:rPr>
                  </w:pPr>
                  <w:r>
                    <w:rPr>
                      <w:rFonts w:hint="eastAsia"/>
                      <w:color w:val="auto"/>
                      <w:lang w:eastAsia="zh-CN"/>
                    </w:rPr>
                    <w:t>5</w:t>
                  </w:r>
                  <w:r>
                    <w:rPr>
                      <w:color w:val="auto"/>
                      <w:lang w:eastAsia="zh-CN"/>
                    </w:rPr>
                    <w:t>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restart"/>
                  <w:shd w:val="clear" w:color="auto" w:fill="FFFFFF"/>
                  <w:vAlign w:val="center"/>
                </w:tcPr>
                <w:p>
                  <w:pPr>
                    <w:pStyle w:val="68"/>
                    <w:rPr>
                      <w:color w:val="auto"/>
                    </w:rPr>
                  </w:pPr>
                  <w:r>
                    <w:rPr>
                      <w:color w:val="auto"/>
                    </w:rPr>
                    <w:t>西侧</w:t>
                  </w:r>
                </w:p>
              </w:tc>
              <w:tc>
                <w:tcPr>
                  <w:tcW w:w="740" w:type="dxa"/>
                  <w:vMerge w:val="restart"/>
                  <w:shd w:val="clear" w:color="auto" w:fill="FFFFFF"/>
                  <w:vAlign w:val="center"/>
                </w:tcPr>
                <w:p>
                  <w:pPr>
                    <w:pStyle w:val="68"/>
                    <w:rPr>
                      <w:color w:val="auto"/>
                    </w:rPr>
                  </w:pPr>
                  <w:r>
                    <w:rPr>
                      <w:color w:val="auto"/>
                    </w:rPr>
                    <w:t>-16.8</w:t>
                  </w:r>
                </w:p>
              </w:tc>
              <w:tc>
                <w:tcPr>
                  <w:tcW w:w="740" w:type="dxa"/>
                  <w:vMerge w:val="restart"/>
                  <w:shd w:val="clear" w:color="auto" w:fill="FFFFFF"/>
                  <w:vAlign w:val="center"/>
                </w:tcPr>
                <w:p>
                  <w:pPr>
                    <w:pStyle w:val="68"/>
                    <w:rPr>
                      <w:color w:val="auto"/>
                    </w:rPr>
                  </w:pPr>
                  <w:r>
                    <w:rPr>
                      <w:color w:val="auto"/>
                    </w:rPr>
                    <w:t>-11.7</w:t>
                  </w:r>
                </w:p>
              </w:tc>
              <w:tc>
                <w:tcPr>
                  <w:tcW w:w="740" w:type="dxa"/>
                  <w:vMerge w:val="restart"/>
                  <w:shd w:val="clear" w:color="auto" w:fill="FFFFFF"/>
                  <w:vAlign w:val="center"/>
                </w:tcPr>
                <w:p>
                  <w:pPr>
                    <w:pStyle w:val="68"/>
                    <w:rPr>
                      <w:color w:val="auto"/>
                    </w:rPr>
                  </w:pPr>
                  <w:r>
                    <w:rPr>
                      <w:color w:val="auto"/>
                    </w:rPr>
                    <w:t>1.2</w:t>
                  </w:r>
                </w:p>
              </w:tc>
              <w:tc>
                <w:tcPr>
                  <w:tcW w:w="910" w:type="dxa"/>
                  <w:shd w:val="clear" w:color="auto" w:fill="FFFFFF"/>
                  <w:vAlign w:val="center"/>
                </w:tcPr>
                <w:p>
                  <w:pPr>
                    <w:pStyle w:val="68"/>
                    <w:rPr>
                      <w:color w:val="auto"/>
                    </w:rPr>
                  </w:pPr>
                  <w:r>
                    <w:rPr>
                      <w:color w:val="auto"/>
                    </w:rPr>
                    <w:t>昼间</w:t>
                  </w:r>
                </w:p>
              </w:tc>
              <w:tc>
                <w:tcPr>
                  <w:tcW w:w="1315" w:type="dxa"/>
                  <w:shd w:val="clear" w:color="auto" w:fill="FFFFFF"/>
                  <w:vAlign w:val="center"/>
                </w:tcPr>
                <w:p>
                  <w:pPr>
                    <w:pStyle w:val="68"/>
                    <w:rPr>
                      <w:color w:val="auto"/>
                    </w:rPr>
                  </w:pPr>
                  <w:r>
                    <w:rPr>
                      <w:color w:val="auto"/>
                    </w:rPr>
                    <w:t>55.3</w:t>
                  </w:r>
                </w:p>
              </w:tc>
              <w:tc>
                <w:tcPr>
                  <w:tcW w:w="1316" w:type="dxa"/>
                  <w:shd w:val="clear" w:color="auto" w:fill="FFFFFF"/>
                  <w:vAlign w:val="center"/>
                </w:tcPr>
                <w:p>
                  <w:pPr>
                    <w:pStyle w:val="68"/>
                    <w:rPr>
                      <w:color w:val="auto"/>
                    </w:rPr>
                  </w:pPr>
                  <w:r>
                    <w:rPr>
                      <w:color w:val="auto"/>
                    </w:rPr>
                    <w:t>60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910" w:type="dxa"/>
                  <w:shd w:val="clear" w:color="auto" w:fill="FFFFFF"/>
                  <w:vAlign w:val="center"/>
                </w:tcPr>
                <w:p>
                  <w:pPr>
                    <w:pStyle w:val="68"/>
                    <w:rPr>
                      <w:color w:val="auto"/>
                    </w:rPr>
                  </w:pPr>
                  <w:r>
                    <w:rPr>
                      <w:rFonts w:hint="eastAsia"/>
                      <w:color w:val="auto"/>
                      <w:lang w:eastAsia="zh-CN"/>
                    </w:rPr>
                    <w:t>夜间</w:t>
                  </w:r>
                </w:p>
              </w:tc>
              <w:tc>
                <w:tcPr>
                  <w:tcW w:w="1315" w:type="dxa"/>
                  <w:shd w:val="clear" w:color="auto" w:fill="FFFFFF"/>
                  <w:vAlign w:val="center"/>
                </w:tcPr>
                <w:p>
                  <w:pPr>
                    <w:pStyle w:val="68"/>
                    <w:rPr>
                      <w:color w:val="auto"/>
                      <w:lang w:eastAsia="zh-CN"/>
                    </w:rPr>
                  </w:pPr>
                  <w:r>
                    <w:rPr>
                      <w:rFonts w:hint="eastAsia"/>
                      <w:color w:val="auto"/>
                      <w:lang w:eastAsia="zh-CN"/>
                    </w:rPr>
                    <w:t>5</w:t>
                  </w:r>
                  <w:r>
                    <w:rPr>
                      <w:color w:val="auto"/>
                      <w:lang w:eastAsia="zh-CN"/>
                    </w:rPr>
                    <w:t>4.9</w:t>
                  </w:r>
                </w:p>
              </w:tc>
              <w:tc>
                <w:tcPr>
                  <w:tcW w:w="1316" w:type="dxa"/>
                  <w:shd w:val="clear" w:color="auto" w:fill="FFFFFF"/>
                  <w:vAlign w:val="center"/>
                </w:tcPr>
                <w:p>
                  <w:pPr>
                    <w:pStyle w:val="68"/>
                    <w:rPr>
                      <w:color w:val="auto"/>
                      <w:lang w:eastAsia="zh-CN"/>
                    </w:rPr>
                  </w:pPr>
                  <w:r>
                    <w:rPr>
                      <w:rFonts w:hint="eastAsia"/>
                      <w:color w:val="auto"/>
                      <w:lang w:eastAsia="zh-CN"/>
                    </w:rPr>
                    <w:t>5</w:t>
                  </w:r>
                  <w:r>
                    <w:rPr>
                      <w:color w:val="auto"/>
                      <w:lang w:eastAsia="zh-CN"/>
                    </w:rPr>
                    <w:t>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restart"/>
                  <w:shd w:val="clear" w:color="auto" w:fill="FFFFFF"/>
                  <w:vAlign w:val="center"/>
                </w:tcPr>
                <w:p>
                  <w:pPr>
                    <w:pStyle w:val="68"/>
                    <w:rPr>
                      <w:color w:val="auto"/>
                    </w:rPr>
                  </w:pPr>
                  <w:r>
                    <w:rPr>
                      <w:color w:val="auto"/>
                    </w:rPr>
                    <w:t>北侧</w:t>
                  </w:r>
                </w:p>
              </w:tc>
              <w:tc>
                <w:tcPr>
                  <w:tcW w:w="740" w:type="dxa"/>
                  <w:vMerge w:val="restart"/>
                  <w:shd w:val="clear" w:color="auto" w:fill="FFFFFF"/>
                  <w:vAlign w:val="center"/>
                </w:tcPr>
                <w:p>
                  <w:pPr>
                    <w:pStyle w:val="68"/>
                    <w:rPr>
                      <w:color w:val="auto"/>
                    </w:rPr>
                  </w:pPr>
                  <w:r>
                    <w:rPr>
                      <w:color w:val="auto"/>
                    </w:rPr>
                    <w:t>-10.5</w:t>
                  </w:r>
                </w:p>
              </w:tc>
              <w:tc>
                <w:tcPr>
                  <w:tcW w:w="740" w:type="dxa"/>
                  <w:vMerge w:val="restart"/>
                  <w:shd w:val="clear" w:color="auto" w:fill="FFFFFF"/>
                  <w:vAlign w:val="center"/>
                </w:tcPr>
                <w:p>
                  <w:pPr>
                    <w:pStyle w:val="68"/>
                    <w:rPr>
                      <w:color w:val="auto"/>
                    </w:rPr>
                  </w:pPr>
                  <w:r>
                    <w:rPr>
                      <w:color w:val="auto"/>
                    </w:rPr>
                    <w:t>17.1</w:t>
                  </w:r>
                </w:p>
              </w:tc>
              <w:tc>
                <w:tcPr>
                  <w:tcW w:w="740" w:type="dxa"/>
                  <w:vMerge w:val="restart"/>
                  <w:shd w:val="clear" w:color="auto" w:fill="FFFFFF"/>
                  <w:vAlign w:val="center"/>
                </w:tcPr>
                <w:p>
                  <w:pPr>
                    <w:pStyle w:val="68"/>
                    <w:rPr>
                      <w:color w:val="auto"/>
                    </w:rPr>
                  </w:pPr>
                  <w:r>
                    <w:rPr>
                      <w:color w:val="auto"/>
                    </w:rPr>
                    <w:t>1.2</w:t>
                  </w:r>
                </w:p>
              </w:tc>
              <w:tc>
                <w:tcPr>
                  <w:tcW w:w="910" w:type="dxa"/>
                  <w:shd w:val="clear" w:color="auto" w:fill="FFFFFF"/>
                  <w:vAlign w:val="center"/>
                </w:tcPr>
                <w:p>
                  <w:pPr>
                    <w:pStyle w:val="68"/>
                    <w:rPr>
                      <w:color w:val="auto"/>
                    </w:rPr>
                  </w:pPr>
                  <w:r>
                    <w:rPr>
                      <w:color w:val="auto"/>
                    </w:rPr>
                    <w:t>昼间</w:t>
                  </w:r>
                </w:p>
              </w:tc>
              <w:tc>
                <w:tcPr>
                  <w:tcW w:w="1315" w:type="dxa"/>
                  <w:shd w:val="clear" w:color="auto" w:fill="FFFFFF"/>
                  <w:vAlign w:val="center"/>
                </w:tcPr>
                <w:p>
                  <w:pPr>
                    <w:pStyle w:val="68"/>
                    <w:rPr>
                      <w:color w:val="auto"/>
                    </w:rPr>
                  </w:pPr>
                  <w:r>
                    <w:rPr>
                      <w:color w:val="auto"/>
                    </w:rPr>
                    <w:t>46.2</w:t>
                  </w:r>
                </w:p>
              </w:tc>
              <w:tc>
                <w:tcPr>
                  <w:tcW w:w="1316" w:type="dxa"/>
                  <w:shd w:val="clear" w:color="auto" w:fill="FFFFFF"/>
                  <w:vAlign w:val="center"/>
                </w:tcPr>
                <w:p>
                  <w:pPr>
                    <w:pStyle w:val="68"/>
                    <w:rPr>
                      <w:color w:val="auto"/>
                    </w:rPr>
                  </w:pPr>
                  <w:r>
                    <w:rPr>
                      <w:color w:val="auto"/>
                    </w:rPr>
                    <w:t>60</w:t>
                  </w:r>
                </w:p>
              </w:tc>
              <w:tc>
                <w:tcPr>
                  <w:tcW w:w="1077" w:type="dxa"/>
                  <w:shd w:val="clear" w:color="auto" w:fill="FFFFFF"/>
                  <w:vAlign w:val="center"/>
                </w:tcPr>
                <w:p>
                  <w:pPr>
                    <w:pStyle w:val="68"/>
                    <w:rPr>
                      <w:color w:val="auto"/>
                    </w:rPr>
                  </w:pPr>
                  <w:r>
                    <w:rPr>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03"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740" w:type="dxa"/>
                  <w:vMerge w:val="continue"/>
                  <w:shd w:val="clear" w:color="auto" w:fill="FFFFFF"/>
                  <w:vAlign w:val="center"/>
                </w:tcPr>
                <w:p>
                  <w:pPr>
                    <w:pStyle w:val="68"/>
                    <w:rPr>
                      <w:color w:val="auto"/>
                    </w:rPr>
                  </w:pPr>
                </w:p>
              </w:tc>
              <w:tc>
                <w:tcPr>
                  <w:tcW w:w="910" w:type="dxa"/>
                  <w:shd w:val="clear" w:color="auto" w:fill="FFFFFF"/>
                  <w:vAlign w:val="center"/>
                </w:tcPr>
                <w:p>
                  <w:pPr>
                    <w:pStyle w:val="68"/>
                    <w:rPr>
                      <w:color w:val="auto"/>
                    </w:rPr>
                  </w:pPr>
                  <w:r>
                    <w:rPr>
                      <w:rFonts w:hint="eastAsia"/>
                      <w:color w:val="auto"/>
                      <w:lang w:eastAsia="zh-CN"/>
                    </w:rPr>
                    <w:t>夜间</w:t>
                  </w:r>
                </w:p>
              </w:tc>
              <w:tc>
                <w:tcPr>
                  <w:tcW w:w="1315" w:type="dxa"/>
                  <w:shd w:val="clear" w:color="auto" w:fill="FFFFFF"/>
                  <w:vAlign w:val="center"/>
                </w:tcPr>
                <w:p>
                  <w:pPr>
                    <w:pStyle w:val="68"/>
                    <w:rPr>
                      <w:color w:val="auto"/>
                      <w:lang w:eastAsia="zh-CN"/>
                    </w:rPr>
                  </w:pPr>
                  <w:r>
                    <w:rPr>
                      <w:rFonts w:hint="eastAsia"/>
                      <w:color w:val="auto"/>
                      <w:lang w:eastAsia="zh-CN"/>
                    </w:rPr>
                    <w:t>4</w:t>
                  </w:r>
                  <w:r>
                    <w:rPr>
                      <w:color w:val="auto"/>
                      <w:lang w:eastAsia="zh-CN"/>
                    </w:rPr>
                    <w:t>5.8</w:t>
                  </w:r>
                </w:p>
              </w:tc>
              <w:tc>
                <w:tcPr>
                  <w:tcW w:w="1316" w:type="dxa"/>
                  <w:shd w:val="clear" w:color="auto" w:fill="FFFFFF"/>
                  <w:vAlign w:val="center"/>
                </w:tcPr>
                <w:p>
                  <w:pPr>
                    <w:pStyle w:val="68"/>
                    <w:rPr>
                      <w:color w:val="auto"/>
                      <w:lang w:eastAsia="zh-CN"/>
                    </w:rPr>
                  </w:pPr>
                  <w:r>
                    <w:rPr>
                      <w:rFonts w:hint="eastAsia"/>
                      <w:color w:val="auto"/>
                      <w:lang w:eastAsia="zh-CN"/>
                    </w:rPr>
                    <w:t>5</w:t>
                  </w:r>
                  <w:r>
                    <w:rPr>
                      <w:color w:val="auto"/>
                      <w:lang w:eastAsia="zh-CN"/>
                    </w:rPr>
                    <w:t>0</w:t>
                  </w:r>
                </w:p>
              </w:tc>
              <w:tc>
                <w:tcPr>
                  <w:tcW w:w="1077" w:type="dxa"/>
                  <w:shd w:val="clear" w:color="auto" w:fill="FFFFFF"/>
                  <w:vAlign w:val="center"/>
                </w:tcPr>
                <w:p>
                  <w:pPr>
                    <w:pStyle w:val="68"/>
                    <w:rPr>
                      <w:color w:val="auto"/>
                    </w:rPr>
                  </w:pPr>
                  <w:r>
                    <w:rPr>
                      <w:color w:val="auto"/>
                    </w:rPr>
                    <w:t>达标</w:t>
                  </w:r>
                </w:p>
              </w:tc>
            </w:tr>
          </w:tbl>
          <w:p>
            <w:pPr>
              <w:ind w:firstLine="480"/>
              <w:rPr>
                <w:color w:val="auto"/>
              </w:rPr>
            </w:pPr>
            <w:r>
              <w:rPr>
                <w:rFonts w:hint="eastAsia"/>
                <w:color w:val="auto"/>
              </w:rPr>
              <w:t>由计算结果可知，经衰减后，本项目南、西、北</w:t>
            </w:r>
            <w:r>
              <w:rPr>
                <w:rFonts w:hint="eastAsia"/>
                <w:color w:val="auto"/>
                <w:shd w:val="clear" w:fill="FFFFFF"/>
              </w:rPr>
              <w:t>厂界</w:t>
            </w:r>
            <w:r>
              <w:rPr>
                <w:rFonts w:hint="eastAsia"/>
                <w:color w:val="auto"/>
              </w:rPr>
              <w:t>昼间、夜间噪声贡献值可以满足《工业企业厂界环境噪声排放标准》（G12348-2008）中</w:t>
            </w:r>
            <w:r>
              <w:rPr>
                <w:color w:val="auto"/>
              </w:rPr>
              <w:t>2</w:t>
            </w:r>
            <w:r>
              <w:rPr>
                <w:rFonts w:hint="eastAsia"/>
                <w:color w:val="auto"/>
              </w:rPr>
              <w:t>类标准的限值要求。可见，本项目噪声可达标排放，对外环境影响较小，对周围环境影响较小。</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b/>
                <w:bCs/>
                <w:color w:val="auto"/>
                <w:sz w:val="21"/>
                <w:szCs w:val="21"/>
              </w:rPr>
            </w:pPr>
            <w:r>
              <w:rPr>
                <w:b/>
                <w:bCs/>
                <w:color w:val="auto"/>
                <w:sz w:val="21"/>
                <w:szCs w:val="21"/>
              </w:rPr>
              <w:t>表4.2-</w:t>
            </w:r>
            <w:r>
              <w:rPr>
                <w:rFonts w:hint="eastAsia"/>
                <w:b/>
                <w:bCs/>
                <w:color w:val="auto"/>
                <w:sz w:val="21"/>
                <w:szCs w:val="21"/>
                <w:lang w:val="en-US" w:eastAsia="zh-CN"/>
              </w:rPr>
              <w:t>26</w:t>
            </w:r>
            <w:r>
              <w:rPr>
                <w:b/>
                <w:bCs/>
                <w:color w:val="auto"/>
                <w:sz w:val="21"/>
                <w:szCs w:val="21"/>
              </w:rPr>
              <w:t xml:space="preserve"> 工业企业声环境保护目标噪声预测结果与达标分析表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584"/>
              <w:gridCol w:w="588"/>
              <w:gridCol w:w="427"/>
              <w:gridCol w:w="528"/>
              <w:gridCol w:w="797"/>
              <w:gridCol w:w="612"/>
              <w:gridCol w:w="596"/>
              <w:gridCol w:w="687"/>
              <w:gridCol w:w="480"/>
              <w:gridCol w:w="587"/>
              <w:gridCol w:w="569"/>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522" w:type="pct"/>
                  <w:vMerge w:val="restart"/>
                  <w:vAlign w:val="center"/>
                </w:tcPr>
                <w:p>
                  <w:pPr>
                    <w:pStyle w:val="68"/>
                    <w:rPr>
                      <w:b/>
                      <w:bCs/>
                      <w:color w:val="auto"/>
                    </w:rPr>
                  </w:pPr>
                  <w:r>
                    <w:rPr>
                      <w:b/>
                      <w:bCs/>
                      <w:color w:val="auto"/>
                    </w:rPr>
                    <w:t>保护目标名称</w:t>
                  </w:r>
                </w:p>
              </w:tc>
              <w:tc>
                <w:tcPr>
                  <w:tcW w:w="748" w:type="pct"/>
                  <w:gridSpan w:val="2"/>
                  <w:vAlign w:val="center"/>
                </w:tcPr>
                <w:p>
                  <w:pPr>
                    <w:pStyle w:val="68"/>
                    <w:rPr>
                      <w:b/>
                      <w:bCs/>
                      <w:color w:val="auto"/>
                    </w:rPr>
                  </w:pPr>
                  <w:r>
                    <w:rPr>
                      <w:b/>
                      <w:bCs/>
                      <w:color w:val="auto"/>
                    </w:rPr>
                    <w:t>噪声背景值/dB(A)</w:t>
                  </w:r>
                </w:p>
              </w:tc>
              <w:tc>
                <w:tcPr>
                  <w:tcW w:w="609" w:type="pct"/>
                  <w:gridSpan w:val="2"/>
                  <w:vAlign w:val="center"/>
                </w:tcPr>
                <w:p>
                  <w:pPr>
                    <w:pStyle w:val="68"/>
                    <w:rPr>
                      <w:b/>
                      <w:bCs/>
                      <w:color w:val="auto"/>
                    </w:rPr>
                  </w:pPr>
                  <w:r>
                    <w:rPr>
                      <w:b/>
                      <w:bCs/>
                      <w:color w:val="auto"/>
                    </w:rPr>
                    <w:t>噪声标准/dB(A)</w:t>
                  </w:r>
                </w:p>
              </w:tc>
              <w:tc>
                <w:tcPr>
                  <w:tcW w:w="898" w:type="pct"/>
                  <w:gridSpan w:val="2"/>
                  <w:vAlign w:val="center"/>
                </w:tcPr>
                <w:p>
                  <w:pPr>
                    <w:pStyle w:val="68"/>
                    <w:rPr>
                      <w:b/>
                      <w:bCs/>
                      <w:color w:val="auto"/>
                    </w:rPr>
                  </w:pPr>
                  <w:r>
                    <w:rPr>
                      <w:b/>
                      <w:bCs/>
                      <w:color w:val="auto"/>
                    </w:rPr>
                    <w:t>噪声贡献值/dB(A)</w:t>
                  </w:r>
                </w:p>
              </w:tc>
              <w:tc>
                <w:tcPr>
                  <w:tcW w:w="818" w:type="pct"/>
                  <w:gridSpan w:val="2"/>
                  <w:vAlign w:val="center"/>
                </w:tcPr>
                <w:p>
                  <w:pPr>
                    <w:pStyle w:val="68"/>
                    <w:rPr>
                      <w:b/>
                      <w:bCs/>
                      <w:color w:val="auto"/>
                    </w:rPr>
                  </w:pPr>
                  <w:r>
                    <w:rPr>
                      <w:b/>
                      <w:bCs/>
                      <w:color w:val="auto"/>
                    </w:rPr>
                    <w:t>噪声预测值/dB(A)</w:t>
                  </w:r>
                </w:p>
              </w:tc>
              <w:tc>
                <w:tcPr>
                  <w:tcW w:w="680" w:type="pct"/>
                  <w:gridSpan w:val="2"/>
                  <w:vAlign w:val="center"/>
                </w:tcPr>
                <w:p>
                  <w:pPr>
                    <w:pStyle w:val="68"/>
                    <w:rPr>
                      <w:b/>
                      <w:bCs/>
                      <w:color w:val="auto"/>
                    </w:rPr>
                  </w:pPr>
                  <w:r>
                    <w:rPr>
                      <w:b/>
                      <w:bCs/>
                      <w:color w:val="auto"/>
                      <w:shd w:val="clear" w:fill="FFFFFF"/>
                    </w:rPr>
                    <w:t>较</w:t>
                  </w:r>
                  <w:r>
                    <w:rPr>
                      <w:b/>
                      <w:bCs/>
                      <w:color w:val="auto"/>
                    </w:rPr>
                    <w:t>现状增量/dB(A)</w:t>
                  </w:r>
                </w:p>
              </w:tc>
              <w:tc>
                <w:tcPr>
                  <w:tcW w:w="725" w:type="pct"/>
                  <w:gridSpan w:val="2"/>
                  <w:vAlign w:val="center"/>
                </w:tcPr>
                <w:p>
                  <w:pPr>
                    <w:pStyle w:val="68"/>
                    <w:rPr>
                      <w:b/>
                      <w:bCs/>
                      <w:color w:val="auto"/>
                    </w:rPr>
                  </w:pPr>
                  <w:r>
                    <w:rPr>
                      <w:b/>
                      <w:bCs/>
                      <w:color w:val="auto"/>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shd w:val="clear" w:color="auto" w:fill="FFFFFF"/>
                  <w:vAlign w:val="center"/>
                </w:tcPr>
                <w:p>
                  <w:pPr>
                    <w:pStyle w:val="68"/>
                    <w:rPr>
                      <w:b/>
                      <w:bCs/>
                      <w:color w:val="auto"/>
                    </w:rPr>
                  </w:pPr>
                </w:p>
              </w:tc>
              <w:tc>
                <w:tcPr>
                  <w:tcW w:w="373" w:type="pct"/>
                  <w:shd w:val="clear" w:color="auto" w:fill="FFFFFF"/>
                  <w:vAlign w:val="center"/>
                </w:tcPr>
                <w:p>
                  <w:pPr>
                    <w:pStyle w:val="68"/>
                    <w:rPr>
                      <w:b/>
                      <w:bCs/>
                      <w:color w:val="auto"/>
                    </w:rPr>
                  </w:pPr>
                  <w:r>
                    <w:rPr>
                      <w:b/>
                      <w:bCs/>
                      <w:color w:val="auto"/>
                    </w:rPr>
                    <w:t>昼间</w:t>
                  </w:r>
                </w:p>
              </w:tc>
              <w:tc>
                <w:tcPr>
                  <w:tcW w:w="375" w:type="pct"/>
                  <w:shd w:val="clear" w:color="auto" w:fill="FFFFFF"/>
                  <w:vAlign w:val="center"/>
                </w:tcPr>
                <w:p>
                  <w:pPr>
                    <w:pStyle w:val="68"/>
                    <w:rPr>
                      <w:b/>
                      <w:bCs/>
                      <w:color w:val="auto"/>
                    </w:rPr>
                  </w:pPr>
                  <w:r>
                    <w:rPr>
                      <w:b/>
                      <w:bCs/>
                      <w:color w:val="auto"/>
                    </w:rPr>
                    <w:t>夜间</w:t>
                  </w:r>
                </w:p>
              </w:tc>
              <w:tc>
                <w:tcPr>
                  <w:tcW w:w="272" w:type="pct"/>
                  <w:shd w:val="clear" w:color="auto" w:fill="FFFFFF"/>
                  <w:vAlign w:val="center"/>
                </w:tcPr>
                <w:p>
                  <w:pPr>
                    <w:pStyle w:val="68"/>
                    <w:rPr>
                      <w:b/>
                      <w:bCs/>
                      <w:color w:val="auto"/>
                    </w:rPr>
                  </w:pPr>
                  <w:r>
                    <w:rPr>
                      <w:b/>
                      <w:bCs/>
                      <w:color w:val="auto"/>
                    </w:rPr>
                    <w:t>昼间</w:t>
                  </w:r>
                </w:p>
              </w:tc>
              <w:tc>
                <w:tcPr>
                  <w:tcW w:w="337" w:type="pct"/>
                  <w:shd w:val="clear" w:color="auto" w:fill="FFFFFF"/>
                  <w:vAlign w:val="center"/>
                </w:tcPr>
                <w:p>
                  <w:pPr>
                    <w:pStyle w:val="68"/>
                    <w:rPr>
                      <w:b/>
                      <w:bCs/>
                      <w:color w:val="auto"/>
                    </w:rPr>
                  </w:pPr>
                  <w:r>
                    <w:rPr>
                      <w:b/>
                      <w:bCs/>
                      <w:color w:val="auto"/>
                    </w:rPr>
                    <w:t>夜间</w:t>
                  </w:r>
                </w:p>
              </w:tc>
              <w:tc>
                <w:tcPr>
                  <w:tcW w:w="508" w:type="pct"/>
                  <w:shd w:val="clear" w:color="auto" w:fill="FFFFFF"/>
                  <w:vAlign w:val="center"/>
                </w:tcPr>
                <w:p>
                  <w:pPr>
                    <w:pStyle w:val="68"/>
                    <w:rPr>
                      <w:b/>
                      <w:bCs/>
                      <w:color w:val="auto"/>
                    </w:rPr>
                  </w:pPr>
                  <w:r>
                    <w:rPr>
                      <w:b/>
                      <w:bCs/>
                      <w:color w:val="auto"/>
                    </w:rPr>
                    <w:t>昼间</w:t>
                  </w:r>
                </w:p>
              </w:tc>
              <w:tc>
                <w:tcPr>
                  <w:tcW w:w="390" w:type="pct"/>
                  <w:shd w:val="clear" w:color="auto" w:fill="FFFFFF"/>
                  <w:vAlign w:val="center"/>
                </w:tcPr>
                <w:p>
                  <w:pPr>
                    <w:pStyle w:val="68"/>
                    <w:rPr>
                      <w:b/>
                      <w:bCs/>
                      <w:color w:val="auto"/>
                    </w:rPr>
                  </w:pPr>
                  <w:r>
                    <w:rPr>
                      <w:b/>
                      <w:bCs/>
                      <w:color w:val="auto"/>
                    </w:rPr>
                    <w:t>夜间</w:t>
                  </w:r>
                </w:p>
              </w:tc>
              <w:tc>
                <w:tcPr>
                  <w:tcW w:w="380" w:type="pct"/>
                  <w:shd w:val="clear" w:color="auto" w:fill="FFFFFF"/>
                  <w:vAlign w:val="center"/>
                </w:tcPr>
                <w:p>
                  <w:pPr>
                    <w:pStyle w:val="68"/>
                    <w:rPr>
                      <w:b/>
                      <w:bCs/>
                      <w:color w:val="auto"/>
                    </w:rPr>
                  </w:pPr>
                  <w:r>
                    <w:rPr>
                      <w:b/>
                      <w:bCs/>
                      <w:color w:val="auto"/>
                    </w:rPr>
                    <w:t>昼间</w:t>
                  </w:r>
                </w:p>
              </w:tc>
              <w:tc>
                <w:tcPr>
                  <w:tcW w:w="438" w:type="pct"/>
                  <w:shd w:val="clear" w:color="auto" w:fill="FFFFFF"/>
                  <w:vAlign w:val="center"/>
                </w:tcPr>
                <w:p>
                  <w:pPr>
                    <w:pStyle w:val="68"/>
                    <w:rPr>
                      <w:b/>
                      <w:bCs/>
                      <w:color w:val="auto"/>
                    </w:rPr>
                  </w:pPr>
                  <w:r>
                    <w:rPr>
                      <w:b/>
                      <w:bCs/>
                      <w:color w:val="auto"/>
                    </w:rPr>
                    <w:t>夜间</w:t>
                  </w:r>
                </w:p>
              </w:tc>
              <w:tc>
                <w:tcPr>
                  <w:tcW w:w="306" w:type="pct"/>
                  <w:shd w:val="clear" w:color="auto" w:fill="FFFFFF"/>
                  <w:vAlign w:val="center"/>
                </w:tcPr>
                <w:p>
                  <w:pPr>
                    <w:pStyle w:val="68"/>
                    <w:rPr>
                      <w:b/>
                      <w:bCs/>
                      <w:color w:val="auto"/>
                    </w:rPr>
                  </w:pPr>
                  <w:r>
                    <w:rPr>
                      <w:b/>
                      <w:bCs/>
                      <w:color w:val="auto"/>
                    </w:rPr>
                    <w:t>昼间</w:t>
                  </w:r>
                </w:p>
              </w:tc>
              <w:tc>
                <w:tcPr>
                  <w:tcW w:w="374" w:type="pct"/>
                  <w:shd w:val="clear" w:color="auto" w:fill="FFFFFF"/>
                  <w:vAlign w:val="center"/>
                </w:tcPr>
                <w:p>
                  <w:pPr>
                    <w:pStyle w:val="68"/>
                    <w:rPr>
                      <w:b/>
                      <w:bCs/>
                      <w:color w:val="auto"/>
                    </w:rPr>
                  </w:pPr>
                  <w:r>
                    <w:rPr>
                      <w:b/>
                      <w:bCs/>
                      <w:color w:val="auto"/>
                    </w:rPr>
                    <w:t>夜间</w:t>
                  </w:r>
                </w:p>
              </w:tc>
              <w:tc>
                <w:tcPr>
                  <w:tcW w:w="363" w:type="pct"/>
                  <w:shd w:val="clear" w:color="auto" w:fill="FFFFFF"/>
                  <w:vAlign w:val="center"/>
                </w:tcPr>
                <w:p>
                  <w:pPr>
                    <w:pStyle w:val="68"/>
                    <w:rPr>
                      <w:b/>
                      <w:bCs/>
                      <w:color w:val="auto"/>
                    </w:rPr>
                  </w:pPr>
                  <w:r>
                    <w:rPr>
                      <w:b/>
                      <w:bCs/>
                      <w:color w:val="auto"/>
                    </w:rPr>
                    <w:t>昼间</w:t>
                  </w:r>
                </w:p>
              </w:tc>
              <w:tc>
                <w:tcPr>
                  <w:tcW w:w="362" w:type="pct"/>
                  <w:shd w:val="clear" w:color="auto" w:fill="FFFFFF"/>
                  <w:vAlign w:val="center"/>
                </w:tcPr>
                <w:p>
                  <w:pPr>
                    <w:pStyle w:val="68"/>
                    <w:rPr>
                      <w:b/>
                      <w:bCs/>
                      <w:color w:val="auto"/>
                    </w:rPr>
                  </w:pPr>
                  <w:r>
                    <w:rPr>
                      <w:b/>
                      <w:bCs/>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522" w:type="pct"/>
                  <w:shd w:val="clear" w:color="auto" w:fill="FFFFFF"/>
                  <w:vAlign w:val="center"/>
                </w:tcPr>
                <w:p>
                  <w:pPr>
                    <w:pStyle w:val="68"/>
                    <w:rPr>
                      <w:color w:val="auto"/>
                    </w:rPr>
                  </w:pPr>
                  <w:r>
                    <w:rPr>
                      <w:rFonts w:hint="eastAsia"/>
                      <w:color w:val="auto"/>
                      <w:lang w:eastAsia="zh-CN"/>
                    </w:rPr>
                    <w:t>东侧散户</w:t>
                  </w:r>
                </w:p>
              </w:tc>
              <w:tc>
                <w:tcPr>
                  <w:tcW w:w="373" w:type="pct"/>
                  <w:shd w:val="clear" w:color="auto" w:fill="FFFFFF"/>
                  <w:vAlign w:val="center"/>
                </w:tcPr>
                <w:p>
                  <w:pPr>
                    <w:pStyle w:val="68"/>
                    <w:rPr>
                      <w:color w:val="auto"/>
                    </w:rPr>
                  </w:pPr>
                  <w:r>
                    <w:rPr>
                      <w:color w:val="auto"/>
                    </w:rPr>
                    <w:t>53</w:t>
                  </w:r>
                </w:p>
              </w:tc>
              <w:tc>
                <w:tcPr>
                  <w:tcW w:w="375" w:type="pct"/>
                  <w:shd w:val="clear" w:color="auto" w:fill="FFFFFF"/>
                  <w:vAlign w:val="center"/>
                </w:tcPr>
                <w:p>
                  <w:pPr>
                    <w:pStyle w:val="68"/>
                    <w:rPr>
                      <w:color w:val="auto"/>
                    </w:rPr>
                  </w:pPr>
                  <w:r>
                    <w:rPr>
                      <w:color w:val="auto"/>
                    </w:rPr>
                    <w:t>42</w:t>
                  </w:r>
                </w:p>
              </w:tc>
              <w:tc>
                <w:tcPr>
                  <w:tcW w:w="272" w:type="pct"/>
                  <w:shd w:val="clear" w:color="auto" w:fill="FFFFFF"/>
                  <w:vAlign w:val="center"/>
                </w:tcPr>
                <w:p>
                  <w:pPr>
                    <w:pStyle w:val="68"/>
                    <w:rPr>
                      <w:color w:val="auto"/>
                    </w:rPr>
                  </w:pPr>
                  <w:r>
                    <w:rPr>
                      <w:color w:val="auto"/>
                    </w:rPr>
                    <w:t>60</w:t>
                  </w:r>
                </w:p>
              </w:tc>
              <w:tc>
                <w:tcPr>
                  <w:tcW w:w="337" w:type="pct"/>
                  <w:shd w:val="clear" w:color="auto" w:fill="FFFFFF"/>
                  <w:vAlign w:val="center"/>
                </w:tcPr>
                <w:p>
                  <w:pPr>
                    <w:pStyle w:val="68"/>
                    <w:rPr>
                      <w:color w:val="auto"/>
                    </w:rPr>
                  </w:pPr>
                  <w:r>
                    <w:rPr>
                      <w:color w:val="auto"/>
                    </w:rPr>
                    <w:t>50</w:t>
                  </w:r>
                </w:p>
              </w:tc>
              <w:tc>
                <w:tcPr>
                  <w:tcW w:w="508" w:type="pct"/>
                  <w:shd w:val="clear" w:color="auto" w:fill="FFFFFF"/>
                  <w:vAlign w:val="center"/>
                </w:tcPr>
                <w:p>
                  <w:pPr>
                    <w:pStyle w:val="68"/>
                    <w:rPr>
                      <w:color w:val="auto"/>
                    </w:rPr>
                  </w:pPr>
                  <w:r>
                    <w:rPr>
                      <w:color w:val="auto"/>
                    </w:rPr>
                    <w:t>56.2</w:t>
                  </w:r>
                </w:p>
              </w:tc>
              <w:tc>
                <w:tcPr>
                  <w:tcW w:w="390" w:type="pct"/>
                  <w:shd w:val="clear" w:color="auto" w:fill="FFFFFF"/>
                  <w:vAlign w:val="center"/>
                </w:tcPr>
                <w:p>
                  <w:pPr>
                    <w:pStyle w:val="68"/>
                    <w:rPr>
                      <w:color w:val="auto"/>
                    </w:rPr>
                  </w:pPr>
                  <w:r>
                    <w:rPr>
                      <w:color w:val="auto"/>
                    </w:rPr>
                    <w:t>44.5</w:t>
                  </w:r>
                </w:p>
              </w:tc>
              <w:tc>
                <w:tcPr>
                  <w:tcW w:w="380" w:type="pct"/>
                  <w:shd w:val="clear" w:color="auto" w:fill="FFFFFF"/>
                  <w:vAlign w:val="center"/>
                </w:tcPr>
                <w:p>
                  <w:pPr>
                    <w:pStyle w:val="68"/>
                    <w:rPr>
                      <w:color w:val="auto"/>
                    </w:rPr>
                  </w:pPr>
                  <w:r>
                    <w:rPr>
                      <w:color w:val="auto"/>
                    </w:rPr>
                    <w:t>56.5</w:t>
                  </w:r>
                </w:p>
              </w:tc>
              <w:tc>
                <w:tcPr>
                  <w:tcW w:w="438" w:type="pct"/>
                  <w:shd w:val="clear" w:color="auto" w:fill="FFFFFF"/>
                  <w:vAlign w:val="center"/>
                </w:tcPr>
                <w:p>
                  <w:pPr>
                    <w:pStyle w:val="68"/>
                    <w:rPr>
                      <w:color w:val="auto"/>
                    </w:rPr>
                  </w:pPr>
                  <w:r>
                    <w:rPr>
                      <w:color w:val="auto"/>
                    </w:rPr>
                    <w:t>44.8</w:t>
                  </w:r>
                </w:p>
              </w:tc>
              <w:tc>
                <w:tcPr>
                  <w:tcW w:w="306" w:type="pct"/>
                  <w:shd w:val="clear" w:color="auto" w:fill="FFFFFF"/>
                  <w:vAlign w:val="center"/>
                </w:tcPr>
                <w:p>
                  <w:pPr>
                    <w:pStyle w:val="68"/>
                    <w:rPr>
                      <w:color w:val="auto"/>
                    </w:rPr>
                  </w:pPr>
                  <w:r>
                    <w:rPr>
                      <w:color w:val="auto"/>
                    </w:rPr>
                    <w:t>3.5</w:t>
                  </w:r>
                </w:p>
              </w:tc>
              <w:tc>
                <w:tcPr>
                  <w:tcW w:w="374" w:type="pct"/>
                  <w:shd w:val="clear" w:color="auto" w:fill="FFFFFF"/>
                  <w:vAlign w:val="center"/>
                </w:tcPr>
                <w:p>
                  <w:pPr>
                    <w:pStyle w:val="68"/>
                    <w:rPr>
                      <w:color w:val="auto"/>
                    </w:rPr>
                  </w:pPr>
                  <w:r>
                    <w:rPr>
                      <w:color w:val="auto"/>
                    </w:rPr>
                    <w:t>2.8</w:t>
                  </w:r>
                </w:p>
              </w:tc>
              <w:tc>
                <w:tcPr>
                  <w:tcW w:w="363" w:type="pct"/>
                  <w:shd w:val="clear" w:color="auto" w:fill="FFFFFF"/>
                  <w:vAlign w:val="center"/>
                </w:tcPr>
                <w:p>
                  <w:pPr>
                    <w:pStyle w:val="68"/>
                    <w:rPr>
                      <w:color w:val="auto"/>
                    </w:rPr>
                  </w:pPr>
                  <w:r>
                    <w:rPr>
                      <w:color w:val="auto"/>
                    </w:rPr>
                    <w:t>达标</w:t>
                  </w:r>
                </w:p>
              </w:tc>
              <w:tc>
                <w:tcPr>
                  <w:tcW w:w="362" w:type="pct"/>
                  <w:shd w:val="clear" w:color="auto" w:fill="FFFFFF"/>
                  <w:vAlign w:val="center"/>
                </w:tcPr>
                <w:p>
                  <w:pPr>
                    <w:pStyle w:val="68"/>
                    <w:rPr>
                      <w:color w:val="auto"/>
                      <w:lang w:eastAsia="zh-CN"/>
                    </w:rPr>
                  </w:pPr>
                  <w:r>
                    <w:rPr>
                      <w:color w:val="auto"/>
                    </w:rPr>
                    <w:t>达标</w:t>
                  </w:r>
                </w:p>
              </w:tc>
            </w:tr>
          </w:tbl>
          <w:p>
            <w:pPr>
              <w:pStyle w:val="71"/>
              <w:rPr>
                <w:color w:val="auto"/>
              </w:rPr>
            </w:pPr>
          </w:p>
          <w:p>
            <w:pPr>
              <w:pStyle w:val="68"/>
              <w:rPr>
                <w:color w:val="auto"/>
              </w:rPr>
            </w:pPr>
            <w:r>
              <w:rPr>
                <w:color w:val="auto"/>
                <w:lang w:val="en-US" w:eastAsia="zh-CN"/>
              </w:rPr>
              <w:drawing>
                <wp:inline distT="0" distB="0" distL="0" distR="0">
                  <wp:extent cx="4479290" cy="3687445"/>
                  <wp:effectExtent l="0" t="0" r="165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479290" cy="3687445"/>
                          </a:xfrm>
                          <a:prstGeom prst="rect">
                            <a:avLst/>
                          </a:prstGeom>
                        </pic:spPr>
                      </pic:pic>
                    </a:graphicData>
                  </a:graphic>
                </wp:inline>
              </w:drawing>
            </w:r>
          </w:p>
          <w:p>
            <w:pPr>
              <w:pStyle w:val="71"/>
              <w:rPr>
                <w:color w:val="auto"/>
              </w:rPr>
            </w:pPr>
            <w:r>
              <w:rPr>
                <w:rFonts w:hint="eastAsia"/>
                <w:color w:val="auto"/>
              </w:rPr>
              <w:t>图4</w:t>
            </w:r>
            <w:r>
              <w:rPr>
                <w:color w:val="auto"/>
              </w:rPr>
              <w:t>.2-</w:t>
            </w:r>
            <w:r>
              <w:rPr>
                <w:rFonts w:hint="eastAsia"/>
                <w:color w:val="auto"/>
                <w:lang w:val="en-US" w:eastAsia="zh-CN"/>
              </w:rPr>
              <w:t xml:space="preserve">3 </w:t>
            </w:r>
            <w:r>
              <w:rPr>
                <w:color w:val="auto"/>
              </w:rPr>
              <w:t xml:space="preserve"> </w:t>
            </w:r>
            <w:r>
              <w:rPr>
                <w:rFonts w:hint="eastAsia"/>
                <w:color w:val="auto"/>
              </w:rPr>
              <w:t xml:space="preserve">昼间等声级线图 </w:t>
            </w:r>
            <w:r>
              <w:rPr>
                <w:color w:val="auto"/>
              </w:rPr>
              <w:t xml:space="preserve"> </w:t>
            </w:r>
          </w:p>
          <w:p>
            <w:pPr>
              <w:pStyle w:val="68"/>
              <w:rPr>
                <w:color w:val="auto"/>
              </w:rPr>
            </w:pPr>
            <w:r>
              <w:rPr>
                <w:color w:val="auto"/>
                <w:lang w:val="en-US" w:eastAsia="zh-CN"/>
              </w:rPr>
              <w:drawing>
                <wp:inline distT="0" distB="0" distL="0" distR="0">
                  <wp:extent cx="4356100" cy="35001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356100" cy="3500120"/>
                          </a:xfrm>
                          <a:prstGeom prst="rect">
                            <a:avLst/>
                          </a:prstGeom>
                        </pic:spPr>
                      </pic:pic>
                    </a:graphicData>
                  </a:graphic>
                </wp:inline>
              </w:drawing>
            </w:r>
          </w:p>
          <w:p>
            <w:pPr>
              <w:pStyle w:val="71"/>
              <w:rPr>
                <w:color w:val="auto"/>
              </w:rPr>
            </w:pPr>
            <w:r>
              <w:rPr>
                <w:rFonts w:hint="eastAsia"/>
                <w:color w:val="auto"/>
              </w:rPr>
              <w:t>图4</w:t>
            </w:r>
            <w:r>
              <w:rPr>
                <w:color w:val="auto"/>
              </w:rPr>
              <w:t>.2-</w:t>
            </w:r>
            <w:r>
              <w:rPr>
                <w:rFonts w:hint="eastAsia"/>
                <w:color w:val="auto"/>
                <w:lang w:val="en-US" w:eastAsia="zh-CN"/>
              </w:rPr>
              <w:t>4</w:t>
            </w:r>
            <w:r>
              <w:rPr>
                <w:color w:val="auto"/>
              </w:rPr>
              <w:t xml:space="preserve"> </w:t>
            </w:r>
            <w:r>
              <w:rPr>
                <w:rFonts w:hint="eastAsia"/>
                <w:color w:val="auto"/>
              </w:rPr>
              <w:t>夜间等声级线图</w:t>
            </w:r>
          </w:p>
          <w:p>
            <w:pPr>
              <w:ind w:firstLine="480"/>
              <w:rPr>
                <w:color w:val="auto"/>
              </w:rPr>
            </w:pPr>
            <w:r>
              <w:rPr>
                <w:color w:val="auto"/>
              </w:rPr>
              <w:t>由</w:t>
            </w:r>
            <w:r>
              <w:rPr>
                <w:rFonts w:hint="eastAsia"/>
                <w:color w:val="auto"/>
              </w:rPr>
              <w:t>预测结果</w:t>
            </w:r>
            <w:r>
              <w:rPr>
                <w:color w:val="auto"/>
              </w:rPr>
              <w:t>可知</w:t>
            </w:r>
            <w:r>
              <w:rPr>
                <w:rFonts w:hint="eastAsia"/>
                <w:color w:val="auto"/>
              </w:rPr>
              <w:t>，</w:t>
            </w:r>
            <w:r>
              <w:rPr>
                <w:color w:val="auto"/>
              </w:rPr>
              <w:t>正常工况下，</w:t>
            </w:r>
            <w:r>
              <w:rPr>
                <w:rFonts w:hint="eastAsia"/>
                <w:color w:val="auto"/>
              </w:rPr>
              <w:t>项目区东侧</w:t>
            </w:r>
            <w:r>
              <w:rPr>
                <w:color w:val="auto"/>
              </w:rPr>
              <w:t>散户</w:t>
            </w:r>
            <w:r>
              <w:rPr>
                <w:rFonts w:hint="eastAsia"/>
                <w:color w:val="auto"/>
              </w:rPr>
              <w:t>昼间、夜间环境</w:t>
            </w:r>
            <w:r>
              <w:rPr>
                <w:color w:val="auto"/>
              </w:rPr>
              <w:t>噪声满足《声环境质量标准》</w:t>
            </w:r>
            <w:bookmarkStart w:id="8" w:name="PO_2"/>
            <w:bookmarkEnd w:id="8"/>
            <w:r>
              <w:rPr>
                <w:rFonts w:hint="eastAsia"/>
                <w:color w:val="auto"/>
                <w:lang w:eastAsia="zh-CN"/>
              </w:rPr>
              <w:t>（</w:t>
            </w:r>
            <w:r>
              <w:rPr>
                <w:color w:val="auto"/>
              </w:rPr>
              <w:t>GB3096-2008</w:t>
            </w:r>
            <w:r>
              <w:rPr>
                <w:rFonts w:hint="eastAsia"/>
                <w:color w:val="auto"/>
                <w:lang w:eastAsia="zh-CN"/>
              </w:rPr>
              <w:t>）</w:t>
            </w:r>
            <w:r>
              <w:rPr>
                <w:color w:val="auto"/>
              </w:rPr>
              <w:t>2类标准。</w:t>
            </w:r>
          </w:p>
          <w:p>
            <w:pPr>
              <w:pStyle w:val="92"/>
              <w:rPr>
                <w:color w:val="auto"/>
                <w:sz w:val="24"/>
              </w:rPr>
            </w:pPr>
            <w:r>
              <w:rPr>
                <w:rFonts w:hint="eastAsia"/>
                <w:color w:val="auto"/>
                <w:sz w:val="24"/>
              </w:rPr>
              <w:t>为了确保</w:t>
            </w:r>
            <w:r>
              <w:rPr>
                <w:rFonts w:hint="eastAsia"/>
                <w:color w:val="auto"/>
                <w:sz w:val="24"/>
                <w:shd w:val="clear" w:fill="FFFFFF"/>
              </w:rPr>
              <w:t>厂界</w:t>
            </w:r>
            <w:r>
              <w:rPr>
                <w:rFonts w:hint="eastAsia"/>
                <w:color w:val="auto"/>
                <w:sz w:val="24"/>
              </w:rPr>
              <w:t>声环境质量达标，建设单位采取相应噪声污染防治措施，具体防治措施如下：</w:t>
            </w:r>
          </w:p>
          <w:p>
            <w:pPr>
              <w:ind w:firstLine="480"/>
              <w:rPr>
                <w:rFonts w:eastAsiaTheme="minorEastAsia"/>
                <w:color w:val="auto"/>
              </w:rPr>
            </w:pPr>
            <w:r>
              <w:rPr>
                <w:rFonts w:hint="eastAsia" w:hAnsiTheme="minorEastAsia" w:eastAsiaTheme="minorEastAsia"/>
                <w:color w:val="auto"/>
              </w:rPr>
              <w:t>本</w:t>
            </w:r>
            <w:r>
              <w:rPr>
                <w:rFonts w:hint="eastAsia" w:hAnsi="宋体"/>
                <w:color w:val="auto"/>
                <w:kern w:val="0"/>
              </w:rPr>
              <w:t>次评价为减小项目噪声对敏感目标的生产和生活造成的影响，</w:t>
            </w:r>
            <w:r>
              <w:rPr>
                <w:color w:val="auto"/>
              </w:rPr>
              <w:t>建议本项目</w:t>
            </w:r>
            <w:r>
              <w:rPr>
                <w:rFonts w:hint="eastAsia"/>
                <w:color w:val="auto"/>
              </w:rPr>
              <w:t>进一步采取以下措施</w:t>
            </w:r>
            <w:r>
              <w:rPr>
                <w:color w:val="auto"/>
              </w:rPr>
              <w:t>。</w:t>
            </w:r>
          </w:p>
          <w:p>
            <w:pPr>
              <w:ind w:firstLine="482"/>
              <w:rPr>
                <w:color w:val="auto"/>
              </w:rPr>
            </w:pPr>
            <w:r>
              <w:rPr>
                <w:b/>
                <w:bCs/>
                <w:color w:val="auto"/>
              </w:rPr>
              <w:t>声源降噪：</w:t>
            </w:r>
            <w:r>
              <w:rPr>
                <w:color w:val="auto"/>
              </w:rPr>
              <w:t>尽量选用先进的低噪声设备，各</w:t>
            </w:r>
            <w:r>
              <w:rPr>
                <w:color w:val="auto"/>
                <w:shd w:val="clear" w:fill="FFFFFF"/>
              </w:rPr>
              <w:t>产噪</w:t>
            </w:r>
            <w:r>
              <w:rPr>
                <w:color w:val="auto"/>
              </w:rPr>
              <w:t>设备均进行减振处理，在安装连接时采用合理的连接方式，在设备和基础之间加装隔振元件（如减振器、橡胶隔振垫等），设置防振沟，从声源处避免噪声和振动的远距离传播；</w:t>
            </w:r>
          </w:p>
          <w:p>
            <w:pPr>
              <w:ind w:firstLine="482"/>
              <w:rPr>
                <w:color w:val="auto"/>
              </w:rPr>
            </w:pPr>
            <w:r>
              <w:rPr>
                <w:rFonts w:hint="eastAsia"/>
                <w:b/>
                <w:bCs/>
                <w:color w:val="auto"/>
              </w:rPr>
              <w:t>传播降噪：</w:t>
            </w:r>
            <w:r>
              <w:rPr>
                <w:color w:val="auto"/>
              </w:rPr>
              <w:t>产</w:t>
            </w:r>
            <w:r>
              <w:rPr>
                <w:color w:val="auto"/>
                <w:shd w:val="clear" w:fill="FFFFFF"/>
              </w:rPr>
              <w:t>噪</w:t>
            </w:r>
            <w:r>
              <w:rPr>
                <w:color w:val="auto"/>
              </w:rPr>
              <w:t>设备安装在室内，安装隔声罩，以有效利用噪声距离衰减作用；</w:t>
            </w:r>
          </w:p>
          <w:p>
            <w:pPr>
              <w:ind w:firstLine="482"/>
              <w:rPr>
                <w:color w:val="auto"/>
              </w:rPr>
            </w:pPr>
            <w:r>
              <w:rPr>
                <w:b/>
                <w:bCs/>
                <w:color w:val="auto"/>
              </w:rPr>
              <w:t>车间隔声：</w:t>
            </w:r>
            <w:r>
              <w:rPr>
                <w:color w:val="auto"/>
              </w:rPr>
              <w:t>对声源设备所在车间安装隔声门窗，进行车间隔声，车间内除地面外的五个壁面可做一定的吸声处理，可以使车间外声源噪声降低15dB</w:t>
            </w:r>
            <w:r>
              <w:rPr>
                <w:rFonts w:hint="eastAsia"/>
                <w:color w:val="auto"/>
              </w:rPr>
              <w:t>（</w:t>
            </w:r>
            <w:r>
              <w:rPr>
                <w:color w:val="auto"/>
              </w:rPr>
              <w:t>A</w:t>
            </w:r>
            <w:r>
              <w:rPr>
                <w:rFonts w:hint="eastAsia"/>
                <w:color w:val="auto"/>
              </w:rPr>
              <w:t>）</w:t>
            </w:r>
            <w:r>
              <w:rPr>
                <w:color w:val="auto"/>
              </w:rPr>
              <w:t>以上；</w:t>
            </w:r>
          </w:p>
          <w:p>
            <w:pPr>
              <w:ind w:firstLine="480"/>
              <w:rPr>
                <w:color w:val="auto"/>
              </w:rPr>
            </w:pPr>
            <w:r>
              <w:rPr>
                <w:color w:val="auto"/>
              </w:rPr>
              <w:t>建立设备定期维护、保养的管理制度，以防止设备故障形成的非正常生产噪声，同时确保环保措施发挥最佳有效的功能；加强职工环保意识教育，提倡文明生产，防止人为噪声，最大限度减少流动噪声源。</w:t>
            </w:r>
          </w:p>
          <w:p>
            <w:pPr>
              <w:pStyle w:val="75"/>
              <w:rPr>
                <w:color w:val="auto"/>
              </w:rPr>
            </w:pPr>
            <w:r>
              <w:rPr>
                <w:rFonts w:hint="eastAsia"/>
                <w:color w:val="auto"/>
              </w:rPr>
              <w:t>4.2.3.</w:t>
            </w:r>
            <w:r>
              <w:rPr>
                <w:color w:val="auto"/>
              </w:rPr>
              <w:t>4</w:t>
            </w:r>
            <w:r>
              <w:rPr>
                <w:rFonts w:hint="eastAsia"/>
                <w:color w:val="auto"/>
              </w:rPr>
              <w:t>噪声监测要求</w:t>
            </w:r>
          </w:p>
          <w:p>
            <w:pPr>
              <w:ind w:firstLine="480"/>
              <w:rPr>
                <w:color w:val="auto"/>
              </w:rPr>
            </w:pPr>
            <w:r>
              <w:rPr>
                <w:rFonts w:hint="eastAsia"/>
                <w:color w:val="auto"/>
              </w:rPr>
              <w:t>根据《排污许可证申请与核发技术规范 工业噪声》（HJ1301-2023）要求，排污单位应查清所有污染源，确定主要污染源及主要监测指标，应制定全部监测方案，并提出简要的项目环境监测计划。具体见下表。</w:t>
            </w:r>
          </w:p>
          <w:p>
            <w:pPr>
              <w:pStyle w:val="71"/>
              <w:rPr>
                <w:color w:val="auto"/>
              </w:rPr>
            </w:pPr>
            <w:r>
              <w:rPr>
                <w:color w:val="auto"/>
              </w:rPr>
              <w:t>表4</w:t>
            </w:r>
            <w:r>
              <w:rPr>
                <w:rFonts w:hint="eastAsia"/>
                <w:color w:val="auto"/>
              </w:rPr>
              <w:t>.</w:t>
            </w:r>
            <w:r>
              <w:rPr>
                <w:rFonts w:hint="eastAsia"/>
                <w:color w:val="auto"/>
                <w:lang w:val="en-US" w:eastAsia="zh-CN"/>
              </w:rPr>
              <w:t>2</w:t>
            </w:r>
            <w:r>
              <w:rPr>
                <w:color w:val="auto"/>
              </w:rPr>
              <w:t>-</w:t>
            </w:r>
            <w:r>
              <w:rPr>
                <w:rFonts w:hint="eastAsia"/>
                <w:color w:val="auto"/>
                <w:lang w:val="en-US" w:eastAsia="zh-CN"/>
              </w:rPr>
              <w:t xml:space="preserve">27 </w:t>
            </w:r>
            <w:r>
              <w:rPr>
                <w:rFonts w:hint="eastAsia"/>
                <w:color w:val="auto"/>
              </w:rPr>
              <w:t xml:space="preserve"> </w:t>
            </w:r>
            <w:r>
              <w:rPr>
                <w:color w:val="auto"/>
              </w:rPr>
              <w:t>噪声监测计划表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23"/>
              <w:gridCol w:w="1120"/>
              <w:gridCol w:w="1117"/>
              <w:gridCol w:w="3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1" w:type="pct"/>
                  <w:vAlign w:val="center"/>
                </w:tcPr>
                <w:p>
                  <w:pPr>
                    <w:pStyle w:val="68"/>
                    <w:rPr>
                      <w:b/>
                      <w:bCs/>
                      <w:color w:val="auto"/>
                    </w:rPr>
                  </w:pPr>
                  <w:r>
                    <w:rPr>
                      <w:rFonts w:hint="eastAsia"/>
                      <w:b/>
                      <w:bCs/>
                      <w:color w:val="auto"/>
                    </w:rPr>
                    <w:t>序号</w:t>
                  </w:r>
                </w:p>
              </w:tc>
              <w:tc>
                <w:tcPr>
                  <w:tcW w:w="716" w:type="pct"/>
                  <w:vAlign w:val="center"/>
                </w:tcPr>
                <w:p>
                  <w:pPr>
                    <w:pStyle w:val="68"/>
                    <w:rPr>
                      <w:b/>
                      <w:bCs/>
                      <w:color w:val="auto"/>
                    </w:rPr>
                  </w:pPr>
                  <w:r>
                    <w:rPr>
                      <w:rFonts w:hint="eastAsia"/>
                      <w:b/>
                      <w:bCs/>
                      <w:color w:val="auto"/>
                    </w:rPr>
                    <w:t>监测点位</w:t>
                  </w:r>
                </w:p>
              </w:tc>
              <w:tc>
                <w:tcPr>
                  <w:tcW w:w="714" w:type="pct"/>
                  <w:vAlign w:val="center"/>
                </w:tcPr>
                <w:p>
                  <w:pPr>
                    <w:pStyle w:val="68"/>
                    <w:rPr>
                      <w:b/>
                      <w:bCs/>
                      <w:color w:val="auto"/>
                    </w:rPr>
                  </w:pPr>
                  <w:r>
                    <w:rPr>
                      <w:rFonts w:hint="eastAsia"/>
                      <w:b/>
                      <w:bCs/>
                      <w:color w:val="auto"/>
                    </w:rPr>
                    <w:t>监测指标</w:t>
                  </w:r>
                </w:p>
              </w:tc>
              <w:tc>
                <w:tcPr>
                  <w:tcW w:w="712" w:type="pct"/>
                  <w:vAlign w:val="center"/>
                </w:tcPr>
                <w:p>
                  <w:pPr>
                    <w:pStyle w:val="68"/>
                    <w:rPr>
                      <w:b/>
                      <w:bCs/>
                      <w:color w:val="auto"/>
                    </w:rPr>
                  </w:pPr>
                  <w:r>
                    <w:rPr>
                      <w:rFonts w:hint="eastAsia"/>
                      <w:b/>
                      <w:bCs/>
                      <w:color w:val="auto"/>
                    </w:rPr>
                    <w:t>监测频次</w:t>
                  </w:r>
                </w:p>
              </w:tc>
              <w:tc>
                <w:tcPr>
                  <w:tcW w:w="2397" w:type="pct"/>
                  <w:vAlign w:val="center"/>
                </w:tcPr>
                <w:p>
                  <w:pPr>
                    <w:pStyle w:val="68"/>
                    <w:rPr>
                      <w:b/>
                      <w:bCs/>
                      <w:color w:val="auto"/>
                    </w:rPr>
                  </w:pPr>
                  <w:r>
                    <w:rPr>
                      <w:rFonts w:hint="eastAsia"/>
                      <w:b/>
                      <w:bCs/>
                      <w:color w:val="auto"/>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1" w:type="pct"/>
                  <w:vAlign w:val="center"/>
                </w:tcPr>
                <w:p>
                  <w:pPr>
                    <w:pStyle w:val="68"/>
                    <w:rPr>
                      <w:color w:val="auto"/>
                    </w:rPr>
                  </w:pPr>
                  <w:r>
                    <w:rPr>
                      <w:color w:val="auto"/>
                    </w:rPr>
                    <w:t>1</w:t>
                  </w:r>
                </w:p>
              </w:tc>
              <w:tc>
                <w:tcPr>
                  <w:tcW w:w="716" w:type="pct"/>
                  <w:vAlign w:val="center"/>
                </w:tcPr>
                <w:p>
                  <w:pPr>
                    <w:pStyle w:val="68"/>
                    <w:rPr>
                      <w:color w:val="auto"/>
                    </w:rPr>
                  </w:pPr>
                  <w:r>
                    <w:rPr>
                      <w:rFonts w:hint="eastAsia"/>
                      <w:color w:val="auto"/>
                      <w:shd w:val="clear" w:fill="FFFFFF"/>
                    </w:rPr>
                    <w:t>厂界</w:t>
                  </w:r>
                  <w:r>
                    <w:rPr>
                      <w:rFonts w:hint="eastAsia"/>
                      <w:color w:val="auto"/>
                    </w:rPr>
                    <w:t>四周</w:t>
                  </w:r>
                </w:p>
              </w:tc>
              <w:tc>
                <w:tcPr>
                  <w:tcW w:w="714" w:type="pct"/>
                  <w:vAlign w:val="center"/>
                </w:tcPr>
                <w:p>
                  <w:pPr>
                    <w:pStyle w:val="68"/>
                    <w:rPr>
                      <w:color w:val="auto"/>
                      <w:kern w:val="2"/>
                    </w:rPr>
                  </w:pPr>
                  <w:r>
                    <w:rPr>
                      <w:rFonts w:hint="eastAsia"/>
                      <w:color w:val="auto"/>
                      <w:kern w:val="2"/>
                      <w:shd w:val="clear" w:fill="FFFFFF"/>
                    </w:rPr>
                    <w:t>厂界</w:t>
                  </w:r>
                  <w:r>
                    <w:rPr>
                      <w:rFonts w:hint="eastAsia"/>
                      <w:color w:val="auto"/>
                      <w:kern w:val="2"/>
                    </w:rPr>
                    <w:t>昼间噪声</w:t>
                  </w:r>
                </w:p>
              </w:tc>
              <w:tc>
                <w:tcPr>
                  <w:tcW w:w="712" w:type="pct"/>
                  <w:vAlign w:val="center"/>
                </w:tcPr>
                <w:p>
                  <w:pPr>
                    <w:pStyle w:val="68"/>
                    <w:rPr>
                      <w:color w:val="auto"/>
                    </w:rPr>
                  </w:pPr>
                  <w:r>
                    <w:rPr>
                      <w:rFonts w:hint="eastAsia"/>
                      <w:color w:val="auto"/>
                    </w:rPr>
                    <w:t>1次</w:t>
                  </w:r>
                  <w:r>
                    <w:rPr>
                      <w:color w:val="auto"/>
                    </w:rPr>
                    <w:t>/</w:t>
                  </w:r>
                  <w:r>
                    <w:rPr>
                      <w:rFonts w:hint="eastAsia"/>
                      <w:color w:val="auto"/>
                    </w:rPr>
                    <w:t>季度</w:t>
                  </w:r>
                </w:p>
              </w:tc>
              <w:tc>
                <w:tcPr>
                  <w:tcW w:w="2397" w:type="pct"/>
                  <w:vAlign w:val="center"/>
                </w:tcPr>
                <w:p>
                  <w:pPr>
                    <w:pStyle w:val="68"/>
                    <w:rPr>
                      <w:color w:val="auto"/>
                      <w:lang w:eastAsia="zh-CN"/>
                    </w:rPr>
                  </w:pPr>
                  <w:r>
                    <w:rPr>
                      <w:color w:val="auto"/>
                      <w:shd w:val="clear" w:fill="FFFFFF"/>
                    </w:rPr>
                    <w:t>厂界</w:t>
                  </w:r>
                  <w:r>
                    <w:rPr>
                      <w:color w:val="auto"/>
                    </w:rPr>
                    <w:t>执行</w:t>
                  </w:r>
                  <w:r>
                    <w:rPr>
                      <w:rFonts w:hint="eastAsia"/>
                      <w:color w:val="auto"/>
                      <w:lang w:eastAsia="zh-CN"/>
                    </w:rPr>
                    <w:t>《工业企业厂界</w:t>
                  </w:r>
                  <w:r>
                    <w:rPr>
                      <w:color w:val="auto"/>
                    </w:rPr>
                    <w:t>环境噪声排放标准》</w:t>
                  </w:r>
                  <w:r>
                    <w:rPr>
                      <w:rFonts w:hint="eastAsia"/>
                      <w:color w:val="auto"/>
                    </w:rPr>
                    <w:t>（</w:t>
                  </w:r>
                  <w:r>
                    <w:rPr>
                      <w:color w:val="auto"/>
                    </w:rPr>
                    <w:t>GB12348-2008</w:t>
                  </w:r>
                  <w:r>
                    <w:rPr>
                      <w:rFonts w:hint="eastAsia"/>
                      <w:color w:val="auto"/>
                    </w:rPr>
                    <w:t>）</w:t>
                  </w:r>
                  <w:r>
                    <w:rPr>
                      <w:color w:val="auto"/>
                      <w:lang w:eastAsia="zh-CN"/>
                    </w:rPr>
                    <w:t>2</w:t>
                  </w:r>
                  <w:r>
                    <w:rPr>
                      <w:rFonts w:hint="eastAsia"/>
                      <w:color w:val="auto"/>
                    </w:rPr>
                    <w:t>类</w:t>
                  </w:r>
                </w:p>
              </w:tc>
            </w:tr>
          </w:tbl>
          <w:p>
            <w:pPr>
              <w:pStyle w:val="61"/>
              <w:spacing w:before="60" w:after="60"/>
              <w:rPr>
                <w:color w:val="auto"/>
              </w:rPr>
            </w:pPr>
            <w:r>
              <w:rPr>
                <w:rFonts w:hint="eastAsia"/>
                <w:color w:val="auto"/>
              </w:rPr>
              <w:t>4.2.4固废环境影响和保护措施</w:t>
            </w:r>
          </w:p>
          <w:p>
            <w:pPr>
              <w:pStyle w:val="75"/>
              <w:rPr>
                <w:color w:val="auto"/>
              </w:rPr>
            </w:pPr>
            <w:r>
              <w:rPr>
                <w:rFonts w:hint="eastAsia"/>
                <w:color w:val="auto"/>
              </w:rPr>
              <w:t>4.2.4.1</w:t>
            </w:r>
            <w:r>
              <w:rPr>
                <w:rFonts w:hint="eastAsia"/>
                <w:color w:val="auto"/>
                <w:shd w:val="clear" w:fill="FFFFFF"/>
              </w:rPr>
              <w:t>固废</w:t>
            </w:r>
            <w:r>
              <w:rPr>
                <w:rFonts w:hint="eastAsia"/>
                <w:color w:val="auto"/>
              </w:rPr>
              <w:t>源强核算</w:t>
            </w:r>
          </w:p>
          <w:p>
            <w:pPr>
              <w:pStyle w:val="84"/>
              <w:ind w:firstLine="482"/>
              <w:rPr>
                <w:color w:val="auto"/>
              </w:rPr>
            </w:pPr>
            <w:r>
              <w:rPr>
                <w:rFonts w:hint="eastAsia"/>
                <w:color w:val="auto"/>
                <w:lang w:val="en-US" w:eastAsia="zh-CN"/>
              </w:rPr>
              <w:t>1、</w:t>
            </w:r>
            <w:r>
              <w:rPr>
                <w:rFonts w:hint="eastAsia"/>
                <w:color w:val="auto"/>
              </w:rPr>
              <w:t>生活垃圾</w:t>
            </w:r>
          </w:p>
          <w:p>
            <w:pPr>
              <w:ind w:firstLine="480"/>
              <w:rPr>
                <w:rFonts w:hint="eastAsia"/>
                <w:color w:val="auto"/>
              </w:rPr>
            </w:pPr>
            <w:r>
              <w:rPr>
                <w:color w:val="auto"/>
              </w:rPr>
              <w:t>项目区员工按每人每天1kg计，项目新增劳动定员10人，则生活垃圾产生量为10kg/d</w:t>
            </w:r>
            <w:r>
              <w:rPr>
                <w:rFonts w:hint="eastAsia"/>
                <w:color w:val="auto"/>
              </w:rPr>
              <w:t>，</w:t>
            </w:r>
            <w:r>
              <w:rPr>
                <w:color w:val="auto"/>
              </w:rPr>
              <w:t>3t/a。生活垃圾经垃圾桶收集</w:t>
            </w:r>
            <w:r>
              <w:rPr>
                <w:rFonts w:hint="eastAsia"/>
                <w:color w:val="auto"/>
              </w:rPr>
              <w:t>，</w:t>
            </w:r>
            <w:r>
              <w:rPr>
                <w:color w:val="auto"/>
              </w:rPr>
              <w:t>定期</w:t>
            </w:r>
            <w:r>
              <w:rPr>
                <w:rFonts w:hint="eastAsia"/>
                <w:color w:val="auto"/>
              </w:rPr>
              <w:t>交由彩云集镇</w:t>
            </w:r>
            <w:r>
              <w:rPr>
                <w:color w:val="auto"/>
              </w:rPr>
              <w:t>环卫部门清运处置</w:t>
            </w:r>
            <w:r>
              <w:rPr>
                <w:rFonts w:hint="eastAsia"/>
                <w:color w:val="auto"/>
              </w:rPr>
              <w:t>。</w:t>
            </w:r>
          </w:p>
          <w:p>
            <w:pPr>
              <w:numPr>
                <w:ilvl w:val="0"/>
                <w:numId w:val="4"/>
              </w:numPr>
              <w:ind w:firstLine="480"/>
              <w:rPr>
                <w:rFonts w:hint="eastAsia"/>
                <w:b/>
                <w:bCs/>
                <w:color w:val="auto"/>
                <w:lang w:val="en-US" w:eastAsia="zh-CN"/>
              </w:rPr>
            </w:pPr>
            <w:r>
              <w:rPr>
                <w:rFonts w:hint="eastAsia"/>
                <w:b/>
                <w:bCs/>
                <w:color w:val="auto"/>
                <w:lang w:val="en-US" w:eastAsia="zh-CN"/>
              </w:rPr>
              <w:t>一般工业固体废物</w:t>
            </w:r>
          </w:p>
          <w:p>
            <w:pPr>
              <w:pStyle w:val="84"/>
              <w:ind w:firstLine="482"/>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废餐盒、塑料</w:t>
            </w:r>
          </w:p>
          <w:p>
            <w:pPr>
              <w:ind w:firstLine="480"/>
              <w:rPr>
                <w:color w:val="auto"/>
              </w:rPr>
            </w:pPr>
            <w:r>
              <w:rPr>
                <w:rFonts w:hint="eastAsia"/>
                <w:color w:val="auto"/>
              </w:rPr>
              <w:t>固液分离过程中产生少量废餐盒、塑料，约占原辅料的</w:t>
            </w:r>
            <w:r>
              <w:rPr>
                <w:rFonts w:hint="eastAsia"/>
                <w:color w:val="auto"/>
                <w:lang w:val="en-US" w:eastAsia="zh-CN"/>
              </w:rPr>
              <w:t>0.</w:t>
            </w:r>
            <w:r>
              <w:rPr>
                <w:rFonts w:hint="eastAsia"/>
                <w:color w:val="auto"/>
              </w:rPr>
              <w:t>1</w:t>
            </w:r>
            <w:r>
              <w:rPr>
                <w:color w:val="auto"/>
              </w:rPr>
              <w:t>%</w:t>
            </w:r>
            <w:r>
              <w:rPr>
                <w:rFonts w:hint="eastAsia"/>
                <w:color w:val="auto"/>
              </w:rPr>
              <w:t>，则本项目废餐盒、塑料产生量为9t/a，通过统一收集后暂存于一般固废间，定期交由环卫部门清运处置。</w:t>
            </w:r>
          </w:p>
          <w:p>
            <w:pPr>
              <w:pStyle w:val="84"/>
              <w:ind w:firstLine="482"/>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锅炉</w:t>
            </w:r>
            <w:r>
              <w:rPr>
                <w:color w:val="auto"/>
              </w:rPr>
              <w:t>灰渣</w:t>
            </w:r>
          </w:p>
          <w:p>
            <w:pPr>
              <w:ind w:firstLine="480"/>
              <w:rPr>
                <w:color w:val="auto"/>
              </w:rPr>
            </w:pPr>
            <w:r>
              <w:rPr>
                <w:color w:val="auto"/>
              </w:rPr>
              <w:t>项目生物质颗粒燃料量为</w:t>
            </w:r>
            <w:r>
              <w:rPr>
                <w:rFonts w:hint="eastAsia"/>
                <w:color w:val="auto"/>
                <w:lang w:val="en-US" w:eastAsia="zh-CN"/>
              </w:rPr>
              <w:t>980</w:t>
            </w:r>
            <w:r>
              <w:rPr>
                <w:color w:val="auto"/>
              </w:rPr>
              <w:t>t/a，本项目生物质燃料的灰分为</w:t>
            </w:r>
            <w:r>
              <w:rPr>
                <w:rFonts w:hint="eastAsia"/>
                <w:color w:val="auto"/>
              </w:rPr>
              <w:t>2.06</w:t>
            </w:r>
            <w:r>
              <w:rPr>
                <w:color w:val="auto"/>
              </w:rPr>
              <w:t>%，则项目</w:t>
            </w:r>
            <w:r>
              <w:rPr>
                <w:color w:val="auto"/>
                <w:lang w:val="de-DE"/>
              </w:rPr>
              <w:t>灰渣产生量约为</w:t>
            </w:r>
            <w:r>
              <w:rPr>
                <w:rFonts w:hint="eastAsia"/>
                <w:color w:val="auto"/>
                <w:lang w:val="en-US" w:eastAsia="zh-CN"/>
              </w:rPr>
              <w:t>20.188</w:t>
            </w:r>
            <w:r>
              <w:rPr>
                <w:color w:val="auto"/>
                <w:lang w:val="de-DE"/>
              </w:rPr>
              <w:t>t/a</w:t>
            </w:r>
            <w:r>
              <w:rPr>
                <w:color w:val="auto"/>
                <w:lang w:val="en-GB"/>
              </w:rPr>
              <w:t>，</w:t>
            </w:r>
            <w:r>
              <w:rPr>
                <w:color w:val="auto"/>
              </w:rPr>
              <w:t>主要成分为无机盐，收集后放置于一般固废储存间的灰渣槽中，</w:t>
            </w:r>
            <w:r>
              <w:rPr>
                <w:rFonts w:hint="eastAsia"/>
                <w:color w:val="auto"/>
              </w:rPr>
              <w:t>主要成分为草木灰，委托周边农户清运作农家肥使用</w:t>
            </w:r>
            <w:r>
              <w:rPr>
                <w:color w:val="auto"/>
              </w:rPr>
              <w:t>。</w:t>
            </w:r>
          </w:p>
          <w:p>
            <w:pPr>
              <w:pStyle w:val="84"/>
              <w:ind w:firstLine="482"/>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污水处理站污泥</w:t>
            </w:r>
          </w:p>
          <w:p>
            <w:pPr>
              <w:ind w:firstLine="480"/>
              <w:rPr>
                <w:color w:val="auto"/>
              </w:rPr>
            </w:pPr>
            <w:r>
              <w:rPr>
                <w:rFonts w:hint="eastAsia"/>
                <w:color w:val="auto"/>
              </w:rPr>
              <w:t>本项目污水处理站产生的污泥包括生化剩余污泥和物化沉淀污泥，以生化剩余污泥为主。生化剩余污泥量根据有机物浓度、污泥产率系数进行计算；物化污泥量根据废水悬浮物浓度、加药量等进行计算。不同处理工艺产生的剩余污泥量（DS/</w:t>
            </w:r>
            <w:r>
              <w:rPr>
                <w:color w:val="auto"/>
              </w:rPr>
              <w:t>BOD</w:t>
            </w:r>
            <w:r>
              <w:rPr>
                <w:color w:val="auto"/>
                <w:vertAlign w:val="subscript"/>
              </w:rPr>
              <w:t>5</w:t>
            </w:r>
            <w:r>
              <w:rPr>
                <w:rFonts w:hint="eastAsia"/>
                <w:color w:val="auto"/>
              </w:rPr>
              <w:t>）不同，一般可按照</w:t>
            </w:r>
            <w:r>
              <w:rPr>
                <w:color w:val="auto"/>
              </w:rPr>
              <w:t>0.3</w:t>
            </w:r>
            <w:r>
              <w:rPr>
                <w:rFonts w:hint="eastAsia"/>
                <w:color w:val="auto"/>
                <w:lang w:eastAsia="zh-CN"/>
              </w:rPr>
              <w:t>～</w:t>
            </w:r>
            <w:r>
              <w:rPr>
                <w:color w:val="auto"/>
              </w:rPr>
              <w:t>0.5kg/kg</w:t>
            </w:r>
            <w:r>
              <w:rPr>
                <w:rFonts w:hint="eastAsia"/>
                <w:color w:val="auto"/>
              </w:rPr>
              <w:t>计算，本项目以</w:t>
            </w:r>
            <w:r>
              <w:rPr>
                <w:color w:val="auto"/>
              </w:rPr>
              <w:t>0.5kg/kg</w:t>
            </w:r>
            <w:r>
              <w:rPr>
                <w:rFonts w:hint="eastAsia"/>
                <w:color w:val="auto"/>
              </w:rPr>
              <w:t>计，污水处理站</w:t>
            </w:r>
            <w:r>
              <w:rPr>
                <w:color w:val="auto"/>
              </w:rPr>
              <w:t>BOD</w:t>
            </w:r>
            <w:r>
              <w:rPr>
                <w:color w:val="auto"/>
                <w:vertAlign w:val="subscript"/>
              </w:rPr>
              <w:t>5</w:t>
            </w:r>
            <w:r>
              <w:rPr>
                <w:rFonts w:hint="eastAsia"/>
                <w:color w:val="auto"/>
              </w:rPr>
              <w:t>去除量为</w:t>
            </w:r>
            <w:r>
              <w:rPr>
                <w:rFonts w:hint="eastAsia"/>
                <w:color w:val="auto"/>
                <w:lang w:val="en-US" w:eastAsia="zh-CN"/>
              </w:rPr>
              <w:t>39.978</w:t>
            </w:r>
            <w:r>
              <w:rPr>
                <w:color w:val="auto"/>
              </w:rPr>
              <w:t>t/a</w:t>
            </w:r>
            <w:r>
              <w:rPr>
                <w:rFonts w:hint="eastAsia"/>
                <w:color w:val="auto"/>
              </w:rPr>
              <w:t>，则本项目污水</w:t>
            </w:r>
            <w:r>
              <w:rPr>
                <w:rFonts w:hint="eastAsia"/>
                <w:color w:val="auto"/>
                <w:lang w:eastAsia="zh-CN"/>
              </w:rPr>
              <w:t>处理</w:t>
            </w:r>
            <w:r>
              <w:rPr>
                <w:rFonts w:hint="eastAsia"/>
                <w:color w:val="auto"/>
              </w:rPr>
              <w:t>站污泥产生量为</w:t>
            </w:r>
            <w:r>
              <w:rPr>
                <w:rFonts w:hint="eastAsia"/>
                <w:color w:val="auto"/>
                <w:lang w:val="en-US" w:eastAsia="zh-CN"/>
              </w:rPr>
              <w:t>19.989</w:t>
            </w:r>
            <w:r>
              <w:rPr>
                <w:color w:val="auto"/>
              </w:rPr>
              <w:t>t/a</w:t>
            </w:r>
            <w:r>
              <w:rPr>
                <w:rFonts w:hint="eastAsia"/>
                <w:color w:val="auto"/>
              </w:rPr>
              <w:t>。</w:t>
            </w:r>
          </w:p>
          <w:p>
            <w:pPr>
              <w:pStyle w:val="9"/>
              <w:rPr>
                <w:color w:val="auto"/>
              </w:rPr>
            </w:pPr>
            <w:r>
              <w:rPr>
                <w:rFonts w:hint="eastAsia"/>
                <w:color w:val="auto"/>
              </w:rPr>
              <w:t>污水处理站生化污泥含水率为99.3</w:t>
            </w:r>
            <w:r>
              <w:rPr>
                <w:rFonts w:hint="eastAsia"/>
                <w:color w:val="auto"/>
                <w:lang w:eastAsia="zh-CN"/>
              </w:rPr>
              <w:t>%～</w:t>
            </w:r>
            <w:r>
              <w:rPr>
                <w:rFonts w:hint="eastAsia"/>
                <w:color w:val="auto"/>
              </w:rPr>
              <w:t>99.4%，污泥在污水处理站经浓缩脱水、板框压滤机脱水处理后，污泥含水率降至60%以下暂存于污泥干化池，</w:t>
            </w:r>
            <w:r>
              <w:rPr>
                <w:rFonts w:hint="eastAsia"/>
                <w:color w:val="auto"/>
                <w:lang w:val="en-US" w:eastAsia="zh-CN"/>
              </w:rPr>
              <w:t>脱水后污泥与三相分离后的餐厨垃圾一并发酵</w:t>
            </w:r>
            <w:r>
              <w:rPr>
                <w:rFonts w:hint="eastAsia"/>
                <w:color w:val="auto"/>
                <w:shd w:val="clear" w:fill="FFFFFF"/>
                <w:lang w:val="en-US" w:eastAsia="zh-CN"/>
              </w:rPr>
              <w:t>外售</w:t>
            </w:r>
            <w:r>
              <w:rPr>
                <w:rFonts w:hint="eastAsia"/>
                <w:color w:val="auto"/>
                <w:lang w:val="en-US" w:eastAsia="zh-CN"/>
              </w:rPr>
              <w:t>做有机肥原料</w:t>
            </w:r>
            <w:r>
              <w:rPr>
                <w:rFonts w:hint="eastAsia"/>
                <w:color w:val="auto"/>
              </w:rPr>
              <w:t>。</w:t>
            </w:r>
          </w:p>
          <w:p>
            <w:pPr>
              <w:ind w:firstLine="482"/>
              <w:rPr>
                <w:b/>
                <w:color w:val="auto"/>
              </w:rPr>
            </w:pPr>
            <w:r>
              <w:rPr>
                <w:rFonts w:hint="eastAsia"/>
                <w:b/>
                <w:color w:val="auto"/>
                <w:lang w:eastAsia="zh-CN"/>
              </w:rPr>
              <w:t>（</w:t>
            </w:r>
            <w:r>
              <w:rPr>
                <w:rFonts w:hint="eastAsia"/>
                <w:b/>
                <w:color w:val="auto"/>
                <w:lang w:val="en-US" w:eastAsia="zh-CN"/>
              </w:rPr>
              <w:t>5</w:t>
            </w:r>
            <w:r>
              <w:rPr>
                <w:rFonts w:hint="eastAsia"/>
                <w:b/>
                <w:color w:val="auto"/>
                <w:lang w:eastAsia="zh-CN"/>
              </w:rPr>
              <w:t>）</w:t>
            </w:r>
            <w:r>
              <w:rPr>
                <w:rFonts w:hint="eastAsia"/>
                <w:b/>
                <w:color w:val="auto"/>
              </w:rPr>
              <w:t>除臭</w:t>
            </w:r>
            <w:r>
              <w:rPr>
                <w:rFonts w:hint="eastAsia"/>
                <w:b/>
                <w:color w:val="auto"/>
                <w:shd w:val="clear" w:fill="FFFFFF"/>
              </w:rPr>
              <w:t>废</w:t>
            </w:r>
            <w:r>
              <w:rPr>
                <w:rFonts w:hint="eastAsia"/>
                <w:b/>
                <w:color w:val="auto"/>
              </w:rPr>
              <w:t>填料</w:t>
            </w:r>
          </w:p>
          <w:p>
            <w:pPr>
              <w:ind w:firstLine="480"/>
              <w:rPr>
                <w:rFonts w:hint="default"/>
                <w:color w:val="auto"/>
                <w:lang w:val="en-US" w:eastAsia="zh-CN"/>
              </w:rPr>
            </w:pPr>
            <w:r>
              <w:rPr>
                <w:rFonts w:hint="eastAsia"/>
                <w:color w:val="auto"/>
              </w:rPr>
              <w:t>项目生物洗涤塔需要定期更换生物过滤填料，根据前文分析，更换周期1</w:t>
            </w:r>
            <w:r>
              <w:rPr>
                <w:color w:val="auto"/>
              </w:rPr>
              <w:t>0</w:t>
            </w:r>
            <w:r>
              <w:rPr>
                <w:rFonts w:hint="eastAsia"/>
                <w:color w:val="auto"/>
              </w:rPr>
              <w:t>次/a，每次更换</w:t>
            </w:r>
            <w:r>
              <w:rPr>
                <w:rFonts w:hint="eastAsia"/>
                <w:color w:val="auto"/>
                <w:shd w:val="clear" w:fill="FFFFFF"/>
              </w:rPr>
              <w:t>废</w:t>
            </w:r>
            <w:r>
              <w:rPr>
                <w:rFonts w:hint="eastAsia"/>
                <w:color w:val="auto"/>
              </w:rPr>
              <w:t>填料按100kg计，则</w:t>
            </w:r>
            <w:r>
              <w:rPr>
                <w:rFonts w:hint="eastAsia"/>
                <w:color w:val="auto"/>
                <w:shd w:val="clear" w:fill="FFFFFF"/>
              </w:rPr>
              <w:t>废</w:t>
            </w:r>
            <w:r>
              <w:rPr>
                <w:rFonts w:hint="eastAsia"/>
                <w:color w:val="auto"/>
              </w:rPr>
              <w:t>填料产生量为</w:t>
            </w:r>
            <w:r>
              <w:rPr>
                <w:color w:val="auto"/>
              </w:rPr>
              <w:t>1</w:t>
            </w:r>
            <w:r>
              <w:rPr>
                <w:rFonts w:hint="eastAsia"/>
                <w:color w:val="auto"/>
              </w:rPr>
              <w:t>t/a，由设备厂家负责更换，更换后立即带走，不在项目区内存储。</w:t>
            </w:r>
          </w:p>
          <w:p>
            <w:pPr>
              <w:pStyle w:val="84"/>
              <w:ind w:firstLine="482"/>
              <w:rPr>
                <w:color w:val="auto"/>
              </w:rPr>
            </w:pPr>
            <w:r>
              <w:rPr>
                <w:rFonts w:hint="eastAsia"/>
                <w:color w:val="auto"/>
                <w:lang w:val="en-US" w:eastAsia="zh-CN"/>
              </w:rPr>
              <w:t>3、</w:t>
            </w:r>
            <w:r>
              <w:rPr>
                <w:rFonts w:hint="eastAsia"/>
                <w:color w:val="auto"/>
              </w:rPr>
              <w:t>危险废物</w:t>
            </w:r>
          </w:p>
          <w:p>
            <w:pPr>
              <w:ind w:firstLine="480"/>
              <w:rPr>
                <w:rFonts w:hint="eastAsia"/>
                <w:b/>
                <w:bCs/>
                <w:color w:val="auto"/>
                <w:lang w:val="en-US" w:eastAsia="zh-CN"/>
              </w:rPr>
            </w:pPr>
            <w:r>
              <w:rPr>
                <w:rFonts w:hint="eastAsia"/>
                <w:b/>
                <w:bCs/>
                <w:color w:val="auto"/>
                <w:lang w:val="en-US" w:eastAsia="zh-CN"/>
              </w:rPr>
              <w:t>（1）废矿物油</w:t>
            </w:r>
          </w:p>
          <w:p>
            <w:pPr>
              <w:ind w:firstLine="480"/>
              <w:rPr>
                <w:rFonts w:hint="default" w:ascii="Times New Roman" w:hAnsi="Times New Roman" w:eastAsia="宋体" w:cs="Times New Roman"/>
                <w:color w:val="auto"/>
                <w:spacing w:val="-6"/>
                <w:sz w:val="24"/>
                <w:szCs w:val="24"/>
                <w:highlight w:val="none"/>
                <w:lang w:val="en-US" w:eastAsia="zh-CN"/>
              </w:rPr>
            </w:pPr>
            <w:r>
              <w:rPr>
                <w:rFonts w:hint="eastAsia"/>
                <w:color w:val="auto"/>
              </w:rPr>
              <w:t>本项目定期对机械设备进行检修及保养，检修更换机油产生一定量的废矿物油，根据设备厂家提供资料，本项目机械设备每个月检修1次，更换量约为50kg/次，则废矿物油产生量为</w:t>
            </w:r>
            <w:r>
              <w:rPr>
                <w:color w:val="auto"/>
              </w:rPr>
              <w:t>0.6</w:t>
            </w:r>
            <w:r>
              <w:rPr>
                <w:rFonts w:hint="eastAsia"/>
                <w:color w:val="auto"/>
              </w:rPr>
              <w:t>t/a。</w:t>
            </w:r>
            <w:r>
              <w:rPr>
                <w:rFonts w:hint="eastAsia"/>
                <w:color w:val="auto"/>
                <w:lang w:val="en-US" w:eastAsia="zh-CN"/>
              </w:rPr>
              <w:t>由于</w:t>
            </w:r>
            <w:r>
              <w:rPr>
                <w:rFonts w:hint="eastAsia" w:cs="Times New Roman"/>
                <w:color w:val="auto"/>
                <w:spacing w:val="-6"/>
                <w:sz w:val="24"/>
                <w:szCs w:val="24"/>
                <w:highlight w:val="none"/>
                <w:lang w:val="en-US" w:eastAsia="zh-CN"/>
              </w:rPr>
              <w:t>项目建设周期3个月，废矿物油属于2025年1月1日起施行</w:t>
            </w:r>
            <w:r>
              <w:rPr>
                <w:rFonts w:hint="default" w:ascii="Times New Roman" w:hAnsi="Times New Roman" w:eastAsia="宋体" w:cs="Times New Roman"/>
                <w:color w:val="auto"/>
                <w:spacing w:val="-6"/>
                <w:sz w:val="24"/>
                <w:szCs w:val="24"/>
                <w:highlight w:val="none"/>
                <w:lang w:val="en-US" w:eastAsia="zh-CN"/>
              </w:rPr>
              <w:t>《国家危险废物名录》（202</w:t>
            </w:r>
            <w:r>
              <w:rPr>
                <w:rFonts w:hint="eastAsia" w:cs="Times New Roman"/>
                <w:color w:val="auto"/>
                <w:spacing w:val="-6"/>
                <w:sz w:val="24"/>
                <w:szCs w:val="24"/>
                <w:highlight w:val="none"/>
                <w:lang w:val="en-US" w:eastAsia="zh-CN"/>
              </w:rPr>
              <w:t>5</w:t>
            </w:r>
            <w:r>
              <w:rPr>
                <w:rFonts w:hint="default" w:ascii="Times New Roman" w:hAnsi="Times New Roman" w:eastAsia="宋体" w:cs="Times New Roman"/>
                <w:color w:val="auto"/>
                <w:spacing w:val="-6"/>
                <w:sz w:val="24"/>
                <w:szCs w:val="24"/>
                <w:highlight w:val="none"/>
                <w:lang w:val="en-US" w:eastAsia="zh-CN"/>
              </w:rPr>
              <w:t>年版）</w:t>
            </w:r>
            <w:r>
              <w:rPr>
                <w:rFonts w:hint="eastAsia"/>
                <w:b w:val="0"/>
                <w:bCs w:val="0"/>
                <w:color w:val="auto"/>
                <w:sz w:val="24"/>
                <w:szCs w:val="24"/>
                <w:lang w:val="en-US" w:eastAsia="zh-CN"/>
              </w:rPr>
              <w:t>中“HW08 废矿物油及含矿物油废物”，废物代码为900-214-08，危险特性T，I。</w:t>
            </w:r>
            <w:r>
              <w:rPr>
                <w:rFonts w:hint="eastAsia"/>
                <w:b/>
                <w:bCs/>
                <w:color w:val="auto"/>
                <w:sz w:val="24"/>
                <w:szCs w:val="24"/>
                <w:lang w:val="en-US" w:eastAsia="zh-CN"/>
              </w:rPr>
              <w:t>环评提出：</w:t>
            </w:r>
            <w:r>
              <w:rPr>
                <w:rFonts w:hint="eastAsia"/>
                <w:b w:val="0"/>
                <w:bCs w:val="0"/>
                <w:color w:val="auto"/>
                <w:sz w:val="24"/>
                <w:szCs w:val="24"/>
                <w:lang w:val="en-US" w:eastAsia="zh-CN"/>
              </w:rPr>
              <w:t>废机油使用密闭容器统一收集后于危废暂存间（占地面积15m</w:t>
            </w:r>
            <w:r>
              <w:rPr>
                <w:rFonts w:hint="eastAsia"/>
                <w:b w:val="0"/>
                <w:bCs w:val="0"/>
                <w:color w:val="auto"/>
                <w:sz w:val="24"/>
                <w:szCs w:val="24"/>
                <w:vertAlign w:val="superscript"/>
                <w:lang w:val="en-US" w:eastAsia="zh-CN"/>
              </w:rPr>
              <w:t>2</w:t>
            </w:r>
            <w:r>
              <w:rPr>
                <w:rFonts w:hint="eastAsia"/>
                <w:b w:val="0"/>
                <w:bCs w:val="0"/>
                <w:color w:val="auto"/>
                <w:sz w:val="24"/>
                <w:szCs w:val="24"/>
                <w:lang w:val="en-US" w:eastAsia="zh-CN"/>
              </w:rPr>
              <w:t>）储存，交有资质单位定期清运处置</w:t>
            </w:r>
            <w:r>
              <w:rPr>
                <w:rFonts w:hint="eastAsia"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spacing w:val="-6"/>
                <w:sz w:val="24"/>
                <w:szCs w:val="24"/>
                <w:highlight w:val="none"/>
                <w:lang w:val="en-US" w:eastAsia="zh-CN"/>
              </w:rPr>
              <w:t>并建立转移联单。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val="0"/>
                <w:color w:val="auto"/>
                <w:sz w:val="24"/>
                <w:szCs w:val="24"/>
                <w:highlight w:val="none"/>
                <w:lang w:val="en-US" w:eastAsia="zh-CN"/>
              </w:rPr>
              <w:t>含油</w:t>
            </w:r>
            <w:r>
              <w:rPr>
                <w:rFonts w:hint="default" w:ascii="Times New Roman" w:hAnsi="Times New Roman" w:eastAsia="宋体" w:cs="Times New Roman"/>
                <w:b/>
                <w:bCs w:val="0"/>
                <w:color w:val="auto"/>
                <w:sz w:val="24"/>
                <w:szCs w:val="24"/>
                <w:highlight w:val="none"/>
                <w:shd w:val="clear" w:fill="FFFFFF"/>
                <w:lang w:val="en-US" w:eastAsia="zh-CN"/>
              </w:rPr>
              <w:t>废</w:t>
            </w:r>
            <w:r>
              <w:rPr>
                <w:rFonts w:hint="default" w:ascii="Times New Roman" w:hAnsi="Times New Roman" w:eastAsia="宋体" w:cs="Times New Roman"/>
                <w:b/>
                <w:bCs w:val="0"/>
                <w:color w:val="auto"/>
                <w:sz w:val="24"/>
                <w:szCs w:val="24"/>
                <w:highlight w:val="none"/>
                <w:lang w:val="en-US" w:eastAsia="zh-CN"/>
              </w:rPr>
              <w:t>抹布</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en-US" w:eastAsia="zh-CN"/>
              </w:rPr>
              <w:t>手套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项目定期对设备进行清洁维护，擦拭完后会产生含油</w:t>
            </w:r>
            <w:r>
              <w:rPr>
                <w:rFonts w:hint="default" w:ascii="Times New Roman" w:hAnsi="Times New Roman" w:eastAsia="宋体" w:cs="Times New Roman"/>
                <w:b w:val="0"/>
                <w:bCs/>
                <w:color w:val="auto"/>
                <w:sz w:val="24"/>
                <w:szCs w:val="24"/>
                <w:highlight w:val="none"/>
                <w:shd w:val="clear" w:fill="FFFFFF"/>
                <w:lang w:val="en-US" w:eastAsia="zh-CN"/>
              </w:rPr>
              <w:t>废</w:t>
            </w:r>
            <w:r>
              <w:rPr>
                <w:rFonts w:hint="default" w:ascii="Times New Roman" w:hAnsi="Times New Roman" w:eastAsia="宋体" w:cs="Times New Roman"/>
                <w:b w:val="0"/>
                <w:bCs/>
                <w:color w:val="auto"/>
                <w:sz w:val="24"/>
                <w:szCs w:val="24"/>
                <w:highlight w:val="none"/>
                <w:lang w:val="en-US" w:eastAsia="zh-CN"/>
              </w:rPr>
              <w:t>抹布手套，根据建设单位提供资料，</w:t>
            </w:r>
            <w:r>
              <w:rPr>
                <w:rFonts w:hint="default" w:ascii="Times New Roman" w:hAnsi="Times New Roman" w:eastAsia="宋体" w:cs="Times New Roman"/>
                <w:b w:val="0"/>
                <w:bCs/>
                <w:color w:val="auto"/>
                <w:sz w:val="24"/>
                <w:szCs w:val="24"/>
                <w:highlight w:val="none"/>
                <w:shd w:val="clear" w:fill="FFFFFF"/>
                <w:lang w:val="en-US" w:eastAsia="zh-CN"/>
              </w:rPr>
              <w:t>废</w:t>
            </w:r>
            <w:r>
              <w:rPr>
                <w:rFonts w:hint="default" w:ascii="Times New Roman" w:hAnsi="Times New Roman" w:eastAsia="宋体" w:cs="Times New Roman"/>
                <w:b w:val="0"/>
                <w:bCs/>
                <w:color w:val="auto"/>
                <w:sz w:val="24"/>
                <w:szCs w:val="24"/>
                <w:highlight w:val="none"/>
                <w:lang w:val="en-US" w:eastAsia="zh-CN"/>
              </w:rPr>
              <w:t>抹布手套的产生量约为0.0</w:t>
            </w:r>
            <w:r>
              <w:rPr>
                <w:rFonts w:hint="eastAsia"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t/a，</w:t>
            </w:r>
            <w:r>
              <w:rPr>
                <w:rFonts w:hint="eastAsia"/>
                <w:color w:val="auto"/>
                <w:lang w:val="en-US" w:eastAsia="zh-CN"/>
              </w:rPr>
              <w:t>由于</w:t>
            </w:r>
            <w:r>
              <w:rPr>
                <w:rFonts w:hint="eastAsia" w:cs="Times New Roman"/>
                <w:color w:val="auto"/>
                <w:spacing w:val="-6"/>
                <w:sz w:val="24"/>
                <w:szCs w:val="24"/>
                <w:highlight w:val="none"/>
                <w:lang w:val="en-US" w:eastAsia="zh-CN"/>
              </w:rPr>
              <w:t>项目建设周期3个月，本项目产生含油</w:t>
            </w:r>
            <w:r>
              <w:rPr>
                <w:rFonts w:hint="default" w:ascii="Times New Roman" w:hAnsi="Times New Roman" w:eastAsia="宋体" w:cs="Times New Roman"/>
                <w:b w:val="0"/>
                <w:bCs/>
                <w:color w:val="auto"/>
                <w:sz w:val="24"/>
                <w:szCs w:val="24"/>
                <w:highlight w:val="none"/>
                <w:shd w:val="clear" w:fill="FFFFFF"/>
                <w:lang w:val="en-US" w:eastAsia="zh-CN"/>
              </w:rPr>
              <w:t>废</w:t>
            </w:r>
            <w:r>
              <w:rPr>
                <w:rFonts w:hint="default" w:ascii="Times New Roman" w:hAnsi="Times New Roman" w:eastAsia="宋体" w:cs="Times New Roman"/>
                <w:b w:val="0"/>
                <w:bCs/>
                <w:color w:val="auto"/>
                <w:sz w:val="24"/>
                <w:szCs w:val="24"/>
                <w:highlight w:val="none"/>
                <w:lang w:val="en-US" w:eastAsia="zh-CN"/>
              </w:rPr>
              <w:t>抹布</w:t>
            </w:r>
            <w:r>
              <w:rPr>
                <w:rFonts w:hint="eastAsia"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手套属于</w:t>
            </w:r>
            <w:r>
              <w:rPr>
                <w:rFonts w:hint="eastAsia" w:cs="Times New Roman"/>
                <w:color w:val="auto"/>
                <w:spacing w:val="-6"/>
                <w:sz w:val="24"/>
                <w:szCs w:val="24"/>
                <w:highlight w:val="none"/>
                <w:lang w:val="en-US" w:eastAsia="zh-CN"/>
              </w:rPr>
              <w:t>2025年1月1日起施行</w:t>
            </w:r>
            <w:r>
              <w:rPr>
                <w:rFonts w:hint="default" w:ascii="Times New Roman" w:hAnsi="Times New Roman" w:eastAsia="宋体" w:cs="Times New Roman"/>
                <w:color w:val="auto"/>
                <w:spacing w:val="-6"/>
                <w:sz w:val="24"/>
                <w:szCs w:val="24"/>
                <w:highlight w:val="none"/>
                <w:lang w:val="en-US" w:eastAsia="zh-CN"/>
              </w:rPr>
              <w:t>《国家危险废物名录》（202</w:t>
            </w:r>
            <w:r>
              <w:rPr>
                <w:rFonts w:hint="eastAsia" w:cs="Times New Roman"/>
                <w:color w:val="auto"/>
                <w:spacing w:val="-6"/>
                <w:sz w:val="24"/>
                <w:szCs w:val="24"/>
                <w:highlight w:val="none"/>
                <w:lang w:val="en-US" w:eastAsia="zh-CN"/>
              </w:rPr>
              <w:t>5</w:t>
            </w:r>
            <w:r>
              <w:rPr>
                <w:rFonts w:hint="default" w:ascii="Times New Roman" w:hAnsi="Times New Roman" w:eastAsia="宋体" w:cs="Times New Roman"/>
                <w:color w:val="auto"/>
                <w:spacing w:val="-6"/>
                <w:sz w:val="24"/>
                <w:szCs w:val="24"/>
                <w:highlight w:val="none"/>
                <w:lang w:val="en-US" w:eastAsia="zh-CN"/>
              </w:rPr>
              <w:t>年版）</w:t>
            </w:r>
            <w:r>
              <w:rPr>
                <w:rFonts w:hint="default" w:ascii="Times New Roman" w:hAnsi="Times New Roman" w:eastAsia="宋体" w:cs="Times New Roman"/>
                <w:b w:val="0"/>
                <w:bCs/>
                <w:color w:val="auto"/>
                <w:sz w:val="24"/>
                <w:szCs w:val="24"/>
                <w:highlight w:val="none"/>
                <w:lang w:val="en-US" w:eastAsia="zh-CN"/>
              </w:rPr>
              <w:t>中</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color w:val="auto"/>
                <w:spacing w:val="-6"/>
                <w:sz w:val="24"/>
                <w:szCs w:val="24"/>
                <w:highlight w:val="none"/>
                <w:lang w:val="en-US" w:eastAsia="zh-CN"/>
              </w:rPr>
              <w:t>HW</w:t>
            </w:r>
            <w:r>
              <w:rPr>
                <w:rFonts w:hint="eastAsia" w:eastAsia="宋体" w:cs="Times New Roman"/>
                <w:color w:val="auto"/>
                <w:spacing w:val="-6"/>
                <w:sz w:val="24"/>
                <w:szCs w:val="24"/>
                <w:highlight w:val="none"/>
                <w:lang w:val="en-US" w:eastAsia="zh-CN"/>
              </w:rPr>
              <w:t xml:space="preserve">08 </w:t>
            </w:r>
            <w:r>
              <w:rPr>
                <w:rFonts w:hint="default" w:ascii="Times New Roman" w:hAnsi="Times New Roman" w:eastAsia="宋体" w:cs="Times New Roman"/>
                <w:color w:val="auto"/>
                <w:spacing w:val="-6"/>
                <w:sz w:val="24"/>
                <w:szCs w:val="24"/>
                <w:highlight w:val="none"/>
                <w:lang w:val="en-US" w:eastAsia="zh-CN"/>
              </w:rPr>
              <w:t>废矿物油与含矿物油废物，废物代码900-</w:t>
            </w:r>
            <w:r>
              <w:rPr>
                <w:rFonts w:hint="eastAsia" w:eastAsia="宋体" w:cs="Times New Roman"/>
                <w:color w:val="auto"/>
                <w:spacing w:val="-6"/>
                <w:sz w:val="24"/>
                <w:szCs w:val="24"/>
                <w:highlight w:val="none"/>
                <w:lang w:val="en-US" w:eastAsia="zh-CN"/>
              </w:rPr>
              <w:t>249</w:t>
            </w:r>
            <w:r>
              <w:rPr>
                <w:rFonts w:hint="default" w:ascii="Times New Roman" w:hAnsi="Times New Roman" w:eastAsia="宋体" w:cs="Times New Roman"/>
                <w:color w:val="auto"/>
                <w:spacing w:val="-6"/>
                <w:sz w:val="24"/>
                <w:szCs w:val="24"/>
                <w:highlight w:val="none"/>
                <w:lang w:val="en-US" w:eastAsia="zh-CN"/>
              </w:rPr>
              <w:t>-</w:t>
            </w:r>
            <w:r>
              <w:rPr>
                <w:rFonts w:hint="eastAsia" w:eastAsia="宋体" w:cs="Times New Roman"/>
                <w:color w:val="auto"/>
                <w:spacing w:val="-6"/>
                <w:sz w:val="24"/>
                <w:szCs w:val="24"/>
                <w:highlight w:val="none"/>
                <w:lang w:val="en-US" w:eastAsia="zh-CN"/>
              </w:rPr>
              <w:t>08</w:t>
            </w:r>
            <w:r>
              <w:rPr>
                <w:rFonts w:hint="eastAsia" w:ascii="Times New Roman" w:hAnsi="Times New Roman" w:eastAsia="宋体" w:cs="Times New Roman"/>
                <w:color w:val="auto"/>
                <w:spacing w:val="-6"/>
                <w:sz w:val="24"/>
                <w:szCs w:val="24"/>
                <w:highlight w:val="none"/>
                <w:lang w:val="en-US" w:eastAsia="zh-CN"/>
              </w:rPr>
              <w:t>，危险特性</w:t>
            </w: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cs="Times New Roman"/>
                <w:color w:val="auto"/>
                <w:kern w:val="0"/>
                <w:sz w:val="24"/>
                <w:szCs w:val="24"/>
              </w:rPr>
              <w:t>T，I</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w:t>
            </w:r>
            <w:r>
              <w:rPr>
                <w:rFonts w:hint="eastAsia" w:eastAsia="宋体" w:cs="Times New Roman"/>
                <w:b/>
                <w:bCs w:val="0"/>
                <w:color w:val="auto"/>
                <w:sz w:val="24"/>
                <w:szCs w:val="24"/>
                <w:highlight w:val="none"/>
                <w:lang w:val="en-US" w:eastAsia="zh-CN"/>
              </w:rPr>
              <w:t>环评要求：</w:t>
            </w:r>
            <w:r>
              <w:rPr>
                <w:rFonts w:hint="eastAsia" w:eastAsia="宋体" w:cs="Times New Roman"/>
                <w:b w:val="0"/>
                <w:bCs/>
                <w:color w:val="auto"/>
                <w:sz w:val="24"/>
                <w:szCs w:val="24"/>
                <w:highlight w:val="none"/>
                <w:lang w:val="en-US" w:eastAsia="zh-CN"/>
              </w:rPr>
              <w:t>含油</w:t>
            </w:r>
            <w:r>
              <w:rPr>
                <w:rFonts w:hint="eastAsia" w:eastAsia="宋体" w:cs="Times New Roman"/>
                <w:b w:val="0"/>
                <w:bCs/>
                <w:color w:val="auto"/>
                <w:sz w:val="24"/>
                <w:szCs w:val="24"/>
                <w:highlight w:val="none"/>
                <w:shd w:val="clear" w:fill="FFFFFF"/>
                <w:lang w:val="en-US" w:eastAsia="zh-CN"/>
              </w:rPr>
              <w:t>废</w:t>
            </w:r>
            <w:r>
              <w:rPr>
                <w:rFonts w:hint="eastAsia" w:eastAsia="宋体" w:cs="Times New Roman"/>
                <w:b w:val="0"/>
                <w:bCs/>
                <w:color w:val="auto"/>
                <w:sz w:val="24"/>
                <w:szCs w:val="24"/>
                <w:highlight w:val="none"/>
                <w:lang w:val="en-US" w:eastAsia="zh-CN"/>
              </w:rPr>
              <w:t>抹布、手套</w:t>
            </w:r>
            <w:r>
              <w:rPr>
                <w:rFonts w:hint="eastAsia"/>
                <w:b w:val="0"/>
                <w:bCs w:val="0"/>
                <w:color w:val="auto"/>
                <w:sz w:val="24"/>
                <w:szCs w:val="24"/>
                <w:lang w:val="en-US" w:eastAsia="zh-CN"/>
              </w:rPr>
              <w:t>使用密闭容器统一收集后暂存于危废暂存间（占地面积15m</w:t>
            </w:r>
            <w:r>
              <w:rPr>
                <w:rFonts w:hint="eastAsia"/>
                <w:b w:val="0"/>
                <w:bCs w:val="0"/>
                <w:color w:val="auto"/>
                <w:sz w:val="24"/>
                <w:szCs w:val="24"/>
                <w:vertAlign w:val="superscript"/>
                <w:lang w:val="en-US" w:eastAsia="zh-CN"/>
              </w:rPr>
              <w:t>2</w:t>
            </w:r>
            <w:r>
              <w:rPr>
                <w:rFonts w:hint="eastAsia"/>
                <w:b w:val="0"/>
                <w:bCs w:val="0"/>
                <w:color w:val="auto"/>
                <w:sz w:val="24"/>
                <w:szCs w:val="24"/>
                <w:lang w:val="en-US" w:eastAsia="zh-CN"/>
              </w:rPr>
              <w:t>），交有资质单位定期清运处置</w:t>
            </w:r>
            <w:r>
              <w:rPr>
                <w:rFonts w:hint="default" w:ascii="Times New Roman" w:hAnsi="Times New Roman" w:eastAsia="宋体" w:cs="Times New Roman"/>
                <w:b w:val="0"/>
                <w:bCs/>
                <w:color w:val="auto"/>
                <w:sz w:val="24"/>
                <w:szCs w:val="24"/>
                <w:highlight w:val="none"/>
                <w:lang w:val="en-US" w:eastAsia="zh-CN"/>
              </w:rPr>
              <w:t>。</w:t>
            </w:r>
          </w:p>
          <w:p>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4、固体废物收集、贮存、去向可行性分析</w:t>
            </w:r>
          </w:p>
          <w:p>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本项目产生的固体废物</w:t>
            </w:r>
            <w:r>
              <w:rPr>
                <w:rFonts w:hint="eastAsia" w:ascii="Times New Roman" w:hAnsi="Times New Roman" w:eastAsia="宋体" w:cs="Times New Roman"/>
                <w:color w:val="auto"/>
                <w:sz w:val="24"/>
                <w:szCs w:val="24"/>
                <w:lang w:val="en-US" w:eastAsia="zh-CN"/>
              </w:rPr>
              <w:t>代码详见表4.2-2</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、表4.2-2</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所示，</w:t>
            </w:r>
            <w:r>
              <w:rPr>
                <w:rFonts w:hint="default" w:ascii="Times New Roman" w:hAnsi="Times New Roman" w:eastAsia="宋体" w:cs="Times New Roman"/>
                <w:color w:val="auto"/>
                <w:sz w:val="24"/>
                <w:szCs w:val="24"/>
                <w:lang w:val="en-US" w:eastAsia="zh-CN"/>
              </w:rPr>
              <w:t>固体废物产生及处置情况详见表4</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4.2</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项目</w:t>
            </w:r>
            <w:r>
              <w:rPr>
                <w:rFonts w:hint="eastAsia" w:ascii="Times New Roman" w:hAnsi="Times New Roman" w:eastAsia="宋体" w:cs="Times New Roman"/>
                <w:b/>
                <w:bCs/>
                <w:color w:val="auto"/>
                <w:sz w:val="21"/>
                <w:szCs w:val="21"/>
              </w:rPr>
              <w:t>一般固体废物</w:t>
            </w:r>
            <w:r>
              <w:rPr>
                <w:rFonts w:hint="default" w:ascii="Times New Roman" w:hAnsi="Times New Roman" w:eastAsia="宋体" w:cs="Times New Roman"/>
                <w:b/>
                <w:bCs/>
                <w:color w:val="auto"/>
                <w:sz w:val="21"/>
                <w:szCs w:val="21"/>
              </w:rPr>
              <w:t>代码</w:t>
            </w:r>
          </w:p>
          <w:tbl>
            <w:tblPr>
              <w:tblStyle w:val="125"/>
              <w:tblW w:w="5000"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117"/>
              <w:gridCol w:w="1299"/>
              <w:gridCol w:w="678"/>
              <w:gridCol w:w="1106"/>
              <w:gridCol w:w="3641"/>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712" w:type="pct"/>
                  <w:noWrap w:val="0"/>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名称</w:t>
                  </w:r>
                </w:p>
              </w:tc>
              <w:tc>
                <w:tcPr>
                  <w:tcW w:w="828" w:type="pct"/>
                  <w:noWrap w:val="0"/>
                  <w:vAlign w:val="center"/>
                </w:tcPr>
                <w:p>
                  <w:pPr>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废物种类</w:t>
                  </w:r>
                </w:p>
              </w:tc>
              <w:tc>
                <w:tcPr>
                  <w:tcW w:w="432" w:type="pct"/>
                  <w:noWrap w:val="0"/>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行业来源</w:t>
                  </w:r>
                </w:p>
              </w:tc>
              <w:tc>
                <w:tcPr>
                  <w:tcW w:w="705" w:type="pct"/>
                  <w:noWrap w:val="0"/>
                  <w:vAlign w:val="center"/>
                </w:tcPr>
                <w:p>
                  <w:pPr>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废物代码</w:t>
                  </w:r>
                </w:p>
              </w:tc>
              <w:tc>
                <w:tcPr>
                  <w:tcW w:w="2321" w:type="pct"/>
                  <w:noWrap w:val="0"/>
                  <w:vAlign w:val="center"/>
                </w:tcPr>
                <w:p>
                  <w:pPr>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一般固体废物</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712" w:type="pct"/>
                  <w:noWrap w:val="0"/>
                  <w:vAlign w:val="center"/>
                </w:tcPr>
                <w:p>
                  <w:pPr>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ascii="宋体" w:cs="宋体"/>
                      <w:color w:val="auto"/>
                      <w:kern w:val="0"/>
                      <w:sz w:val="21"/>
                      <w:szCs w:val="21"/>
                    </w:rPr>
                    <w:t>生活垃圾</w:t>
                  </w:r>
                </w:p>
              </w:tc>
              <w:tc>
                <w:tcPr>
                  <w:tcW w:w="82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rPr>
                    <w:t>SW64-其他垃圾</w:t>
                  </w:r>
                </w:p>
              </w:tc>
              <w:tc>
                <w:tcPr>
                  <w:tcW w:w="432"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rPr>
                    <w:t>非特定行业</w:t>
                  </w:r>
                </w:p>
              </w:tc>
              <w:tc>
                <w:tcPr>
                  <w:tcW w:w="705"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rPr>
                    <w:t>900-0</w:t>
                  </w:r>
                  <w:r>
                    <w:rPr>
                      <w:rFonts w:hint="eastAsia" w:cs="Times New Roman"/>
                      <w:color w:val="auto"/>
                      <w:kern w:val="0"/>
                      <w:sz w:val="21"/>
                      <w:szCs w:val="21"/>
                      <w:lang w:val="en-US" w:eastAsia="zh-CN"/>
                    </w:rPr>
                    <w:t>02</w:t>
                  </w:r>
                  <w:r>
                    <w:rPr>
                      <w:rFonts w:hint="eastAsia" w:ascii="Times New Roman" w:hAnsi="Times New Roman" w:cs="Times New Roman"/>
                      <w:color w:val="auto"/>
                      <w:kern w:val="0"/>
                      <w:sz w:val="21"/>
                      <w:szCs w:val="21"/>
                    </w:rPr>
                    <w:t>-S64</w:t>
                  </w:r>
                </w:p>
              </w:tc>
              <w:tc>
                <w:tcPr>
                  <w:tcW w:w="2321"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rPr>
                    <w:t>清扫垃圾。环境卫生管理服务中从公共场所清扫的垃圾、化粪池污泥、厕所粪便等。</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712" w:type="pct"/>
                  <w:noWrap w:val="0"/>
                  <w:vAlign w:val="center"/>
                </w:tcPr>
                <w:p>
                  <w:pPr>
                    <w:spacing w:line="240" w:lineRule="auto"/>
                    <w:ind w:firstLine="0" w:firstLineChars="0"/>
                    <w:jc w:val="center"/>
                    <w:rPr>
                      <w:rFonts w:hint="default" w:ascii="宋体" w:eastAsia="宋体" w:cs="宋体"/>
                      <w:color w:val="auto"/>
                      <w:kern w:val="0"/>
                      <w:sz w:val="21"/>
                      <w:szCs w:val="21"/>
                      <w:lang w:val="en-US" w:eastAsia="zh-CN"/>
                    </w:rPr>
                  </w:pPr>
                  <w:r>
                    <w:rPr>
                      <w:rFonts w:hint="default" w:ascii="宋体" w:eastAsia="宋体" w:cs="宋体"/>
                      <w:color w:val="auto"/>
                      <w:kern w:val="0"/>
                      <w:sz w:val="21"/>
                      <w:szCs w:val="21"/>
                      <w:lang w:val="en-US" w:eastAsia="zh-CN"/>
                    </w:rPr>
                    <w:t>废餐盒、塑料</w:t>
                  </w:r>
                </w:p>
              </w:tc>
              <w:tc>
                <w:tcPr>
                  <w:tcW w:w="82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SA"/>
                    </w:rPr>
                    <w:t>SW59</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其他工业固体废物</w:t>
                  </w:r>
                </w:p>
              </w:tc>
              <w:tc>
                <w:tcPr>
                  <w:tcW w:w="432"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rPr>
                  </w:pPr>
                  <w:r>
                    <w:rPr>
                      <w:rFonts w:hint="eastAsia" w:cs="Times New Roman"/>
                      <w:color w:val="auto"/>
                      <w:kern w:val="0"/>
                      <w:sz w:val="21"/>
                      <w:szCs w:val="21"/>
                    </w:rPr>
                    <w:t>非特定行业</w:t>
                  </w:r>
                </w:p>
              </w:tc>
              <w:tc>
                <w:tcPr>
                  <w:tcW w:w="705"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rPr>
                  </w:pPr>
                  <w:r>
                    <w:rPr>
                      <w:rFonts w:hint="eastAsia"/>
                      <w:color w:val="auto"/>
                      <w:sz w:val="21"/>
                      <w:szCs w:val="21"/>
                      <w:lang w:val="en-US" w:eastAsia="zh-CN"/>
                    </w:rPr>
                    <w:t>900-099-S59</w:t>
                  </w:r>
                </w:p>
              </w:tc>
              <w:tc>
                <w:tcPr>
                  <w:tcW w:w="2321" w:type="pct"/>
                  <w:noWrap w:val="0"/>
                  <w:vAlign w:val="center"/>
                </w:tcPr>
                <w:p>
                  <w:pPr>
                    <w:spacing w:line="240" w:lineRule="auto"/>
                    <w:ind w:firstLine="0" w:firstLineChars="0"/>
                    <w:jc w:val="center"/>
                    <w:rPr>
                      <w:rFonts w:hint="eastAsia" w:cs="Times New Roman"/>
                      <w:color w:val="auto"/>
                      <w:kern w:val="0"/>
                      <w:sz w:val="21"/>
                      <w:szCs w:val="21"/>
                    </w:rPr>
                  </w:pPr>
                  <w:r>
                    <w:rPr>
                      <w:rFonts w:hint="eastAsia" w:ascii="Times New Roman" w:hAnsi="Times New Roman" w:eastAsia="宋体" w:cs="Times New Roman"/>
                      <w:color w:val="auto"/>
                      <w:kern w:val="0"/>
                      <w:sz w:val="21"/>
                      <w:szCs w:val="21"/>
                      <w:lang w:val="en-US" w:eastAsia="zh-CN" w:bidi="ar-SA"/>
                    </w:rPr>
                    <w:t>其他工业生产过程中产生的固体废物。</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12" w:type="pct"/>
                  <w:noWrap w:val="0"/>
                  <w:vAlign w:val="center"/>
                </w:tcPr>
                <w:p>
                  <w:pPr>
                    <w:spacing w:line="240" w:lineRule="auto"/>
                    <w:ind w:firstLine="0" w:firstLineChars="0"/>
                    <w:jc w:val="center"/>
                    <w:rPr>
                      <w:rFonts w:hint="default" w:cs="Times New Roman"/>
                      <w:color w:val="auto"/>
                      <w:kern w:val="0"/>
                      <w:sz w:val="21"/>
                      <w:szCs w:val="21"/>
                      <w:lang w:val="en-US" w:eastAsia="zh-CN"/>
                    </w:rPr>
                  </w:pPr>
                  <w:r>
                    <w:rPr>
                      <w:rFonts w:hint="default" w:cs="Times New Roman"/>
                      <w:color w:val="auto"/>
                      <w:kern w:val="0"/>
                      <w:sz w:val="21"/>
                      <w:szCs w:val="21"/>
                      <w:lang w:val="en-US" w:eastAsia="zh-CN"/>
                    </w:rPr>
                    <w:t>锅炉灰渣</w:t>
                  </w:r>
                </w:p>
              </w:tc>
              <w:tc>
                <w:tcPr>
                  <w:tcW w:w="828"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SW59</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其他工业固体废物</w:t>
                  </w:r>
                </w:p>
              </w:tc>
              <w:tc>
                <w:tcPr>
                  <w:tcW w:w="432" w:type="pct"/>
                  <w:shd w:val="clear" w:color="auto" w:fill="auto"/>
                  <w:noWrap w:val="0"/>
                  <w:vAlign w:val="center"/>
                </w:tcPr>
                <w:p>
                  <w:pPr>
                    <w:spacing w:line="240" w:lineRule="auto"/>
                    <w:ind w:firstLine="0" w:firstLineChars="0"/>
                    <w:jc w:val="center"/>
                    <w:rPr>
                      <w:rFonts w:hint="eastAsia" w:ascii="FzBookMaker1DlFont10536875940" w:hAnsi="FzBookMaker1DlFont10536875940" w:eastAsia="宋体" w:cs="FzBookMaker1DlFont10536875940"/>
                      <w:color w:val="auto"/>
                      <w:kern w:val="0"/>
                      <w:sz w:val="21"/>
                      <w:szCs w:val="21"/>
                      <w:lang w:val="en-US" w:eastAsia="zh-CN" w:bidi="ar-SA"/>
                    </w:rPr>
                  </w:pPr>
                  <w:r>
                    <w:rPr>
                      <w:rFonts w:hint="eastAsia" w:cs="Times New Roman"/>
                      <w:color w:val="auto"/>
                      <w:kern w:val="0"/>
                      <w:sz w:val="21"/>
                      <w:szCs w:val="21"/>
                    </w:rPr>
                    <w:t>非特定行业</w:t>
                  </w:r>
                </w:p>
              </w:tc>
              <w:tc>
                <w:tcPr>
                  <w:tcW w:w="705"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900-099-S59</w:t>
                  </w:r>
                </w:p>
              </w:tc>
              <w:tc>
                <w:tcPr>
                  <w:tcW w:w="2321"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其他工业生产过程中产生的固体废物。</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12" w:type="pct"/>
                  <w:noWrap w:val="0"/>
                  <w:vAlign w:val="center"/>
                </w:tcPr>
                <w:p>
                  <w:pPr>
                    <w:spacing w:line="240" w:lineRule="auto"/>
                    <w:ind w:firstLine="0" w:firstLineChars="0"/>
                    <w:jc w:val="center"/>
                    <w:rPr>
                      <w:rFonts w:hint="default" w:cs="Times New Roman"/>
                      <w:color w:val="auto"/>
                      <w:kern w:val="0"/>
                      <w:sz w:val="21"/>
                      <w:szCs w:val="21"/>
                      <w:lang w:val="en-US" w:eastAsia="zh-CN"/>
                    </w:rPr>
                  </w:pPr>
                  <w:r>
                    <w:rPr>
                      <w:rFonts w:hint="default" w:cs="Times New Roman"/>
                      <w:color w:val="auto"/>
                      <w:kern w:val="0"/>
                      <w:sz w:val="21"/>
                      <w:szCs w:val="21"/>
                      <w:lang w:val="en-US" w:eastAsia="zh-CN"/>
                    </w:rPr>
                    <w:t>污水处理站污泥</w:t>
                  </w:r>
                </w:p>
              </w:tc>
              <w:tc>
                <w:tcPr>
                  <w:tcW w:w="828"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rPr>
                    <w:t>SW90</w:t>
                  </w:r>
                  <w:r>
                    <w:rPr>
                      <w:rFonts w:hint="eastAsia" w:cs="Times New Roman"/>
                      <w:color w:val="auto"/>
                      <w:kern w:val="0"/>
                      <w:sz w:val="21"/>
                      <w:szCs w:val="21"/>
                      <w:lang w:eastAsia="zh-CN"/>
                    </w:rPr>
                    <w:t>－</w:t>
                  </w:r>
                  <w:r>
                    <w:rPr>
                      <w:rFonts w:hint="eastAsia" w:cs="Times New Roman"/>
                      <w:color w:val="auto"/>
                      <w:kern w:val="0"/>
                      <w:sz w:val="21"/>
                      <w:szCs w:val="21"/>
                    </w:rPr>
                    <w:t>城镇污水污泥</w:t>
                  </w:r>
                </w:p>
              </w:tc>
              <w:tc>
                <w:tcPr>
                  <w:tcW w:w="432" w:type="pct"/>
                  <w:shd w:val="clear" w:color="auto" w:fill="auto"/>
                  <w:noWrap w:val="0"/>
                  <w:vAlign w:val="center"/>
                </w:tcPr>
                <w:p>
                  <w:pPr>
                    <w:spacing w:line="240" w:lineRule="auto"/>
                    <w:ind w:firstLine="0" w:firstLineChars="0"/>
                    <w:jc w:val="center"/>
                    <w:rPr>
                      <w:rFonts w:hint="eastAsia" w:ascii="FzBookMaker1DlFont10536875940" w:hAnsi="FzBookMaker1DlFont10536875940" w:eastAsia="宋体" w:cs="FzBookMaker1DlFont10536875940"/>
                      <w:color w:val="auto"/>
                      <w:kern w:val="0"/>
                      <w:sz w:val="21"/>
                      <w:szCs w:val="21"/>
                      <w:lang w:val="en-US" w:eastAsia="zh-CN" w:bidi="ar-SA"/>
                    </w:rPr>
                  </w:pPr>
                  <w:r>
                    <w:rPr>
                      <w:rFonts w:hint="eastAsia" w:cs="Times New Roman"/>
                      <w:color w:val="auto"/>
                      <w:kern w:val="0"/>
                      <w:sz w:val="21"/>
                      <w:szCs w:val="21"/>
                    </w:rPr>
                    <w:t>非特定行业</w:t>
                  </w:r>
                </w:p>
              </w:tc>
              <w:tc>
                <w:tcPr>
                  <w:tcW w:w="705"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rPr>
                    <w:t>462-001-S90</w:t>
                  </w:r>
                </w:p>
              </w:tc>
              <w:tc>
                <w:tcPr>
                  <w:tcW w:w="2321"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rPr>
                    <w:t>污水污泥。未接纳工业废水的城镇污水处理厂产生的污泥。</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12" w:type="pct"/>
                  <w:noWrap w:val="0"/>
                  <w:vAlign w:val="center"/>
                </w:tcPr>
                <w:p>
                  <w:pPr>
                    <w:spacing w:line="240" w:lineRule="auto"/>
                    <w:ind w:firstLine="0" w:firstLineChars="0"/>
                    <w:jc w:val="center"/>
                    <w:rPr>
                      <w:rFonts w:hint="default" w:cs="Times New Roman"/>
                      <w:color w:val="auto"/>
                      <w:kern w:val="0"/>
                      <w:sz w:val="21"/>
                      <w:szCs w:val="21"/>
                      <w:lang w:val="en-US" w:eastAsia="zh-CN"/>
                    </w:rPr>
                  </w:pPr>
                  <w:r>
                    <w:rPr>
                      <w:rFonts w:hint="default" w:cs="Times New Roman"/>
                      <w:color w:val="auto"/>
                      <w:kern w:val="0"/>
                      <w:sz w:val="21"/>
                      <w:szCs w:val="21"/>
                      <w:lang w:val="en-US" w:eastAsia="zh-CN"/>
                    </w:rPr>
                    <w:t>除臭</w:t>
                  </w:r>
                  <w:r>
                    <w:rPr>
                      <w:rFonts w:hint="default" w:cs="Times New Roman"/>
                      <w:color w:val="auto"/>
                      <w:kern w:val="0"/>
                      <w:sz w:val="21"/>
                      <w:szCs w:val="21"/>
                      <w:shd w:val="clear" w:fill="FFFFFF"/>
                      <w:lang w:val="en-US" w:eastAsia="zh-CN"/>
                    </w:rPr>
                    <w:t>废</w:t>
                  </w:r>
                  <w:r>
                    <w:rPr>
                      <w:rFonts w:hint="default" w:cs="Times New Roman"/>
                      <w:color w:val="auto"/>
                      <w:kern w:val="0"/>
                      <w:sz w:val="21"/>
                      <w:szCs w:val="21"/>
                      <w:lang w:val="en-US" w:eastAsia="zh-CN"/>
                    </w:rPr>
                    <w:t>填料</w:t>
                  </w:r>
                </w:p>
              </w:tc>
              <w:tc>
                <w:tcPr>
                  <w:tcW w:w="828"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SW59</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其他工业固体废物</w:t>
                  </w:r>
                </w:p>
              </w:tc>
              <w:tc>
                <w:tcPr>
                  <w:tcW w:w="432"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rPr>
                    <w:t>非特定行业</w:t>
                  </w:r>
                </w:p>
              </w:tc>
              <w:tc>
                <w:tcPr>
                  <w:tcW w:w="705"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900-099-S59</w:t>
                  </w:r>
                </w:p>
              </w:tc>
              <w:tc>
                <w:tcPr>
                  <w:tcW w:w="2321"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其他工业生产过程中产生的固体废物。</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项目危险废物代码</w:t>
            </w:r>
          </w:p>
          <w:tbl>
            <w:tblPr>
              <w:tblStyle w:val="125"/>
              <w:tblW w:w="5003"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1224"/>
              <w:gridCol w:w="1102"/>
              <w:gridCol w:w="915"/>
              <w:gridCol w:w="1005"/>
              <w:gridCol w:w="2598"/>
              <w:gridCol w:w="1002"/>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5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行业来源</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1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w:t>
                  </w:r>
                </w:p>
              </w:tc>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 废矿物油</w:t>
                  </w:r>
                </w:p>
              </w:tc>
              <w:tc>
                <w:tcPr>
                  <w:tcW w:w="5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非特定行业</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900-214-08</w:t>
                  </w:r>
                </w:p>
              </w:tc>
              <w:tc>
                <w:tcPr>
                  <w:tcW w:w="1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车辆、机械维修和拆解过程中产生的废</w:t>
                  </w:r>
                  <w:r>
                    <w:rPr>
                      <w:rFonts w:hint="default" w:ascii="Times New Roman" w:hAnsi="Times New Roman" w:eastAsia="宋体" w:cs="Times New Roman"/>
                      <w:color w:val="auto"/>
                      <w:sz w:val="21"/>
                      <w:szCs w:val="21"/>
                      <w:shd w:val="clear" w:fill="FFFFFF"/>
                    </w:rPr>
                    <w:t>发</w:t>
                  </w:r>
                  <w:r>
                    <w:rPr>
                      <w:rFonts w:hint="default" w:ascii="Times New Roman" w:hAnsi="Times New Roman" w:eastAsia="宋体" w:cs="Times New Roman"/>
                      <w:color w:val="auto"/>
                      <w:sz w:val="21"/>
                      <w:szCs w:val="21"/>
                    </w:rPr>
                    <w:t xml:space="preserve"> 动机油、制动器油、齿轮油等废润滑油</w:t>
                  </w:r>
                </w:p>
              </w:tc>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含油</w:t>
                  </w:r>
                  <w:r>
                    <w:rPr>
                      <w:rFonts w:hint="default" w:ascii="Times New Roman" w:hAnsi="Times New Roman" w:eastAsia="宋体" w:cs="Times New Roman"/>
                      <w:color w:val="auto"/>
                      <w:sz w:val="21"/>
                      <w:szCs w:val="21"/>
                      <w:shd w:val="clear" w:fill="FFFFFF"/>
                      <w:lang w:val="en-US" w:eastAsia="zh-CN"/>
                    </w:rPr>
                    <w:t>废</w:t>
                  </w:r>
                  <w:r>
                    <w:rPr>
                      <w:rFonts w:hint="default" w:ascii="Times New Roman" w:hAnsi="Times New Roman" w:eastAsia="宋体" w:cs="Times New Roman"/>
                      <w:color w:val="auto"/>
                      <w:sz w:val="21"/>
                      <w:szCs w:val="21"/>
                      <w:lang w:val="en-US" w:eastAsia="zh-CN"/>
                    </w:rPr>
                    <w:t>抹布手套</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eastAsia="宋体" w:cs="Times New Roman"/>
                      <w:color w:val="auto"/>
                      <w:sz w:val="21"/>
                      <w:szCs w:val="21"/>
                      <w:lang w:val="en-US" w:eastAsia="zh-CN"/>
                    </w:rPr>
                    <w:t>08</w:t>
                  </w:r>
                  <w:r>
                    <w:rPr>
                      <w:rFonts w:hint="default" w:ascii="Times New Roman" w:hAnsi="Times New Roman" w:eastAsia="宋体" w:cs="Times New Roman"/>
                      <w:color w:val="auto"/>
                      <w:sz w:val="21"/>
                      <w:szCs w:val="21"/>
                    </w:rPr>
                    <w:t xml:space="preserve"> 其他废物</w:t>
                  </w:r>
                </w:p>
              </w:tc>
              <w:tc>
                <w:tcPr>
                  <w:tcW w:w="5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非特定行业</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r>
                    <w:rPr>
                      <w:rFonts w:hint="eastAsia" w:eastAsia="宋体" w:cs="Times New Roman"/>
                      <w:color w:val="auto"/>
                      <w:sz w:val="21"/>
                      <w:szCs w:val="21"/>
                      <w:lang w:val="en-US" w:eastAsia="zh-CN"/>
                    </w:rPr>
                    <w:t>249</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08</w:t>
                  </w:r>
                </w:p>
              </w:tc>
              <w:tc>
                <w:tcPr>
                  <w:tcW w:w="1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其他生产、销售、使用过程中产生的废矿物油及沾染矿物油的废弃包装物</w:t>
                  </w:r>
                </w:p>
              </w:tc>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I</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200"/>
              <w:textAlignment w:val="auto"/>
              <w:rPr>
                <w:rFonts w:hint="default" w:ascii="Times New Roman" w:hAnsi="Times New Roman" w:eastAsia="宋体" w:cs="Times New Roman"/>
                <w:b/>
                <w:bCs/>
                <w:color w:val="auto"/>
                <w:sz w:val="18"/>
                <w:szCs w:val="18"/>
              </w:rPr>
            </w:pPr>
            <w:r>
              <w:rPr>
                <w:rFonts w:hint="eastAsia" w:ascii="Times New Roman" w:hAnsi="Times New Roman" w:eastAsia="宋体" w:cs="Times New Roman"/>
                <w:b/>
                <w:bCs w:val="0"/>
                <w:color w:val="auto"/>
                <w:sz w:val="18"/>
                <w:szCs w:val="18"/>
                <w:lang w:val="en-US" w:eastAsia="zh-CN"/>
              </w:rPr>
              <w:t>备注：危险特性，包括腐蚀性（Corrosivity,C）、毒性（Toxicity,T）、易燃性（Ignitability,I）、反应性（Reactivity,R）和感染性（Infectivity,In）。</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4.2</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 xml:space="preserve">30 </w:t>
            </w:r>
            <w:r>
              <w:rPr>
                <w:rFonts w:hint="eastAsia"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项目固废产生及处置措施一览表  单位：t/a</w:t>
            </w:r>
          </w:p>
          <w:tbl>
            <w:tblPr>
              <w:tblStyle w:val="1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1617"/>
              <w:gridCol w:w="811"/>
              <w:gridCol w:w="507"/>
              <w:gridCol w:w="896"/>
              <w:gridCol w:w="3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数量（t/a）</w:t>
                  </w:r>
                </w:p>
              </w:tc>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固废属性</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处置频次</w:t>
                  </w:r>
                </w:p>
              </w:tc>
              <w:tc>
                <w:tcPr>
                  <w:tcW w:w="21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10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eastAsia" w:eastAsia="宋体" w:cs="Times New Roman"/>
                      <w:color w:val="auto"/>
                      <w:sz w:val="21"/>
                      <w:szCs w:val="21"/>
                      <w:highlight w:val="none"/>
                      <w:lang w:val="en-US" w:eastAsia="zh-CN"/>
                    </w:rPr>
                    <w:t>3</w:t>
                  </w:r>
                </w:p>
              </w:tc>
              <w:tc>
                <w:tcPr>
                  <w:tcW w:w="3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 次/天</w:t>
                  </w:r>
                </w:p>
              </w:tc>
              <w:tc>
                <w:tcPr>
                  <w:tcW w:w="2193"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lang w:eastAsia="zh-CN"/>
                    </w:rPr>
                    <w:t>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1031"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rPr>
                    <w:t>废餐盒、塑料</w:t>
                  </w:r>
                </w:p>
              </w:tc>
              <w:tc>
                <w:tcPr>
                  <w:tcW w:w="517" w:type="pct"/>
                  <w:noWrap w:val="0"/>
                  <w:vAlign w:val="center"/>
                </w:tcPr>
                <w:p>
                  <w:pPr>
                    <w:pStyle w:val="68"/>
                    <w:ind w:firstLine="0" w:firstLineChars="0"/>
                    <w:rPr>
                      <w:rFonts w:hint="default" w:ascii="Times New Roman" w:hAnsi="Times New Roman" w:eastAsia="宋体" w:cs="Times New Roman"/>
                      <w:b/>
                      <w:bCs/>
                      <w:color w:val="auto"/>
                      <w:sz w:val="21"/>
                      <w:szCs w:val="21"/>
                      <w:highlight w:val="none"/>
                      <w:lang w:val="en-US" w:eastAsia="zh-CN"/>
                    </w:rPr>
                  </w:pPr>
                  <w:r>
                    <w:rPr>
                      <w:color w:val="auto"/>
                      <w:lang w:eastAsia="zh-CN" w:bidi="en-US"/>
                    </w:rPr>
                    <w:t>9</w:t>
                  </w:r>
                </w:p>
              </w:tc>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次/</w:t>
                  </w:r>
                  <w:r>
                    <w:rPr>
                      <w:rFonts w:hint="eastAsia" w:ascii="Times New Roman" w:hAnsi="Times New Roman" w:eastAsia="宋体" w:cs="Times New Roman"/>
                      <w:color w:val="auto"/>
                      <w:sz w:val="21"/>
                      <w:szCs w:val="21"/>
                      <w:highlight w:val="none"/>
                      <w:lang w:val="en-US" w:eastAsia="zh-CN"/>
                    </w:rPr>
                    <w:t>周</w:t>
                  </w:r>
                </w:p>
              </w:tc>
              <w:tc>
                <w:tcPr>
                  <w:tcW w:w="2193"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lang w:eastAsia="zh-CN" w:bidi="en-US"/>
                    </w:rPr>
                    <w:t>暂存于一般固废间，定期由环卫部门清运处置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031"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lang w:val="en-US" w:eastAsia="zh-CN" w:bidi="en-US"/>
                    </w:rPr>
                    <w:t>锅炉</w:t>
                  </w:r>
                  <w:r>
                    <w:rPr>
                      <w:color w:val="auto"/>
                      <w:lang w:val="en-US" w:eastAsia="zh-CN" w:bidi="en-US"/>
                    </w:rPr>
                    <w:t>灰渣</w:t>
                  </w:r>
                </w:p>
              </w:tc>
              <w:tc>
                <w:tcPr>
                  <w:tcW w:w="517" w:type="pct"/>
                  <w:noWrap w:val="0"/>
                  <w:vAlign w:val="center"/>
                </w:tcPr>
                <w:p>
                  <w:pPr>
                    <w:pStyle w:val="68"/>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bidi="en-US"/>
                    </w:rPr>
                    <w:t>20.188</w:t>
                  </w:r>
                </w:p>
              </w:tc>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月</w:t>
                  </w:r>
                </w:p>
              </w:tc>
              <w:tc>
                <w:tcPr>
                  <w:tcW w:w="219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031"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lang w:eastAsia="zh-CN" w:bidi="en-US"/>
                    </w:rPr>
                    <w:t>污水处理站污泥</w:t>
                  </w:r>
                </w:p>
              </w:tc>
              <w:tc>
                <w:tcPr>
                  <w:tcW w:w="517" w:type="pct"/>
                  <w:noWrap w:val="0"/>
                  <w:vAlign w:val="center"/>
                </w:tcPr>
                <w:p>
                  <w:pPr>
                    <w:pStyle w:val="68"/>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rPr>
                    <w:t>19.989</w:t>
                  </w:r>
                </w:p>
              </w:tc>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月</w:t>
                  </w:r>
                </w:p>
              </w:tc>
              <w:tc>
                <w:tcPr>
                  <w:tcW w:w="2193" w:type="pct"/>
                  <w:shd w:val="clear" w:color="auto" w:fill="auto"/>
                  <w:noWrap w:val="0"/>
                  <w:vAlign w:val="center"/>
                </w:tcPr>
                <w:p>
                  <w:pPr>
                    <w:pStyle w:val="68"/>
                    <w:ind w:firstLine="0" w:firstLineChars="0"/>
                    <w:rPr>
                      <w:rFonts w:hint="eastAsia" w:ascii="Times New Roman" w:hAnsi="Times New Roman" w:eastAsia="宋体" w:cs="Times New Roman"/>
                      <w:color w:val="auto"/>
                      <w:kern w:val="0"/>
                      <w:sz w:val="21"/>
                      <w:szCs w:val="20"/>
                      <w:lang w:val="en-US" w:eastAsia="zh-CN" w:bidi="ar-SA"/>
                    </w:rPr>
                  </w:pPr>
                  <w:r>
                    <w:rPr>
                      <w:rFonts w:hint="eastAsia"/>
                      <w:color w:val="auto"/>
                      <w:lang w:val="en-US"/>
                    </w:rPr>
                    <w:t>污泥在污水处理站经浓缩脱水、板框压滤机脱水处理后，污泥含水率降至60%以下暂存于污泥干化池，</w:t>
                  </w:r>
                  <w:r>
                    <w:rPr>
                      <w:rFonts w:hint="eastAsia"/>
                      <w:color w:val="auto"/>
                      <w:lang w:val="en-US" w:eastAsia="zh-CN"/>
                    </w:rPr>
                    <w:t>脱水后污泥与三相分离后的餐厨垃圾一并发酵</w:t>
                  </w:r>
                  <w:r>
                    <w:rPr>
                      <w:rFonts w:hint="eastAsia"/>
                      <w:color w:val="auto"/>
                      <w:shd w:val="clear" w:fill="FFFFFF"/>
                      <w:lang w:val="en-US" w:eastAsia="zh-CN"/>
                    </w:rPr>
                    <w:t>外售</w:t>
                  </w:r>
                  <w:r>
                    <w:rPr>
                      <w:rFonts w:hint="eastAsia"/>
                      <w:color w:val="auto"/>
                      <w:lang w:val="en-US" w:eastAsia="zh-CN"/>
                    </w:rPr>
                    <w:t>做有机肥原料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031" w:type="pct"/>
                  <w:shd w:val="clear" w:color="auto" w:fill="auto"/>
                  <w:noWrap w:val="0"/>
                  <w:vAlign w:val="center"/>
                </w:tcPr>
                <w:p>
                  <w:pPr>
                    <w:pStyle w:val="68"/>
                    <w:ind w:firstLine="0" w:firstLineChars="0"/>
                    <w:rPr>
                      <w:rFonts w:hint="default" w:ascii="Times New Roman" w:hAnsi="Times New Roman" w:eastAsia="宋体" w:cs="Times New Roman"/>
                      <w:color w:val="auto"/>
                      <w:kern w:val="0"/>
                      <w:sz w:val="21"/>
                      <w:szCs w:val="20"/>
                      <w:lang w:val="en-US" w:eastAsia="zh-CN" w:bidi="en-US"/>
                    </w:rPr>
                  </w:pPr>
                  <w:r>
                    <w:rPr>
                      <w:rFonts w:hint="eastAsia"/>
                      <w:color w:val="auto"/>
                      <w:lang w:eastAsia="zh-CN" w:bidi="en-US"/>
                    </w:rPr>
                    <w:t>除臭</w:t>
                  </w:r>
                  <w:r>
                    <w:rPr>
                      <w:rFonts w:hint="eastAsia"/>
                      <w:color w:val="auto"/>
                      <w:shd w:val="clear" w:fill="FFFFFF"/>
                      <w:lang w:eastAsia="zh-CN" w:bidi="en-US"/>
                    </w:rPr>
                    <w:t>废</w:t>
                  </w:r>
                  <w:r>
                    <w:rPr>
                      <w:rFonts w:hint="eastAsia"/>
                      <w:color w:val="auto"/>
                      <w:lang w:eastAsia="zh-CN" w:bidi="en-US"/>
                    </w:rPr>
                    <w:t>填料</w:t>
                  </w:r>
                </w:p>
              </w:tc>
              <w:tc>
                <w:tcPr>
                  <w:tcW w:w="517" w:type="pct"/>
                  <w:noWrap w:val="0"/>
                  <w:vAlign w:val="center"/>
                </w:tcPr>
                <w:p>
                  <w:pPr>
                    <w:pStyle w:val="68"/>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bidi="en-US"/>
                    </w:rPr>
                    <w:t>1</w:t>
                  </w:r>
                </w:p>
              </w:tc>
              <w:tc>
                <w:tcPr>
                  <w:tcW w:w="3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w:t>
                  </w:r>
                  <w:r>
                    <w:rPr>
                      <w:rFonts w:hint="eastAsia" w:ascii="Times New Roman" w:hAnsi="Times New Roman" w:eastAsia="宋体" w:cs="Times New Roman"/>
                      <w:color w:val="auto"/>
                      <w:sz w:val="21"/>
                      <w:szCs w:val="21"/>
                      <w:highlight w:val="none"/>
                      <w:lang w:val="en-US" w:eastAsia="zh-CN"/>
                    </w:rPr>
                    <w:t>月</w:t>
                  </w:r>
                </w:p>
              </w:tc>
              <w:tc>
                <w:tcPr>
                  <w:tcW w:w="2193" w:type="pct"/>
                  <w:shd w:val="clear" w:color="auto" w:fill="auto"/>
                  <w:noWrap w:val="0"/>
                  <w:vAlign w:val="center"/>
                </w:tcPr>
                <w:p>
                  <w:pPr>
                    <w:pStyle w:val="68"/>
                    <w:ind w:firstLine="0" w:firstLineChars="0"/>
                    <w:rPr>
                      <w:rFonts w:hint="eastAsia" w:ascii="Times New Roman" w:hAnsi="Times New Roman" w:eastAsia="宋体" w:cs="Times New Roman"/>
                      <w:color w:val="auto"/>
                      <w:kern w:val="0"/>
                      <w:sz w:val="21"/>
                      <w:szCs w:val="20"/>
                      <w:lang w:val="en-US" w:eastAsia="zh-CN" w:bidi="en-US"/>
                    </w:rPr>
                  </w:pPr>
                  <w:r>
                    <w:rPr>
                      <w:rFonts w:hint="eastAsia"/>
                      <w:color w:val="auto"/>
                      <w:lang w:val="en-US" w:eastAsia="zh-CN" w:bidi="en-US"/>
                    </w:rPr>
                    <w:t>设备厂家负责更换，更换后立即带走，不在项目区内存储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w:t>
                  </w:r>
                </w:p>
              </w:tc>
              <w:tc>
                <w:tcPr>
                  <w:tcW w:w="10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废机油</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0.6</w:t>
                  </w:r>
                </w:p>
              </w:tc>
              <w:tc>
                <w:tcPr>
                  <w:tcW w:w="32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危险废物</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1次/季度</w:t>
                  </w:r>
                </w:p>
              </w:tc>
              <w:tc>
                <w:tcPr>
                  <w:tcW w:w="21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使用密闭容器统一收集后于危废暂存间（占地面积</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）储存，交有资质单位定期清运处置，并建立转移联单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w:t>
                  </w:r>
                </w:p>
              </w:tc>
              <w:tc>
                <w:tcPr>
                  <w:tcW w:w="10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含油</w:t>
                  </w:r>
                  <w:r>
                    <w:rPr>
                      <w:rFonts w:hint="default" w:ascii="Times New Roman" w:hAnsi="Times New Roman" w:eastAsia="宋体" w:cs="Times New Roman"/>
                      <w:b w:val="0"/>
                      <w:bCs w:val="0"/>
                      <w:color w:val="auto"/>
                      <w:sz w:val="21"/>
                      <w:szCs w:val="21"/>
                      <w:highlight w:val="none"/>
                      <w:shd w:val="clear" w:fill="FFFFFF"/>
                      <w:lang w:val="en-US" w:eastAsia="zh-CN"/>
                    </w:rPr>
                    <w:t>废</w:t>
                  </w:r>
                  <w:r>
                    <w:rPr>
                      <w:rFonts w:hint="default" w:ascii="Times New Roman" w:hAnsi="Times New Roman" w:eastAsia="宋体" w:cs="Times New Roman"/>
                      <w:b w:val="0"/>
                      <w:bCs w:val="0"/>
                      <w:color w:val="auto"/>
                      <w:sz w:val="21"/>
                      <w:szCs w:val="21"/>
                      <w:highlight w:val="none"/>
                      <w:lang w:val="en-US" w:eastAsia="zh-CN"/>
                    </w:rPr>
                    <w:t>抹布手套</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0.02</w:t>
                  </w:r>
                </w:p>
              </w:tc>
              <w:tc>
                <w:tcPr>
                  <w:tcW w:w="32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val="0"/>
                      <w:color w:val="auto"/>
                      <w:sz w:val="21"/>
                      <w:szCs w:val="21"/>
                      <w:highlight w:val="none"/>
                      <w:lang w:val="en-US" w:eastAsia="zh-CN"/>
                    </w:rPr>
                  </w:pP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eastAsia="宋体" w:cs="Times New Roman"/>
                      <w:color w:val="auto"/>
                      <w:sz w:val="21"/>
                      <w:szCs w:val="21"/>
                      <w:highlight w:val="none"/>
                      <w:lang w:val="en-US" w:eastAsia="zh-CN"/>
                    </w:rPr>
                    <w:t>1次/季度</w:t>
                  </w:r>
                </w:p>
              </w:tc>
              <w:tc>
                <w:tcPr>
                  <w:tcW w:w="21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p>
            <w:pPr>
              <w:adjustRightInd w:val="0"/>
              <w:snapToGrid w:val="0"/>
              <w:ind w:firstLine="0" w:firstLineChars="0"/>
              <w:rPr>
                <w:rFonts w:ascii="宋体" w:cs="宋体"/>
                <w:b/>
                <w:color w:val="auto"/>
                <w:kern w:val="0"/>
                <w:sz w:val="28"/>
                <w:szCs w:val="28"/>
              </w:rPr>
            </w:pPr>
          </w:p>
        </w:tc>
      </w:tr>
    </w:tbl>
    <w:p>
      <w:pPr>
        <w:adjustRightInd w:val="0"/>
        <w:snapToGrid w:val="0"/>
        <w:ind w:firstLine="562"/>
        <w:rPr>
          <w:rFonts w:ascii="宋体" w:cs="宋体"/>
          <w:b/>
          <w:color w:val="auto"/>
          <w:kern w:val="0"/>
          <w:sz w:val="28"/>
          <w:szCs w:val="28"/>
        </w:rPr>
      </w:pPr>
      <w:r>
        <w:rPr>
          <w:rFonts w:ascii="宋体" w:cs="宋体"/>
          <w:b/>
          <w:color w:val="auto"/>
          <w:kern w:val="0"/>
          <w:sz w:val="28"/>
          <w:szCs w:val="28"/>
        </w:rPr>
        <w:br w:type="page"/>
      </w:r>
    </w:p>
    <w:p>
      <w:pPr>
        <w:adjustRightInd w:val="0"/>
        <w:snapToGrid w:val="0"/>
        <w:ind w:firstLine="562"/>
        <w:rPr>
          <w:rFonts w:ascii="宋体" w:cs="宋体"/>
          <w:b/>
          <w:color w:val="auto"/>
          <w:kern w:val="0"/>
          <w:sz w:val="28"/>
          <w:szCs w:val="28"/>
        </w:rPr>
        <w:sectPr>
          <w:pgSz w:w="11907" w:h="16840"/>
          <w:pgMar w:top="1440" w:right="1800" w:bottom="1440" w:left="1800" w:header="397" w:footer="850" w:gutter="0"/>
          <w:cols w:space="720" w:num="1"/>
          <w:docGrid w:linePitch="326" w:charSpace="0"/>
        </w:sectPr>
      </w:pPr>
    </w:p>
    <w:tbl>
      <w:tblPr>
        <w:tblStyle w:val="30"/>
        <w:tblpPr w:leftFromText="180" w:rightFromText="180" w:vertAnchor="page" w:horzAnchor="page" w:tblpX="1729" w:tblpY="218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3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pPr>
              <w:keepNext w:val="0"/>
              <w:keepLines w:val="0"/>
              <w:pageBreakBefore w:val="0"/>
              <w:widowControl w:val="0"/>
              <w:kinsoku/>
              <w:wordWrap w:val="0"/>
              <w:overflowPunct/>
              <w:autoSpaceDN w:val="0"/>
              <w:bidi w:val="0"/>
              <w:adjustRightInd w:val="0"/>
              <w:snapToGrid w:val="0"/>
              <w:spacing w:line="240" w:lineRule="auto"/>
              <w:ind w:firstLine="0" w:firstLineChars="0"/>
              <w:jc w:val="center"/>
              <w:rPr>
                <w:rFonts w:ascii="宋体" w:cs="宋体"/>
                <w:b/>
                <w:color w:val="auto"/>
                <w:kern w:val="0"/>
                <w:sz w:val="28"/>
                <w:szCs w:val="28"/>
              </w:rPr>
            </w:pPr>
            <w:r>
              <w:rPr>
                <w:rFonts w:hint="eastAsia" w:ascii="宋体" w:hAnsi="宋体"/>
                <w:bCs/>
                <w:color w:val="auto"/>
              </w:rPr>
              <w:t>运营期环境影响和保护措施</w:t>
            </w:r>
          </w:p>
        </w:tc>
        <w:tc>
          <w:tcPr>
            <w:tcW w:w="4812" w:type="pct"/>
          </w:tcPr>
          <w:p>
            <w:pPr>
              <w:keepNext w:val="0"/>
              <w:keepLines w:val="0"/>
              <w:pageBreakBefore w:val="0"/>
              <w:widowControl w:val="0"/>
              <w:kinsoku/>
              <w:wordWrap w:val="0"/>
              <w:overflowPunct/>
              <w:autoSpaceDN w:val="0"/>
              <w:bidi w:val="0"/>
              <w:spacing w:line="240" w:lineRule="auto"/>
              <w:ind w:firstLine="0" w:firstLineChars="0"/>
              <w:rPr>
                <w:color w:val="auto"/>
              </w:rPr>
            </w:pPr>
            <w:r>
              <w:rPr>
                <w:color w:val="auto"/>
              </w:rPr>
              <w:t>根据《建设项目危险废物环境影响评价指南》相关要求，本项目危险废物的名称、数量、类别、形态、危险特性和污染防治措施等内容汇总见下表。</w:t>
            </w:r>
          </w:p>
          <w:p>
            <w:pPr>
              <w:pStyle w:val="71"/>
              <w:keepNext w:val="0"/>
              <w:keepLines w:val="0"/>
              <w:pageBreakBefore w:val="0"/>
              <w:widowControl w:val="0"/>
              <w:kinsoku/>
              <w:wordWrap w:val="0"/>
              <w:overflowPunct/>
              <w:autoSpaceDN w:val="0"/>
              <w:bidi w:val="0"/>
              <w:spacing w:line="240" w:lineRule="auto"/>
              <w:ind w:firstLine="0" w:firstLineChars="0"/>
              <w:rPr>
                <w:color w:val="auto"/>
              </w:rPr>
            </w:pPr>
            <w:r>
              <w:rPr>
                <w:color w:val="auto"/>
              </w:rPr>
              <w:t>表</w:t>
            </w:r>
            <w:r>
              <w:rPr>
                <w:rFonts w:hint="eastAsia"/>
                <w:color w:val="auto"/>
              </w:rPr>
              <w:t>4</w:t>
            </w:r>
            <w:r>
              <w:rPr>
                <w:color w:val="auto"/>
              </w:rPr>
              <w:t>.2-</w:t>
            </w:r>
            <w:r>
              <w:rPr>
                <w:rFonts w:hint="eastAsia"/>
                <w:color w:val="auto"/>
                <w:lang w:val="en-US" w:eastAsia="zh-CN"/>
              </w:rPr>
              <w:t xml:space="preserve">31 </w:t>
            </w:r>
            <w:r>
              <w:rPr>
                <w:rFonts w:hint="eastAsia"/>
                <w:color w:val="auto"/>
              </w:rPr>
              <w:t xml:space="preserve"> </w:t>
            </w:r>
            <w:r>
              <w:rPr>
                <w:color w:val="auto"/>
              </w:rPr>
              <w:t>危险废物汇总表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080"/>
              <w:gridCol w:w="1303"/>
              <w:gridCol w:w="1002"/>
              <w:gridCol w:w="1354"/>
              <w:gridCol w:w="903"/>
              <w:gridCol w:w="1583"/>
              <w:gridCol w:w="1241"/>
              <w:gridCol w:w="1284"/>
              <w:gridCol w:w="88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43"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rFonts w:hint="eastAsia"/>
                      <w:b/>
                      <w:bCs/>
                      <w:color w:val="auto"/>
                      <w:shd w:val="clear" w:fill="FFFFFF"/>
                      <w:lang w:eastAsia="zh-CN"/>
                    </w:rPr>
                    <w:t>危废</w:t>
                  </w:r>
                  <w:r>
                    <w:rPr>
                      <w:b/>
                      <w:bCs/>
                      <w:color w:val="auto"/>
                    </w:rPr>
                    <w:t>名称</w:t>
                  </w:r>
                </w:p>
              </w:tc>
              <w:tc>
                <w:tcPr>
                  <w:tcW w:w="402"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rFonts w:hint="eastAsia"/>
                      <w:b/>
                      <w:bCs/>
                      <w:color w:val="auto"/>
                      <w:lang w:eastAsia="zh-CN"/>
                    </w:rPr>
                    <w:t>危废</w:t>
                  </w:r>
                  <w:r>
                    <w:rPr>
                      <w:b/>
                      <w:bCs/>
                      <w:color w:val="auto"/>
                    </w:rPr>
                    <w:t>类别</w:t>
                  </w:r>
                </w:p>
              </w:tc>
              <w:tc>
                <w:tcPr>
                  <w:tcW w:w="485"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rFonts w:hint="eastAsia"/>
                      <w:b/>
                      <w:bCs/>
                      <w:color w:val="auto"/>
                      <w:shd w:val="clear" w:fill="FFFFFF"/>
                      <w:lang w:eastAsia="zh-CN"/>
                    </w:rPr>
                    <w:t>危废</w:t>
                  </w:r>
                  <w:r>
                    <w:rPr>
                      <w:b/>
                      <w:bCs/>
                      <w:color w:val="auto"/>
                    </w:rPr>
                    <w:t>代码</w:t>
                  </w:r>
                </w:p>
              </w:tc>
              <w:tc>
                <w:tcPr>
                  <w:tcW w:w="373"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产生量</w:t>
                  </w:r>
                  <w:r>
                    <w:rPr>
                      <w:rFonts w:hint="eastAsia"/>
                      <w:b/>
                      <w:bCs/>
                      <w:color w:val="auto"/>
                    </w:rPr>
                    <w:t>（t/a）</w:t>
                  </w:r>
                </w:p>
              </w:tc>
              <w:tc>
                <w:tcPr>
                  <w:tcW w:w="504"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产生工序及装置</w:t>
                  </w:r>
                </w:p>
              </w:tc>
              <w:tc>
                <w:tcPr>
                  <w:tcW w:w="336"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形态</w:t>
                  </w:r>
                </w:p>
              </w:tc>
              <w:tc>
                <w:tcPr>
                  <w:tcW w:w="589"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主要成分</w:t>
                  </w:r>
                </w:p>
              </w:tc>
              <w:tc>
                <w:tcPr>
                  <w:tcW w:w="462"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有害成分</w:t>
                  </w:r>
                </w:p>
              </w:tc>
              <w:tc>
                <w:tcPr>
                  <w:tcW w:w="478"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产</w:t>
                  </w:r>
                  <w:r>
                    <w:rPr>
                      <w:b/>
                      <w:bCs/>
                      <w:color w:val="auto"/>
                      <w:shd w:val="clear" w:fill="FFFFFF"/>
                    </w:rPr>
                    <w:t>废</w:t>
                  </w:r>
                  <w:r>
                    <w:rPr>
                      <w:b/>
                      <w:bCs/>
                      <w:color w:val="auto"/>
                    </w:rPr>
                    <w:t>周期</w:t>
                  </w:r>
                </w:p>
              </w:tc>
              <w:tc>
                <w:tcPr>
                  <w:tcW w:w="327"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危险特性</w:t>
                  </w:r>
                </w:p>
              </w:tc>
              <w:tc>
                <w:tcPr>
                  <w:tcW w:w="595" w:type="pct"/>
                  <w:vAlign w:val="center"/>
                </w:tcPr>
                <w:p>
                  <w:pPr>
                    <w:pStyle w:val="68"/>
                    <w:keepNext w:val="0"/>
                    <w:keepLines w:val="0"/>
                    <w:pageBreakBefore w:val="0"/>
                    <w:widowControl w:val="0"/>
                    <w:kinsoku/>
                    <w:wordWrap w:val="0"/>
                    <w:overflowPunct/>
                    <w:autoSpaceDN w:val="0"/>
                    <w:bidi w:val="0"/>
                    <w:spacing w:line="240" w:lineRule="auto"/>
                    <w:ind w:firstLine="0" w:firstLineChars="0"/>
                    <w:rPr>
                      <w:b/>
                      <w:bCs/>
                      <w:color w:val="auto"/>
                    </w:rPr>
                  </w:pPr>
                  <w:r>
                    <w:rPr>
                      <w:b/>
                      <w:bCs/>
                      <w:color w:val="auto"/>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3"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rFonts w:hint="eastAsia"/>
                      <w:color w:val="auto"/>
                      <w:lang w:eastAsia="zh-CN"/>
                    </w:rPr>
                    <w:t>废矿物油</w:t>
                  </w:r>
                </w:p>
              </w:tc>
              <w:tc>
                <w:tcPr>
                  <w:tcW w:w="402"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lang w:eastAsia="zh-CN"/>
                    </w:rPr>
                  </w:pPr>
                  <w:r>
                    <w:rPr>
                      <w:color w:val="auto"/>
                    </w:rPr>
                    <w:t>HW</w:t>
                  </w:r>
                  <w:r>
                    <w:rPr>
                      <w:rFonts w:hint="eastAsia"/>
                      <w:color w:val="auto"/>
                    </w:rPr>
                    <w:t>08</w:t>
                  </w:r>
                </w:p>
              </w:tc>
              <w:tc>
                <w:tcPr>
                  <w:tcW w:w="485"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color w:val="auto"/>
                      <w:highlight w:val="none"/>
                    </w:rPr>
                    <w:t>900-</w:t>
                  </w:r>
                  <w:r>
                    <w:rPr>
                      <w:rFonts w:hint="eastAsia"/>
                      <w:color w:val="auto"/>
                      <w:highlight w:val="none"/>
                      <w:lang w:val="en-US" w:eastAsia="zh-CN"/>
                    </w:rPr>
                    <w:t>214</w:t>
                  </w:r>
                  <w:r>
                    <w:rPr>
                      <w:color w:val="auto"/>
                      <w:highlight w:val="none"/>
                    </w:rPr>
                    <w:t>-</w:t>
                  </w:r>
                  <w:r>
                    <w:rPr>
                      <w:rFonts w:hint="eastAsia"/>
                      <w:color w:val="auto"/>
                      <w:highlight w:val="none"/>
                    </w:rPr>
                    <w:t>08</w:t>
                  </w:r>
                </w:p>
              </w:tc>
              <w:tc>
                <w:tcPr>
                  <w:tcW w:w="373"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lang w:eastAsia="zh-CN"/>
                    </w:rPr>
                  </w:pPr>
                  <w:r>
                    <w:rPr>
                      <w:rFonts w:hint="eastAsia"/>
                      <w:color w:val="auto"/>
                      <w:lang w:eastAsia="zh-CN"/>
                    </w:rPr>
                    <w:t>0.</w:t>
                  </w:r>
                  <w:r>
                    <w:rPr>
                      <w:color w:val="auto"/>
                      <w:lang w:eastAsia="zh-CN"/>
                    </w:rPr>
                    <w:t>6</w:t>
                  </w:r>
                </w:p>
              </w:tc>
              <w:tc>
                <w:tcPr>
                  <w:tcW w:w="504" w:type="pct"/>
                  <w:vAlign w:val="center"/>
                </w:tcPr>
                <w:p>
                  <w:pPr>
                    <w:pStyle w:val="68"/>
                    <w:keepNext w:val="0"/>
                    <w:keepLines w:val="0"/>
                    <w:pageBreakBefore w:val="0"/>
                    <w:widowControl w:val="0"/>
                    <w:kinsoku/>
                    <w:wordWrap w:val="0"/>
                    <w:overflowPunct/>
                    <w:autoSpaceDN w:val="0"/>
                    <w:bidi w:val="0"/>
                    <w:spacing w:line="240" w:lineRule="auto"/>
                    <w:ind w:firstLine="0" w:firstLineChars="0"/>
                    <w:rPr>
                      <w:bCs/>
                      <w:color w:val="auto"/>
                    </w:rPr>
                  </w:pPr>
                  <w:r>
                    <w:rPr>
                      <w:rFonts w:hint="eastAsia"/>
                      <w:color w:val="auto"/>
                      <w:lang w:eastAsia="zh-CN"/>
                    </w:rPr>
                    <w:t>设备检修</w:t>
                  </w:r>
                </w:p>
              </w:tc>
              <w:tc>
                <w:tcPr>
                  <w:tcW w:w="336"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rFonts w:hint="eastAsia"/>
                      <w:color w:val="auto"/>
                    </w:rPr>
                    <w:t>液态</w:t>
                  </w:r>
                </w:p>
              </w:tc>
              <w:tc>
                <w:tcPr>
                  <w:tcW w:w="589"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rFonts w:hint="eastAsia"/>
                      <w:color w:val="auto"/>
                    </w:rPr>
                    <w:t>润滑油、液压油等</w:t>
                  </w:r>
                </w:p>
              </w:tc>
              <w:tc>
                <w:tcPr>
                  <w:tcW w:w="462"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rFonts w:hint="eastAsia"/>
                      <w:color w:val="auto"/>
                    </w:rPr>
                    <w:t>矿物油</w:t>
                  </w:r>
                </w:p>
              </w:tc>
              <w:tc>
                <w:tcPr>
                  <w:tcW w:w="478"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lang w:eastAsia="zh-CN"/>
                    </w:rPr>
                  </w:pPr>
                  <w:r>
                    <w:rPr>
                      <w:rFonts w:hint="default" w:eastAsia="宋体" w:cs="Times New Roman"/>
                      <w:color w:val="auto"/>
                      <w:sz w:val="21"/>
                      <w:szCs w:val="21"/>
                      <w:highlight w:val="none"/>
                      <w:lang w:val="en-US" w:eastAsia="zh-CN"/>
                    </w:rPr>
                    <w:t>1次/季度</w:t>
                  </w:r>
                </w:p>
              </w:tc>
              <w:tc>
                <w:tcPr>
                  <w:tcW w:w="327" w:type="pc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r>
                    <w:rPr>
                      <w:color w:val="auto"/>
                    </w:rPr>
                    <w:t>T</w:t>
                  </w:r>
                  <w:r>
                    <w:rPr>
                      <w:rFonts w:hint="eastAsia"/>
                      <w:color w:val="auto"/>
                      <w:lang w:eastAsia="zh-CN"/>
                    </w:rPr>
                    <w:t>,</w:t>
                  </w:r>
                  <w:r>
                    <w:rPr>
                      <w:color w:val="auto"/>
                    </w:rPr>
                    <w:t>I</w:t>
                  </w:r>
                </w:p>
              </w:tc>
              <w:tc>
                <w:tcPr>
                  <w:tcW w:w="595" w:type="pct"/>
                  <w:vMerge w:val="restart"/>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lang w:eastAsia="zh-CN"/>
                    </w:rPr>
                  </w:pPr>
                  <w:r>
                    <w:rPr>
                      <w:color w:val="auto"/>
                    </w:rPr>
                    <w:t>暂存厂区内的危废暂存</w:t>
                  </w:r>
                  <w:r>
                    <w:rPr>
                      <w:rFonts w:hint="eastAsia"/>
                      <w:color w:val="auto"/>
                      <w:lang w:eastAsia="zh-CN"/>
                    </w:rPr>
                    <w:t>间</w:t>
                  </w:r>
                  <w:r>
                    <w:rPr>
                      <w:color w:val="auto"/>
                    </w:rPr>
                    <w:t>，</w:t>
                  </w:r>
                  <w:r>
                    <w:rPr>
                      <w:rFonts w:hint="eastAsia"/>
                      <w:color w:val="auto"/>
                    </w:rPr>
                    <w:t>分区贮存，</w:t>
                  </w:r>
                  <w:r>
                    <w:rPr>
                      <w:rFonts w:hint="eastAsia"/>
                      <w:color w:val="auto"/>
                      <w:lang w:eastAsia="zh-CN"/>
                    </w:rPr>
                    <w:t>委托有资质单位定期清运处置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43" w:type="pct"/>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color w:val="auto"/>
                      <w:lang w:eastAsia="zh-CN"/>
                    </w:rPr>
                  </w:pPr>
                  <w:r>
                    <w:rPr>
                      <w:rFonts w:hint="default" w:ascii="Times New Roman" w:hAnsi="Times New Roman" w:eastAsia="宋体" w:cs="Times New Roman"/>
                      <w:color w:val="auto"/>
                      <w:sz w:val="21"/>
                      <w:szCs w:val="21"/>
                      <w:lang w:val="en-US" w:eastAsia="zh-CN"/>
                    </w:rPr>
                    <w:t>含油</w:t>
                  </w:r>
                  <w:r>
                    <w:rPr>
                      <w:rFonts w:hint="default" w:ascii="Times New Roman" w:hAnsi="Times New Roman" w:eastAsia="宋体" w:cs="Times New Roman"/>
                      <w:color w:val="auto"/>
                      <w:sz w:val="21"/>
                      <w:szCs w:val="21"/>
                      <w:shd w:val="clear" w:fill="FFFFFF"/>
                      <w:lang w:val="en-US" w:eastAsia="zh-CN"/>
                    </w:rPr>
                    <w:t>废</w:t>
                  </w:r>
                  <w:r>
                    <w:rPr>
                      <w:rFonts w:hint="default" w:ascii="Times New Roman" w:hAnsi="Times New Roman" w:eastAsia="宋体" w:cs="Times New Roman"/>
                      <w:color w:val="auto"/>
                      <w:sz w:val="21"/>
                      <w:szCs w:val="21"/>
                      <w:lang w:val="en-US" w:eastAsia="zh-CN"/>
                    </w:rPr>
                    <w:t>抹布手套</w:t>
                  </w:r>
                </w:p>
              </w:tc>
              <w:tc>
                <w:tcPr>
                  <w:tcW w:w="402" w:type="pct"/>
                  <w:shd w:val="clear" w:color="auto" w:fill="auto"/>
                  <w:vAlign w:val="center"/>
                </w:tcPr>
                <w:p>
                  <w:pPr>
                    <w:pStyle w:val="68"/>
                    <w:keepNext w:val="0"/>
                    <w:keepLines w:val="0"/>
                    <w:pageBreakBefore w:val="0"/>
                    <w:widowControl w:val="0"/>
                    <w:kinsoku/>
                    <w:wordWrap w:val="0"/>
                    <w:overflowPunct/>
                    <w:autoSpaceDN w:val="0"/>
                    <w:bidi w:val="0"/>
                    <w:spacing w:line="240" w:lineRule="auto"/>
                    <w:ind w:firstLine="0" w:firstLineChars="0"/>
                    <w:rPr>
                      <w:rFonts w:ascii="Times New Roman" w:hAnsi="Times New Roman" w:eastAsia="宋体" w:cs="Times New Roman"/>
                      <w:color w:val="auto"/>
                      <w:kern w:val="0"/>
                      <w:sz w:val="21"/>
                      <w:szCs w:val="20"/>
                      <w:lang w:val="zh-CN" w:eastAsia="zh-CN" w:bidi="ar-SA"/>
                    </w:rPr>
                  </w:pPr>
                  <w:r>
                    <w:rPr>
                      <w:color w:val="auto"/>
                    </w:rPr>
                    <w:t>HW</w:t>
                  </w:r>
                  <w:r>
                    <w:rPr>
                      <w:rFonts w:hint="eastAsia"/>
                      <w:color w:val="auto"/>
                    </w:rPr>
                    <w:t>08</w:t>
                  </w:r>
                </w:p>
              </w:tc>
              <w:tc>
                <w:tcPr>
                  <w:tcW w:w="485" w:type="pct"/>
                  <w:shd w:val="clear" w:color="auto" w:fill="auto"/>
                  <w:vAlign w:val="center"/>
                </w:tcPr>
                <w:p>
                  <w:pPr>
                    <w:pStyle w:val="68"/>
                    <w:keepNext w:val="0"/>
                    <w:keepLines w:val="0"/>
                    <w:pageBreakBefore w:val="0"/>
                    <w:widowControl w:val="0"/>
                    <w:kinsoku/>
                    <w:wordWrap w:val="0"/>
                    <w:overflowPunct/>
                    <w:autoSpaceDN w:val="0"/>
                    <w:bidi w:val="0"/>
                    <w:spacing w:line="240" w:lineRule="auto"/>
                    <w:ind w:firstLine="0" w:firstLineChars="0"/>
                    <w:rPr>
                      <w:rFonts w:ascii="Times New Roman" w:hAnsi="Times New Roman" w:eastAsia="宋体" w:cs="Times New Roman"/>
                      <w:color w:val="auto"/>
                      <w:kern w:val="0"/>
                      <w:sz w:val="21"/>
                      <w:szCs w:val="20"/>
                      <w:lang w:val="zh-CN" w:eastAsia="zh-CN" w:bidi="ar-SA"/>
                    </w:rPr>
                  </w:pPr>
                  <w:r>
                    <w:rPr>
                      <w:color w:val="auto"/>
                      <w:highlight w:val="none"/>
                    </w:rPr>
                    <w:t>900-</w:t>
                  </w:r>
                  <w:r>
                    <w:rPr>
                      <w:rFonts w:hint="eastAsia"/>
                      <w:color w:val="auto"/>
                      <w:highlight w:val="none"/>
                      <w:lang w:val="en-US" w:eastAsia="zh-CN"/>
                    </w:rPr>
                    <w:t>249</w:t>
                  </w:r>
                  <w:r>
                    <w:rPr>
                      <w:color w:val="auto"/>
                      <w:highlight w:val="none"/>
                    </w:rPr>
                    <w:t>-</w:t>
                  </w:r>
                  <w:r>
                    <w:rPr>
                      <w:rFonts w:hint="eastAsia"/>
                      <w:color w:val="auto"/>
                      <w:highlight w:val="none"/>
                    </w:rPr>
                    <w:t>08</w:t>
                  </w:r>
                </w:p>
              </w:tc>
              <w:tc>
                <w:tcPr>
                  <w:tcW w:w="373" w:type="pct"/>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default"/>
                      <w:color w:val="auto"/>
                      <w:lang w:val="en-US" w:eastAsia="zh-CN"/>
                    </w:rPr>
                  </w:pPr>
                  <w:r>
                    <w:rPr>
                      <w:rFonts w:hint="eastAsia"/>
                      <w:color w:val="auto"/>
                      <w:lang w:val="en-US" w:eastAsia="zh-CN"/>
                    </w:rPr>
                    <w:t>0.02</w:t>
                  </w:r>
                </w:p>
              </w:tc>
              <w:tc>
                <w:tcPr>
                  <w:tcW w:w="504" w:type="pct"/>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color w:val="auto"/>
                      <w:lang w:eastAsia="zh-CN"/>
                    </w:rPr>
                  </w:pPr>
                  <w:r>
                    <w:rPr>
                      <w:rFonts w:hint="eastAsia"/>
                      <w:color w:val="auto"/>
                      <w:lang w:eastAsia="zh-CN"/>
                    </w:rPr>
                    <w:t>设备检修</w:t>
                  </w:r>
                </w:p>
              </w:tc>
              <w:tc>
                <w:tcPr>
                  <w:tcW w:w="336" w:type="pct"/>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eastAsia="宋体"/>
                      <w:color w:val="auto"/>
                      <w:lang w:val="en-US" w:eastAsia="zh-CN"/>
                    </w:rPr>
                  </w:pPr>
                  <w:r>
                    <w:rPr>
                      <w:rFonts w:hint="eastAsia"/>
                      <w:color w:val="auto"/>
                      <w:lang w:val="en-US" w:eastAsia="zh-CN"/>
                    </w:rPr>
                    <w:t>固态</w:t>
                  </w:r>
                </w:p>
              </w:tc>
              <w:tc>
                <w:tcPr>
                  <w:tcW w:w="589" w:type="pct"/>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color w:val="auto"/>
                    </w:rPr>
                  </w:pPr>
                  <w:r>
                    <w:rPr>
                      <w:rFonts w:hint="eastAsia"/>
                      <w:color w:val="auto"/>
                    </w:rPr>
                    <w:t>润滑油、液压油等</w:t>
                  </w:r>
                </w:p>
              </w:tc>
              <w:tc>
                <w:tcPr>
                  <w:tcW w:w="462" w:type="pct"/>
                  <w:shd w:val="clear" w:color="auto" w:fill="auto"/>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ascii="Times New Roman" w:hAnsi="Times New Roman" w:eastAsia="宋体" w:cs="Times New Roman"/>
                      <w:color w:val="auto"/>
                      <w:kern w:val="0"/>
                      <w:sz w:val="21"/>
                      <w:szCs w:val="20"/>
                      <w:lang w:val="zh-CN" w:eastAsia="zh-CN" w:bidi="ar-SA"/>
                    </w:rPr>
                  </w:pPr>
                  <w:r>
                    <w:rPr>
                      <w:rFonts w:hint="eastAsia"/>
                      <w:color w:val="auto"/>
                    </w:rPr>
                    <w:t>矿物油</w:t>
                  </w:r>
                </w:p>
              </w:tc>
              <w:tc>
                <w:tcPr>
                  <w:tcW w:w="478" w:type="pct"/>
                  <w:shd w:val="clear" w:color="auto" w:fill="auto"/>
                  <w:vAlign w:val="center"/>
                </w:tcPr>
                <w:p>
                  <w:pPr>
                    <w:pStyle w:val="68"/>
                    <w:keepNext w:val="0"/>
                    <w:keepLines w:val="0"/>
                    <w:pageBreakBefore w:val="0"/>
                    <w:widowControl w:val="0"/>
                    <w:kinsoku/>
                    <w:wordWrap w:val="0"/>
                    <w:overflowPunct/>
                    <w:autoSpaceDN w:val="0"/>
                    <w:bidi w:val="0"/>
                    <w:spacing w:line="240" w:lineRule="auto"/>
                    <w:ind w:firstLine="0" w:firstLineChars="0"/>
                    <w:rPr>
                      <w:rFonts w:hint="eastAsia" w:ascii="Times New Roman" w:hAnsi="Times New Roman" w:eastAsia="宋体" w:cs="Times New Roman"/>
                      <w:color w:val="auto"/>
                      <w:kern w:val="0"/>
                      <w:sz w:val="21"/>
                      <w:szCs w:val="20"/>
                      <w:lang w:val="zh-CN" w:eastAsia="zh-CN" w:bidi="ar-SA"/>
                    </w:rPr>
                  </w:pPr>
                  <w:r>
                    <w:rPr>
                      <w:rFonts w:hint="default" w:eastAsia="宋体" w:cs="Times New Roman"/>
                      <w:color w:val="auto"/>
                      <w:sz w:val="21"/>
                      <w:szCs w:val="21"/>
                      <w:highlight w:val="none"/>
                      <w:lang w:val="en-US" w:eastAsia="zh-CN"/>
                    </w:rPr>
                    <w:t>1次/季度</w:t>
                  </w:r>
                </w:p>
              </w:tc>
              <w:tc>
                <w:tcPr>
                  <w:tcW w:w="327" w:type="pct"/>
                  <w:shd w:val="clear" w:color="auto" w:fill="auto"/>
                  <w:vAlign w:val="center"/>
                </w:tcPr>
                <w:p>
                  <w:pPr>
                    <w:pStyle w:val="68"/>
                    <w:keepNext w:val="0"/>
                    <w:keepLines w:val="0"/>
                    <w:pageBreakBefore w:val="0"/>
                    <w:widowControl w:val="0"/>
                    <w:kinsoku/>
                    <w:wordWrap w:val="0"/>
                    <w:overflowPunct/>
                    <w:autoSpaceDN w:val="0"/>
                    <w:bidi w:val="0"/>
                    <w:spacing w:line="240" w:lineRule="auto"/>
                    <w:ind w:firstLine="0" w:firstLineChars="0"/>
                    <w:rPr>
                      <w:rFonts w:ascii="Times New Roman" w:hAnsi="Times New Roman" w:eastAsia="宋体" w:cs="Times New Roman"/>
                      <w:color w:val="auto"/>
                      <w:kern w:val="0"/>
                      <w:sz w:val="21"/>
                      <w:szCs w:val="20"/>
                      <w:lang w:val="zh-CN" w:eastAsia="zh-CN" w:bidi="ar-SA"/>
                    </w:rPr>
                  </w:pPr>
                  <w:r>
                    <w:rPr>
                      <w:color w:val="auto"/>
                    </w:rPr>
                    <w:t>T</w:t>
                  </w:r>
                  <w:r>
                    <w:rPr>
                      <w:rFonts w:hint="eastAsia"/>
                      <w:color w:val="auto"/>
                      <w:lang w:eastAsia="zh-CN"/>
                    </w:rPr>
                    <w:t>,</w:t>
                  </w:r>
                  <w:r>
                    <w:rPr>
                      <w:color w:val="auto"/>
                    </w:rPr>
                    <w:t>I</w:t>
                  </w:r>
                </w:p>
              </w:tc>
              <w:tc>
                <w:tcPr>
                  <w:tcW w:w="595" w:type="pct"/>
                  <w:vMerge w:val="continue"/>
                  <w:vAlign w:val="center"/>
                </w:tcPr>
                <w:p>
                  <w:pPr>
                    <w:pStyle w:val="68"/>
                    <w:keepNext w:val="0"/>
                    <w:keepLines w:val="0"/>
                    <w:pageBreakBefore w:val="0"/>
                    <w:widowControl w:val="0"/>
                    <w:kinsoku/>
                    <w:wordWrap w:val="0"/>
                    <w:overflowPunct/>
                    <w:autoSpaceDN w:val="0"/>
                    <w:bidi w:val="0"/>
                    <w:spacing w:line="240" w:lineRule="auto"/>
                    <w:ind w:firstLine="0" w:firstLineChars="0"/>
                    <w:rPr>
                      <w:color w:val="auto"/>
                    </w:rPr>
                  </w:pPr>
                </w:p>
              </w:tc>
            </w:tr>
          </w:tbl>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spacing w:line="240" w:lineRule="auto"/>
              <w:ind w:firstLine="0" w:firstLineChars="0"/>
              <w:rPr>
                <w:color w:val="auto"/>
              </w:rPr>
            </w:pPr>
          </w:p>
          <w:p>
            <w:pPr>
              <w:keepNext w:val="0"/>
              <w:keepLines w:val="0"/>
              <w:pageBreakBefore w:val="0"/>
              <w:widowControl w:val="0"/>
              <w:kinsoku/>
              <w:wordWrap w:val="0"/>
              <w:overflowPunct/>
              <w:autoSpaceDN w:val="0"/>
              <w:bidi w:val="0"/>
              <w:adjustRightInd w:val="0"/>
              <w:snapToGrid w:val="0"/>
              <w:spacing w:line="240" w:lineRule="auto"/>
              <w:ind w:firstLine="0" w:firstLineChars="0"/>
              <w:rPr>
                <w:rFonts w:ascii="宋体" w:cs="宋体"/>
                <w:b/>
                <w:color w:val="auto"/>
                <w:kern w:val="0"/>
                <w:sz w:val="28"/>
                <w:szCs w:val="28"/>
              </w:rPr>
            </w:pPr>
            <w:r>
              <w:rPr>
                <w:rFonts w:hint="eastAsia" w:ascii="宋体" w:cs="宋体"/>
                <w:b/>
                <w:color w:val="auto"/>
                <w:kern w:val="0"/>
                <w:sz w:val="28"/>
                <w:szCs w:val="28"/>
              </w:rPr>
              <w:t xml:space="preserve">  </w:t>
            </w:r>
          </w:p>
        </w:tc>
      </w:tr>
    </w:tbl>
    <w:p>
      <w:pPr>
        <w:adjustRightInd w:val="0"/>
        <w:snapToGrid w:val="0"/>
        <w:rPr>
          <w:rFonts w:ascii="宋体" w:cs="宋体"/>
          <w:b/>
          <w:color w:val="auto"/>
          <w:kern w:val="0"/>
          <w:sz w:val="28"/>
          <w:szCs w:val="28"/>
        </w:rPr>
        <w:sectPr>
          <w:pgSz w:w="16840" w:h="11907" w:orient="landscape"/>
          <w:pgMar w:top="1800" w:right="1440" w:bottom="1800" w:left="1440" w:header="737" w:footer="850" w:gutter="0"/>
          <w:cols w:space="720" w:num="1"/>
          <w:docGrid w:linePitch="326"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adjustRightInd w:val="0"/>
              <w:snapToGrid w:val="0"/>
              <w:ind w:firstLine="0" w:firstLineChars="0"/>
              <w:jc w:val="center"/>
              <w:rPr>
                <w:rFonts w:ascii="宋体" w:cs="宋体"/>
                <w:b/>
                <w:color w:val="auto"/>
                <w:kern w:val="0"/>
                <w:sz w:val="28"/>
                <w:szCs w:val="28"/>
              </w:rPr>
            </w:pPr>
            <w:r>
              <w:rPr>
                <w:rFonts w:hint="eastAsia" w:ascii="宋体" w:hAnsi="宋体"/>
                <w:bCs/>
                <w:color w:val="auto"/>
              </w:rPr>
              <w:t>运营期环境影响和保护措施</w:t>
            </w:r>
          </w:p>
        </w:tc>
        <w:tc>
          <w:tcPr>
            <w:tcW w:w="7989" w:type="dxa"/>
          </w:tcPr>
          <w:p>
            <w:pPr>
              <w:pStyle w:val="75"/>
              <w:rPr>
                <w:color w:val="auto"/>
              </w:rPr>
            </w:pPr>
            <w:r>
              <w:rPr>
                <w:rFonts w:hint="eastAsia"/>
                <w:color w:val="auto"/>
              </w:rPr>
              <w:t>4.2.4.2固废环境影响分析</w:t>
            </w:r>
          </w:p>
          <w:p>
            <w:pPr>
              <w:pStyle w:val="84"/>
              <w:ind w:firstLine="482"/>
              <w:rPr>
                <w:color w:val="auto"/>
              </w:rPr>
            </w:pPr>
            <w:r>
              <w:rPr>
                <w:rFonts w:hint="eastAsia"/>
                <w:color w:val="auto"/>
              </w:rPr>
              <w:t>1.</w:t>
            </w:r>
            <w:r>
              <w:rPr>
                <w:color w:val="auto"/>
              </w:rPr>
              <w:t>固废</w:t>
            </w:r>
            <w:r>
              <w:rPr>
                <w:rFonts w:hint="eastAsia"/>
                <w:color w:val="auto"/>
              </w:rPr>
              <w:t>处置利用可行性分析</w:t>
            </w:r>
          </w:p>
          <w:p>
            <w:pPr>
              <w:ind w:firstLine="480"/>
              <w:jc w:val="both"/>
              <w:rPr>
                <w:color w:val="auto"/>
                <w:lang w:bidi="en-US"/>
              </w:rPr>
            </w:pPr>
            <w:r>
              <w:rPr>
                <w:rFonts w:hint="eastAsia"/>
                <w:color w:val="auto"/>
              </w:rPr>
              <w:t>本项目运营期产生的固废主要包括可回收的副产品，一般固废，危险废物，以及办公生活产生的生活垃圾</w:t>
            </w:r>
            <w:r>
              <w:rPr>
                <w:color w:val="auto"/>
              </w:rPr>
              <w:t>。项目</w:t>
            </w:r>
            <w:r>
              <w:rPr>
                <w:rFonts w:hint="eastAsia"/>
                <w:color w:val="auto"/>
              </w:rPr>
              <w:t>产生的可回收的副产品、具有利用价值的一般固废</w:t>
            </w:r>
            <w:r>
              <w:rPr>
                <w:rFonts w:hint="eastAsia"/>
                <w:color w:val="auto"/>
                <w:shd w:val="clear" w:fill="FFFFFF"/>
              </w:rPr>
              <w:t>均外售</w:t>
            </w:r>
            <w:r>
              <w:rPr>
                <w:rFonts w:hint="eastAsia"/>
                <w:color w:val="auto"/>
              </w:rPr>
              <w:t>协议厂家处置</w:t>
            </w:r>
            <w:r>
              <w:rPr>
                <w:rFonts w:hint="eastAsia"/>
                <w:color w:val="auto"/>
                <w:lang w:bidi="en-US"/>
              </w:rPr>
              <w:t>，无需另行委托相关单位处置；生活垃圾交由周边环卫部门清运处置；废矿</w:t>
            </w:r>
            <w:r>
              <w:rPr>
                <w:rFonts w:hint="eastAsia" w:ascii="Times New Roman" w:hAnsi="Times New Roman" w:eastAsia="宋体" w:cs="Times New Roman"/>
                <w:color w:val="auto"/>
                <w:lang w:bidi="en-US"/>
              </w:rPr>
              <w:t>物油</w:t>
            </w:r>
            <w:r>
              <w:rPr>
                <w:rFonts w:hint="eastAsia" w:ascii="Times New Roman" w:hAnsi="Times New Roman" w:eastAsia="宋体" w:cs="Times New Roman"/>
                <w:color w:val="auto"/>
                <w:lang w:eastAsia="zh-CN" w:bidi="en-US"/>
              </w:rPr>
              <w:t>、</w:t>
            </w:r>
            <w:r>
              <w:rPr>
                <w:rFonts w:hint="default" w:ascii="Times New Roman" w:hAnsi="Times New Roman" w:eastAsia="宋体" w:cs="Times New Roman"/>
                <w:color w:val="auto"/>
                <w:lang w:val="en-US" w:eastAsia="zh-CN" w:bidi="en-US"/>
              </w:rPr>
              <w:t>含油</w:t>
            </w:r>
            <w:r>
              <w:rPr>
                <w:rFonts w:hint="default" w:ascii="Times New Roman" w:hAnsi="Times New Roman" w:eastAsia="宋体" w:cs="Times New Roman"/>
                <w:color w:val="auto"/>
                <w:shd w:val="clear" w:fill="FFFFFF"/>
                <w:lang w:val="en-US" w:eastAsia="zh-CN" w:bidi="en-US"/>
              </w:rPr>
              <w:t>废</w:t>
            </w:r>
            <w:r>
              <w:rPr>
                <w:rFonts w:hint="default" w:ascii="Times New Roman" w:hAnsi="Times New Roman" w:eastAsia="宋体" w:cs="Times New Roman"/>
                <w:color w:val="auto"/>
                <w:lang w:val="en-US" w:eastAsia="zh-CN" w:bidi="en-US"/>
              </w:rPr>
              <w:t>抹布手套</w:t>
            </w:r>
            <w:r>
              <w:rPr>
                <w:rFonts w:hint="eastAsia"/>
                <w:color w:val="auto"/>
                <w:lang w:bidi="en-US"/>
              </w:rPr>
              <w:t>暂存于项目危废暂存间，委托有资质单独定期清运处置。</w:t>
            </w:r>
          </w:p>
          <w:p>
            <w:pPr>
              <w:pStyle w:val="96"/>
              <w:ind w:firstLine="480"/>
              <w:jc w:val="both"/>
              <w:rPr>
                <w:color w:val="auto"/>
                <w:lang w:bidi="en-US"/>
              </w:rPr>
            </w:pPr>
            <w:r>
              <w:rPr>
                <w:color w:val="auto"/>
                <w:lang w:bidi="en-US"/>
              </w:rPr>
              <w:t>综上，本项目</w:t>
            </w:r>
            <w:r>
              <w:rPr>
                <w:rFonts w:hint="eastAsia"/>
                <w:color w:val="auto"/>
                <w:lang w:bidi="en-US"/>
              </w:rPr>
              <w:t>固体废物</w:t>
            </w:r>
            <w:r>
              <w:rPr>
                <w:color w:val="auto"/>
                <w:lang w:bidi="en-US"/>
              </w:rPr>
              <w:t>全部实现合理处置</w:t>
            </w:r>
            <w:r>
              <w:rPr>
                <w:rFonts w:hint="eastAsia"/>
                <w:color w:val="auto"/>
                <w:lang w:bidi="en-US"/>
              </w:rPr>
              <w:t>，各项处置措施是可行的</w:t>
            </w:r>
            <w:r>
              <w:rPr>
                <w:color w:val="auto"/>
                <w:lang w:bidi="en-US"/>
              </w:rPr>
              <w:t>，对环境影响轻微。</w:t>
            </w:r>
          </w:p>
          <w:p>
            <w:pPr>
              <w:pStyle w:val="84"/>
              <w:ind w:firstLine="482"/>
              <w:rPr>
                <w:color w:val="auto"/>
              </w:rPr>
            </w:pPr>
            <w:r>
              <w:rPr>
                <w:rFonts w:hint="eastAsia"/>
                <w:color w:val="auto"/>
              </w:rPr>
              <w:t>2.环境管理要求</w:t>
            </w:r>
          </w:p>
          <w:p>
            <w:pPr>
              <w:ind w:firstLine="480"/>
              <w:rPr>
                <w:color w:val="auto"/>
              </w:rPr>
            </w:pPr>
            <w:r>
              <w:rPr>
                <w:color w:val="auto"/>
              </w:rPr>
              <w:t>建设单位需履行日常固体废物申报登记制度、建立台账管理制度，规范固体废物堆场设置，分类贮存固体废物。</w:t>
            </w:r>
          </w:p>
          <w:p>
            <w:pPr>
              <w:ind w:firstLine="480"/>
              <w:rPr>
                <w:rFonts w:ascii="Arial" w:hAnsi="Arial"/>
                <w:color w:val="auto"/>
                <w:szCs w:val="21"/>
              </w:rPr>
            </w:pPr>
            <w:r>
              <w:rPr>
                <w:color w:val="auto"/>
              </w:rPr>
              <w:t>项目</w:t>
            </w:r>
            <w:r>
              <w:rPr>
                <w:rFonts w:hint="eastAsia"/>
                <w:color w:val="auto"/>
              </w:rPr>
              <w:t>产生的</w:t>
            </w:r>
            <w:r>
              <w:rPr>
                <w:color w:val="auto"/>
              </w:rPr>
              <w:t>一般固废应根据《一般工业固体废物贮存</w:t>
            </w:r>
            <w:r>
              <w:rPr>
                <w:rFonts w:hint="eastAsia"/>
                <w:color w:val="auto"/>
              </w:rPr>
              <w:t>和填埋</w:t>
            </w:r>
            <w:r>
              <w:rPr>
                <w:color w:val="auto"/>
              </w:rPr>
              <w:t>污染控制标准》（GB18599-2</w:t>
            </w:r>
            <w:r>
              <w:rPr>
                <w:rFonts w:hint="eastAsia"/>
                <w:color w:val="auto"/>
              </w:rPr>
              <w:t>020</w:t>
            </w:r>
            <w:r>
              <w:rPr>
                <w:color w:val="auto"/>
              </w:rPr>
              <w:t>）</w:t>
            </w:r>
            <w:r>
              <w:rPr>
                <w:rFonts w:hint="eastAsia"/>
                <w:color w:val="auto"/>
              </w:rPr>
              <w:t>，</w:t>
            </w:r>
            <w:r>
              <w:rPr>
                <w:color w:val="auto"/>
              </w:rPr>
              <w:t>不得露天堆放，堆放点做好防雨</w:t>
            </w:r>
            <w:r>
              <w:rPr>
                <w:rFonts w:hint="eastAsia"/>
                <w:color w:val="auto"/>
              </w:rPr>
              <w:t>、</w:t>
            </w:r>
            <w:r>
              <w:rPr>
                <w:color w:val="auto"/>
              </w:rPr>
              <w:t>防渗。</w:t>
            </w:r>
            <w:r>
              <w:rPr>
                <w:rFonts w:hint="eastAsia" w:ascii="Arial" w:hAnsi="Arial"/>
                <w:color w:val="auto"/>
                <w:szCs w:val="21"/>
              </w:rPr>
              <w:t>一般固废</w:t>
            </w:r>
            <w:r>
              <w:rPr>
                <w:rFonts w:ascii="Arial" w:hAnsi="Arial"/>
                <w:color w:val="auto"/>
                <w:szCs w:val="21"/>
              </w:rPr>
              <w:t>全部</w:t>
            </w:r>
            <w:r>
              <w:rPr>
                <w:rFonts w:hint="eastAsia" w:ascii="Arial" w:hAnsi="Arial"/>
                <w:color w:val="auto"/>
                <w:szCs w:val="21"/>
              </w:rPr>
              <w:t>分区分类</w:t>
            </w:r>
            <w:r>
              <w:rPr>
                <w:rFonts w:ascii="Arial" w:hAnsi="Arial"/>
                <w:color w:val="auto"/>
                <w:szCs w:val="21"/>
              </w:rPr>
              <w:t>堆放，</w:t>
            </w:r>
            <w:r>
              <w:rPr>
                <w:rFonts w:hint="eastAsia" w:ascii="Arial" w:hAnsi="Arial"/>
                <w:color w:val="auto"/>
                <w:szCs w:val="21"/>
              </w:rPr>
              <w:t>定期交由回收单位</w:t>
            </w:r>
            <w:r>
              <w:rPr>
                <w:rFonts w:ascii="Arial" w:hAnsi="Arial"/>
                <w:color w:val="auto"/>
                <w:szCs w:val="21"/>
              </w:rPr>
              <w:t>处置</w:t>
            </w:r>
            <w:r>
              <w:rPr>
                <w:rFonts w:hint="eastAsia" w:ascii="Arial" w:hAnsi="Arial"/>
                <w:color w:val="auto"/>
                <w:szCs w:val="21"/>
              </w:rPr>
              <w:t>，</w:t>
            </w:r>
            <w:r>
              <w:rPr>
                <w:rFonts w:ascii="Arial" w:hAnsi="Arial"/>
                <w:color w:val="auto"/>
                <w:szCs w:val="21"/>
              </w:rPr>
              <w:t>处置率</w:t>
            </w:r>
            <w:r>
              <w:rPr>
                <w:color w:val="auto"/>
              </w:rPr>
              <w:t>100%</w:t>
            </w:r>
            <w:r>
              <w:rPr>
                <w:rFonts w:hint="eastAsia" w:ascii="Arial" w:hAnsi="Arial"/>
                <w:color w:val="auto"/>
                <w:szCs w:val="21"/>
              </w:rPr>
              <w:t>。</w:t>
            </w:r>
          </w:p>
          <w:p>
            <w:pPr>
              <w:ind w:firstLine="480"/>
              <w:rPr>
                <w:color w:val="auto"/>
              </w:rPr>
            </w:pPr>
            <w:r>
              <w:rPr>
                <w:color w:val="auto"/>
              </w:rPr>
              <w:t>项目</w:t>
            </w:r>
            <w:r>
              <w:rPr>
                <w:rFonts w:hint="eastAsia"/>
                <w:color w:val="auto"/>
              </w:rPr>
              <w:t>产生的</w:t>
            </w:r>
            <w:r>
              <w:rPr>
                <w:color w:val="auto"/>
              </w:rPr>
              <w:t>危险废物</w:t>
            </w:r>
            <w:r>
              <w:rPr>
                <w:rFonts w:hint="eastAsia"/>
                <w:color w:val="auto"/>
              </w:rPr>
              <w:t>主要为废矿物油</w:t>
            </w:r>
            <w:r>
              <w:rPr>
                <w:rFonts w:hint="eastAsia"/>
                <w:color w:val="auto"/>
                <w:lang w:eastAsia="zh-CN"/>
              </w:rPr>
              <w:t>、含油</w:t>
            </w:r>
            <w:r>
              <w:rPr>
                <w:rFonts w:hint="eastAsia"/>
                <w:color w:val="auto"/>
                <w:shd w:val="clear" w:fill="FFFFFF"/>
                <w:lang w:eastAsia="zh-CN"/>
              </w:rPr>
              <w:t>废</w:t>
            </w:r>
            <w:r>
              <w:rPr>
                <w:rFonts w:hint="eastAsia"/>
                <w:color w:val="auto"/>
                <w:lang w:eastAsia="zh-CN"/>
              </w:rPr>
              <w:t>抹布手套</w:t>
            </w:r>
            <w:r>
              <w:rPr>
                <w:color w:val="auto"/>
              </w:rPr>
              <w:t>，</w:t>
            </w:r>
            <w:r>
              <w:rPr>
                <w:rFonts w:hint="eastAsia"/>
                <w:color w:val="auto"/>
              </w:rPr>
              <w:t>需</w:t>
            </w:r>
            <w:r>
              <w:rPr>
                <w:color w:val="auto"/>
              </w:rPr>
              <w:t>用专门的密闭容器收集，并在厂区内设立专门的堆存场所，并加强管理。</w:t>
            </w:r>
            <w:r>
              <w:rPr>
                <w:rFonts w:hint="eastAsia"/>
                <w:color w:val="auto"/>
              </w:rPr>
              <w:t>废矿物油</w:t>
            </w:r>
            <w:r>
              <w:rPr>
                <w:rFonts w:hint="eastAsia"/>
                <w:color w:val="auto"/>
                <w:lang w:eastAsia="zh-CN"/>
              </w:rPr>
              <w:t>、含油</w:t>
            </w:r>
            <w:r>
              <w:rPr>
                <w:rFonts w:hint="eastAsia"/>
                <w:color w:val="auto"/>
                <w:shd w:val="clear" w:fill="FFFFFF"/>
                <w:lang w:eastAsia="zh-CN"/>
              </w:rPr>
              <w:t>废</w:t>
            </w:r>
            <w:r>
              <w:rPr>
                <w:rFonts w:hint="eastAsia"/>
                <w:color w:val="auto"/>
                <w:lang w:eastAsia="zh-CN"/>
              </w:rPr>
              <w:t>抹布手套</w:t>
            </w:r>
            <w:r>
              <w:rPr>
                <w:color w:val="auto"/>
              </w:rPr>
              <w:t>在</w:t>
            </w:r>
            <w:r>
              <w:rPr>
                <w:rFonts w:hint="eastAsia"/>
                <w:color w:val="auto"/>
              </w:rPr>
              <w:t>危废暂存间</w:t>
            </w:r>
            <w:r>
              <w:rPr>
                <w:color w:val="auto"/>
              </w:rPr>
              <w:t>内贮存时，严格按照</w:t>
            </w:r>
            <w:r>
              <w:rPr>
                <w:rFonts w:hint="eastAsia"/>
                <w:color w:val="auto"/>
              </w:rPr>
              <w:t>《危险废物贮存污染控制标准》（</w:t>
            </w:r>
            <w:r>
              <w:rPr>
                <w:color w:val="auto"/>
              </w:rPr>
              <w:t>GB18597-2023</w:t>
            </w:r>
            <w:r>
              <w:rPr>
                <w:rFonts w:hint="eastAsia"/>
                <w:color w:val="auto"/>
              </w:rPr>
              <w:t>）</w:t>
            </w:r>
            <w:r>
              <w:rPr>
                <w:color w:val="auto"/>
              </w:rPr>
              <w:t>要求</w:t>
            </w:r>
            <w:r>
              <w:rPr>
                <w:rFonts w:hint="eastAsia"/>
                <w:color w:val="auto"/>
              </w:rPr>
              <w:t>进行存放</w:t>
            </w:r>
            <w:r>
              <w:rPr>
                <w:color w:val="auto"/>
              </w:rPr>
              <w:t>，</w:t>
            </w:r>
            <w:r>
              <w:rPr>
                <w:rFonts w:hint="eastAsia"/>
                <w:color w:val="auto"/>
              </w:rPr>
              <w:t>盛装容器</w:t>
            </w:r>
            <w:r>
              <w:rPr>
                <w:color w:val="auto"/>
              </w:rPr>
              <w:t>必须粘贴符合</w:t>
            </w:r>
            <w:r>
              <w:rPr>
                <w:rFonts w:hint="eastAsia"/>
                <w:color w:val="auto"/>
              </w:rPr>
              <w:t>《危险废物识别标志设置技术规范》（</w:t>
            </w:r>
            <w:r>
              <w:rPr>
                <w:color w:val="auto"/>
              </w:rPr>
              <w:t>HJ1276—2022</w:t>
            </w:r>
            <w:r>
              <w:rPr>
                <w:rFonts w:hint="eastAsia"/>
                <w:color w:val="auto"/>
              </w:rPr>
              <w:t>）的</w:t>
            </w:r>
            <w:r>
              <w:rPr>
                <w:color w:val="auto"/>
              </w:rPr>
              <w:t>标签</w:t>
            </w:r>
            <w:r>
              <w:rPr>
                <w:rFonts w:hint="eastAsia"/>
                <w:color w:val="auto"/>
              </w:rPr>
              <w:t>，按照《危险废物贮存污染控制标准》（</w:t>
            </w:r>
            <w:r>
              <w:rPr>
                <w:color w:val="auto"/>
              </w:rPr>
              <w:t>GB18597-2023</w:t>
            </w:r>
            <w:r>
              <w:rPr>
                <w:rFonts w:hint="eastAsia"/>
                <w:color w:val="auto"/>
              </w:rPr>
              <w:t>）要求</w:t>
            </w:r>
            <w:r>
              <w:rPr>
                <w:color w:val="auto"/>
              </w:rPr>
              <w:t>进行管理，</w:t>
            </w:r>
            <w:r>
              <w:rPr>
                <w:rFonts w:hint="eastAsia"/>
                <w:color w:val="auto"/>
                <w:lang w:eastAsia="zh-CN"/>
              </w:rPr>
              <w:t>做好</w:t>
            </w:r>
            <w:r>
              <w:rPr>
                <w:rFonts w:hint="eastAsia"/>
                <w:color w:val="auto"/>
              </w:rPr>
              <w:t>危险废物情况的记录，加强日常贮存的管理工作，并在转运过程中严格按照《危险废物转移联单管理办法》执行好五联单转运制度</w:t>
            </w:r>
            <w:r>
              <w:rPr>
                <w:color w:val="auto"/>
              </w:rPr>
              <w:t>；</w:t>
            </w:r>
            <w:r>
              <w:rPr>
                <w:rFonts w:hint="eastAsia"/>
                <w:color w:val="auto"/>
              </w:rPr>
              <w:t>运行前与有资质单位签订危险废物处置协议，明确危险废物处置去向。</w:t>
            </w:r>
          </w:p>
          <w:p>
            <w:pPr>
              <w:pStyle w:val="84"/>
              <w:ind w:firstLine="482"/>
              <w:rPr>
                <w:color w:val="auto"/>
              </w:rPr>
            </w:pPr>
            <w:r>
              <w:rPr>
                <w:rFonts w:hint="eastAsia"/>
                <w:color w:val="auto"/>
              </w:rPr>
              <w:t>3.</w:t>
            </w:r>
            <w:r>
              <w:rPr>
                <w:color w:val="auto"/>
                <w:shd w:val="clear" w:fill="FFFFFF"/>
              </w:rPr>
              <w:t>固废</w:t>
            </w:r>
            <w:r>
              <w:rPr>
                <w:color w:val="auto"/>
              </w:rPr>
              <w:t>堆放、贮存场所的环境影响</w:t>
            </w:r>
          </w:p>
          <w:p>
            <w:pPr>
              <w:ind w:firstLine="480"/>
              <w:rPr>
                <w:color w:val="auto"/>
                <w:lang w:bidi="en-US"/>
              </w:rPr>
            </w:pPr>
            <w:r>
              <w:rPr>
                <w:color w:val="auto"/>
                <w:lang w:bidi="en-US"/>
              </w:rPr>
              <w:t>本项目危险废物与一般工业固体废物分类收集、贮存。</w:t>
            </w:r>
          </w:p>
          <w:p>
            <w:pPr>
              <w:pStyle w:val="96"/>
              <w:ind w:firstLine="482"/>
              <w:rPr>
                <w:b/>
                <w:color w:val="auto"/>
              </w:rPr>
            </w:pPr>
            <w:r>
              <w:rPr>
                <w:rFonts w:hint="eastAsia"/>
                <w:b/>
                <w:color w:val="auto"/>
              </w:rPr>
              <w:t>（1）</w:t>
            </w:r>
            <w:r>
              <w:rPr>
                <w:b/>
                <w:color w:val="auto"/>
              </w:rPr>
              <w:t>危险废物</w:t>
            </w:r>
          </w:p>
          <w:p>
            <w:pPr>
              <w:ind w:firstLine="480"/>
              <w:rPr>
                <w:color w:val="auto"/>
                <w:lang w:bidi="en-US"/>
              </w:rPr>
            </w:pPr>
            <w:r>
              <w:rPr>
                <w:rFonts w:hint="eastAsia"/>
                <w:color w:val="auto"/>
                <w:lang w:bidi="en-US"/>
              </w:rPr>
              <w:t>废矿物油</w:t>
            </w:r>
            <w:r>
              <w:rPr>
                <w:rFonts w:hint="eastAsia"/>
                <w:color w:val="auto"/>
                <w:lang w:eastAsia="zh-CN" w:bidi="en-US"/>
              </w:rPr>
              <w:t>、</w:t>
            </w:r>
            <w:r>
              <w:rPr>
                <w:rFonts w:hint="eastAsia"/>
                <w:color w:val="auto"/>
                <w:lang w:bidi="en-US"/>
              </w:rPr>
              <w:t>含油</w:t>
            </w:r>
            <w:r>
              <w:rPr>
                <w:rFonts w:hint="eastAsia"/>
                <w:color w:val="auto"/>
                <w:shd w:val="clear" w:fill="FFFFFF"/>
                <w:lang w:bidi="en-US"/>
              </w:rPr>
              <w:t>废</w:t>
            </w:r>
            <w:r>
              <w:rPr>
                <w:rFonts w:hint="eastAsia"/>
                <w:color w:val="auto"/>
                <w:lang w:bidi="en-US"/>
              </w:rPr>
              <w:t>抹布手套</w:t>
            </w:r>
            <w:r>
              <w:rPr>
                <w:color w:val="auto"/>
                <w:lang w:bidi="en-US"/>
              </w:rPr>
              <w:t>贮存应满足《危险废物贮存污染控制标准》（GB18597-2023）要求</w:t>
            </w:r>
            <w:r>
              <w:rPr>
                <w:rFonts w:hint="eastAsia"/>
                <w:color w:val="auto"/>
                <w:lang w:bidi="en-US"/>
              </w:rPr>
              <w:t>。</w:t>
            </w:r>
            <w:r>
              <w:rPr>
                <w:color w:val="auto"/>
                <w:lang w:bidi="en-US"/>
              </w:rPr>
              <w:t>同时建设单位必须按照《中华人民共和国固体废物污染环境防治法》对危险废物污染防治的特别规定，向</w:t>
            </w:r>
            <w:r>
              <w:rPr>
                <w:rFonts w:hint="eastAsia"/>
                <w:color w:val="auto"/>
                <w:lang w:bidi="en-US"/>
              </w:rPr>
              <w:t>曲靖市生态环境局师宗分局</w:t>
            </w:r>
            <w:r>
              <w:rPr>
                <w:color w:val="auto"/>
                <w:lang w:bidi="en-US"/>
              </w:rPr>
              <w:t>申报登记本项目产生的危险废物</w:t>
            </w:r>
            <w:r>
              <w:rPr>
                <w:rFonts w:hint="eastAsia"/>
                <w:color w:val="auto"/>
                <w:lang w:eastAsia="zh-CN" w:bidi="en-US"/>
              </w:rPr>
              <w:t>，在</w:t>
            </w:r>
            <w:r>
              <w:rPr>
                <w:rFonts w:hint="eastAsia"/>
                <w:color w:val="auto"/>
                <w:lang w:bidi="en-US"/>
              </w:rPr>
              <w:t>暂存和处置过程中</w:t>
            </w:r>
            <w:r>
              <w:rPr>
                <w:color w:val="auto"/>
                <w:lang w:bidi="en-US"/>
              </w:rPr>
              <w:t>按照相关要求对危险废物进行全过程严格管理</w:t>
            </w:r>
            <w:r>
              <w:rPr>
                <w:rFonts w:hint="eastAsia"/>
                <w:color w:val="auto"/>
                <w:lang w:bidi="en-US"/>
              </w:rPr>
              <w:t>，按要求填写危险废物台账</w:t>
            </w:r>
            <w:r>
              <w:rPr>
                <w:color w:val="auto"/>
                <w:lang w:bidi="en-US"/>
              </w:rPr>
              <w:t>。</w:t>
            </w:r>
          </w:p>
          <w:p>
            <w:pPr>
              <w:pStyle w:val="96"/>
              <w:ind w:firstLine="480"/>
              <w:rPr>
                <w:color w:val="auto"/>
                <w:lang w:bidi="en-US"/>
              </w:rPr>
            </w:pPr>
            <w:r>
              <w:rPr>
                <w:color w:val="auto"/>
                <w:lang w:bidi="en-US"/>
              </w:rPr>
              <w:t>同时，项目的危险废物采取分类收集和储存的方式，危险废物在送出厂之前暂存</w:t>
            </w:r>
            <w:r>
              <w:rPr>
                <w:rFonts w:hint="eastAsia"/>
                <w:color w:val="auto"/>
                <w:lang w:bidi="en-US"/>
              </w:rPr>
              <w:t>危废暂存间</w:t>
            </w:r>
            <w:r>
              <w:rPr>
                <w:color w:val="auto"/>
                <w:lang w:bidi="en-US"/>
              </w:rPr>
              <w:t>内，严格按照《危险废物贮存污染控制标准》（GB18597-2023）相关规定进行暂存。危险废物的盛装容器要密封，耐腐蚀，不渗漏，并进行定期检查。</w:t>
            </w:r>
          </w:p>
          <w:p>
            <w:pPr>
              <w:pStyle w:val="96"/>
              <w:ind w:firstLine="480"/>
              <w:rPr>
                <w:color w:val="auto"/>
                <w:lang w:bidi="en-US"/>
              </w:rPr>
            </w:pPr>
            <w:r>
              <w:rPr>
                <w:rFonts w:hint="eastAsia"/>
                <w:color w:val="auto"/>
                <w:lang w:bidi="en-US"/>
              </w:rPr>
              <w:t>危险废物收集、贮存、转运</w:t>
            </w:r>
            <w:r>
              <w:rPr>
                <w:color w:val="auto"/>
                <w:lang w:bidi="en-US"/>
              </w:rPr>
              <w:t>应安排专人负责，必须</w:t>
            </w:r>
            <w:r>
              <w:rPr>
                <w:rFonts w:hint="eastAsia"/>
                <w:color w:val="auto"/>
                <w:lang w:eastAsia="zh-CN" w:bidi="en-US"/>
              </w:rPr>
              <w:t>做好</w:t>
            </w:r>
            <w:r>
              <w:rPr>
                <w:color w:val="auto"/>
                <w:lang w:bidi="en-US"/>
              </w:rPr>
              <w:t>危险废物记录，记录上须注明危险废物的名称、来源、数量、特性和包装容器的类别、入库日期、存放库位、废物出库日期及接收单位名称；危险废物的记录和货单在危险废物</w:t>
            </w:r>
            <w:r>
              <w:rPr>
                <w:color w:val="auto"/>
                <w:shd w:val="clear" w:fill="FFFFFF"/>
                <w:lang w:bidi="en-US"/>
              </w:rPr>
              <w:t>回取</w:t>
            </w:r>
            <w:r>
              <w:rPr>
                <w:color w:val="auto"/>
                <w:lang w:bidi="en-US"/>
              </w:rPr>
              <w:t>后应继续保留三年，实行危险废物转移联单管理制度</w:t>
            </w:r>
            <w:r>
              <w:rPr>
                <w:rFonts w:hint="eastAsia"/>
                <w:color w:val="auto"/>
                <w:lang w:bidi="en-US"/>
              </w:rPr>
              <w:t>。</w:t>
            </w:r>
          </w:p>
          <w:p>
            <w:pPr>
              <w:pStyle w:val="96"/>
              <w:ind w:firstLine="482"/>
              <w:rPr>
                <w:b/>
                <w:color w:val="auto"/>
                <w:lang w:bidi="en-US"/>
              </w:rPr>
            </w:pPr>
            <w:r>
              <w:rPr>
                <w:rFonts w:hint="eastAsia"/>
                <w:b/>
                <w:color w:val="auto"/>
                <w:lang w:bidi="en-US"/>
              </w:rPr>
              <w:t>（2）</w:t>
            </w:r>
            <w:r>
              <w:rPr>
                <w:b/>
                <w:color w:val="auto"/>
                <w:lang w:bidi="en-US"/>
              </w:rPr>
              <w:t>一般</w:t>
            </w:r>
            <w:r>
              <w:rPr>
                <w:rFonts w:hint="eastAsia"/>
                <w:b/>
                <w:color w:val="auto"/>
                <w:lang w:bidi="en-US"/>
              </w:rPr>
              <w:t>工业</w:t>
            </w:r>
            <w:r>
              <w:rPr>
                <w:b/>
                <w:color w:val="auto"/>
                <w:lang w:bidi="en-US"/>
              </w:rPr>
              <w:t>固废</w:t>
            </w:r>
          </w:p>
          <w:p>
            <w:pPr>
              <w:ind w:firstLine="480"/>
              <w:rPr>
                <w:color w:val="auto"/>
                <w:lang w:bidi="en-US"/>
              </w:rPr>
            </w:pPr>
            <w:r>
              <w:rPr>
                <w:rFonts w:hint="eastAsia"/>
                <w:color w:val="auto"/>
                <w:lang w:bidi="en-US"/>
              </w:rPr>
              <w:t>一般固废</w:t>
            </w:r>
            <w:r>
              <w:rPr>
                <w:rFonts w:hint="eastAsia"/>
                <w:color w:val="auto"/>
                <w:shd w:val="clear" w:fill="FFFFFF"/>
                <w:lang w:bidi="en-US"/>
              </w:rPr>
              <w:t>间</w:t>
            </w:r>
            <w:r>
              <w:rPr>
                <w:rFonts w:hint="eastAsia"/>
                <w:color w:val="auto"/>
                <w:lang w:bidi="en-US"/>
              </w:rPr>
              <w:t>建设需要按照</w:t>
            </w:r>
            <w:r>
              <w:rPr>
                <w:color w:val="auto"/>
              </w:rPr>
              <w:t>《一般工业固体废物贮存</w:t>
            </w:r>
            <w:r>
              <w:rPr>
                <w:rFonts w:hint="eastAsia"/>
                <w:color w:val="auto"/>
              </w:rPr>
              <w:t>和填埋</w:t>
            </w:r>
            <w:r>
              <w:rPr>
                <w:color w:val="auto"/>
              </w:rPr>
              <w:t>污染控制标准》（GB18599-2</w:t>
            </w:r>
            <w:r>
              <w:rPr>
                <w:rFonts w:hint="eastAsia"/>
                <w:color w:val="auto"/>
              </w:rPr>
              <w:t>020</w:t>
            </w:r>
            <w:r>
              <w:rPr>
                <w:color w:val="auto"/>
              </w:rPr>
              <w:t>）</w:t>
            </w:r>
            <w:r>
              <w:rPr>
                <w:rFonts w:hint="eastAsia"/>
                <w:color w:val="auto"/>
              </w:rPr>
              <w:t>要求</w:t>
            </w:r>
            <w:r>
              <w:rPr>
                <w:rFonts w:hint="eastAsia"/>
                <w:color w:val="auto"/>
                <w:lang w:bidi="en-US"/>
              </w:rPr>
              <w:t>采用</w:t>
            </w:r>
            <w:r>
              <w:rPr>
                <w:color w:val="auto"/>
                <w:lang w:bidi="en-US"/>
              </w:rPr>
              <w:t>水泥进行硬化。</w:t>
            </w:r>
          </w:p>
          <w:p>
            <w:pPr>
              <w:ind w:firstLine="480"/>
              <w:rPr>
                <w:color w:val="auto"/>
                <w:lang w:bidi="en-US"/>
              </w:rPr>
            </w:pPr>
            <w:r>
              <w:rPr>
                <w:color w:val="auto"/>
                <w:lang w:bidi="en-US"/>
              </w:rPr>
              <w:t>综上，通过建立完善的防治措施和严密管理制度，将可使固体废物收集、贮存对环境的影响减少至最低限度。</w:t>
            </w:r>
          </w:p>
          <w:p>
            <w:pPr>
              <w:pStyle w:val="61"/>
              <w:spacing w:before="60" w:after="60"/>
              <w:rPr>
                <w:color w:val="auto"/>
              </w:rPr>
            </w:pPr>
            <w:r>
              <w:rPr>
                <w:rFonts w:hint="eastAsia"/>
                <w:color w:val="auto"/>
              </w:rPr>
              <w:t>4.2.5地下水环境影响和保护措施</w:t>
            </w:r>
          </w:p>
          <w:p>
            <w:pPr>
              <w:pStyle w:val="75"/>
              <w:rPr>
                <w:color w:val="auto"/>
              </w:rPr>
            </w:pPr>
            <w:r>
              <w:rPr>
                <w:rFonts w:hint="eastAsia"/>
                <w:color w:val="auto"/>
              </w:rPr>
              <w:t>4.2.5.1污染源及污染途径</w:t>
            </w:r>
          </w:p>
          <w:p>
            <w:pPr>
              <w:ind w:firstLine="480"/>
              <w:rPr>
                <w:color w:val="auto"/>
              </w:rPr>
            </w:pPr>
            <w:r>
              <w:rPr>
                <w:color w:val="auto"/>
              </w:rPr>
              <w:t>根据工程分析，本项目对地下水水质污染主要污染源</w:t>
            </w:r>
            <w:r>
              <w:rPr>
                <w:rFonts w:hint="eastAsia"/>
                <w:color w:val="auto"/>
              </w:rPr>
              <w:t>及污染途径</w:t>
            </w:r>
            <w:r>
              <w:rPr>
                <w:color w:val="auto"/>
              </w:rPr>
              <w:t>如下：</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一体化污水处理站、污水池等，一体化污水处理站、污水池若发生跑冒滴漏等非正常情况可能会渗入地下水，对地下水环境造成影响。</w:t>
            </w:r>
          </w:p>
          <w:p>
            <w:pPr>
              <w:ind w:firstLine="48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color w:val="auto"/>
              </w:rPr>
              <w:t>危废暂存间，危险废物若是存放不善</w:t>
            </w:r>
            <w:r>
              <w:rPr>
                <w:rFonts w:hint="eastAsia"/>
                <w:color w:val="auto"/>
              </w:rPr>
              <w:t>导致泄漏</w:t>
            </w:r>
            <w:r>
              <w:rPr>
                <w:color w:val="auto"/>
              </w:rPr>
              <w:t>可能会影响地下水的环境质量</w:t>
            </w:r>
            <w:r>
              <w:rPr>
                <w:rFonts w:hint="eastAsia"/>
                <w:color w:val="auto"/>
              </w:rPr>
              <w:t>。</w:t>
            </w:r>
          </w:p>
          <w:p>
            <w:pPr>
              <w:pStyle w:val="75"/>
              <w:rPr>
                <w:color w:val="auto"/>
              </w:rPr>
            </w:pPr>
            <w:r>
              <w:rPr>
                <w:rFonts w:hint="eastAsia"/>
                <w:color w:val="auto"/>
              </w:rPr>
              <w:t>4.2.5.2污染影响分析</w:t>
            </w:r>
          </w:p>
          <w:p>
            <w:pPr>
              <w:pStyle w:val="77"/>
              <w:ind w:firstLine="482"/>
              <w:rPr>
                <w:color w:val="auto"/>
              </w:rPr>
            </w:pPr>
            <w:r>
              <w:rPr>
                <w:rFonts w:hint="eastAsia"/>
                <w:color w:val="auto"/>
              </w:rPr>
              <w:t>1.</w:t>
            </w:r>
            <w:r>
              <w:rPr>
                <w:color w:val="auto"/>
              </w:rPr>
              <w:t>正常状况</w:t>
            </w:r>
          </w:p>
          <w:p>
            <w:pPr>
              <w:ind w:firstLine="480"/>
              <w:rPr>
                <w:color w:val="auto"/>
              </w:rPr>
            </w:pPr>
            <w:r>
              <w:rPr>
                <w:color w:val="auto"/>
              </w:rPr>
              <w:t>项目运营期</w:t>
            </w:r>
            <w:r>
              <w:rPr>
                <w:rFonts w:hint="eastAsia"/>
                <w:color w:val="auto"/>
              </w:rPr>
              <w:t>可能影响地下水的污染物有生产废水、废矿物油等</w:t>
            </w:r>
            <w:r>
              <w:rPr>
                <w:color w:val="auto"/>
              </w:rPr>
              <w:t>。</w:t>
            </w:r>
            <w:r>
              <w:rPr>
                <w:rFonts w:hint="eastAsia"/>
                <w:color w:val="auto"/>
              </w:rPr>
              <w:t>项目危废暂存间需</w:t>
            </w:r>
            <w:r>
              <w:rPr>
                <w:color w:val="auto"/>
              </w:rPr>
              <w:t>按照《危险废物贮存污染控制标准》（GB18597-2023）的要求进行</w:t>
            </w:r>
            <w:r>
              <w:rPr>
                <w:rFonts w:hint="eastAsia"/>
                <w:color w:val="auto"/>
              </w:rPr>
              <w:t>重点</w:t>
            </w:r>
            <w:r>
              <w:rPr>
                <w:color w:val="auto"/>
              </w:rPr>
              <w:t>防渗硬化</w:t>
            </w:r>
            <w:r>
              <w:rPr>
                <w:rFonts w:hint="eastAsia"/>
                <w:color w:val="auto"/>
              </w:rPr>
              <w:t>，本项目餐厨垃圾处置车间、一体化污水处理站基础将按照相关要求进行地面硬化和防渗处理</w:t>
            </w:r>
            <w:r>
              <w:rPr>
                <w:color w:val="auto"/>
              </w:rPr>
              <w:t>。</w:t>
            </w:r>
          </w:p>
          <w:p>
            <w:pPr>
              <w:ind w:firstLine="480"/>
              <w:rPr>
                <w:color w:val="auto"/>
              </w:rPr>
            </w:pPr>
            <w:r>
              <w:rPr>
                <w:color w:val="auto"/>
              </w:rPr>
              <w:t>因此，只要本项目对</w:t>
            </w:r>
            <w:r>
              <w:rPr>
                <w:rFonts w:hint="eastAsia"/>
                <w:color w:val="auto"/>
              </w:rPr>
              <w:t>餐厨垃圾处置厂房、危废暂存间、一体化污水处理站</w:t>
            </w:r>
            <w:r>
              <w:rPr>
                <w:color w:val="auto"/>
              </w:rPr>
              <w:t>等区域按照不同的防渗要求做好相关的防渗和防护工作，不会对地下水造成污染。</w:t>
            </w:r>
          </w:p>
          <w:p>
            <w:pPr>
              <w:pStyle w:val="77"/>
              <w:ind w:firstLine="482"/>
              <w:rPr>
                <w:color w:val="auto"/>
              </w:rPr>
            </w:pPr>
            <w:r>
              <w:rPr>
                <w:rFonts w:hint="eastAsia"/>
                <w:color w:val="auto"/>
              </w:rPr>
              <w:t>2.</w:t>
            </w:r>
            <w:r>
              <w:rPr>
                <w:color w:val="auto"/>
              </w:rPr>
              <w:t>非正常状况</w:t>
            </w:r>
          </w:p>
          <w:p>
            <w:pPr>
              <w:ind w:firstLine="480"/>
              <w:rPr>
                <w:color w:val="auto"/>
              </w:rPr>
            </w:pPr>
            <w:r>
              <w:rPr>
                <w:color w:val="auto"/>
              </w:rPr>
              <w:t>本项目非正常状况主要为</w:t>
            </w:r>
            <w:r>
              <w:rPr>
                <w:rFonts w:hint="eastAsia"/>
                <w:color w:val="auto"/>
              </w:rPr>
              <w:t>餐厨垃圾处置厂房、危废暂存间、一体化污水处理站底部防渗层</w:t>
            </w:r>
            <w:r>
              <w:rPr>
                <w:color w:val="auto"/>
              </w:rPr>
              <w:t>破裂</w:t>
            </w:r>
            <w:r>
              <w:rPr>
                <w:rFonts w:hint="eastAsia"/>
                <w:color w:val="auto"/>
              </w:rPr>
              <w:t>，环境风险物质如高浓度有机废水、废矿物油等油类物质泄漏</w:t>
            </w:r>
            <w:r>
              <w:rPr>
                <w:color w:val="auto"/>
              </w:rPr>
              <w:t>导致的污染物渗入地下水的情形。</w:t>
            </w:r>
          </w:p>
          <w:p>
            <w:pPr>
              <w:ind w:firstLine="482"/>
              <w:rPr>
                <w:b/>
                <w:color w:val="auto"/>
              </w:rPr>
            </w:pPr>
            <w:r>
              <w:rPr>
                <w:rFonts w:hint="eastAsia"/>
                <w:b/>
                <w:color w:val="auto"/>
              </w:rPr>
              <w:t>（1）生产废水泄漏影响分析</w:t>
            </w:r>
          </w:p>
          <w:p>
            <w:pPr>
              <w:ind w:firstLine="480"/>
              <w:rPr>
                <w:color w:val="auto"/>
              </w:rPr>
            </w:pPr>
            <w:r>
              <w:rPr>
                <w:rFonts w:hint="eastAsia"/>
                <w:color w:val="auto"/>
              </w:rPr>
              <w:t>因操作失误、设备失修、腐蚀、工艺失控、设备被破坏等原因，造成厂区污水收集管道、一体化污水站</w:t>
            </w:r>
            <w:r>
              <w:rPr>
                <w:rFonts w:hint="eastAsia"/>
                <w:color w:val="auto"/>
                <w:shd w:val="clear" w:fill="FFFFFF"/>
              </w:rPr>
              <w:t>各池</w:t>
            </w:r>
            <w:r>
              <w:rPr>
                <w:rFonts w:hint="eastAsia"/>
                <w:color w:val="auto"/>
              </w:rPr>
              <w:t>体、污水池</w:t>
            </w:r>
            <w:r>
              <w:rPr>
                <w:rFonts w:hint="eastAsia"/>
                <w:color w:val="auto"/>
                <w:lang w:eastAsia="zh-CN"/>
              </w:rPr>
              <w:t>泄漏</w:t>
            </w:r>
            <w:r>
              <w:rPr>
                <w:rFonts w:hint="eastAsia"/>
                <w:color w:val="auto"/>
              </w:rPr>
              <w:t>。</w:t>
            </w:r>
            <w:r>
              <w:rPr>
                <w:rFonts w:hint="eastAsia"/>
                <w:color w:val="auto"/>
                <w:lang w:eastAsia="zh-CN"/>
              </w:rPr>
              <w:t>泄漏</w:t>
            </w:r>
            <w:r>
              <w:rPr>
                <w:rFonts w:hint="eastAsia"/>
                <w:color w:val="auto"/>
              </w:rPr>
              <w:t>的高浓度有机废水可导致土壤孔隙堵塞，根据前文分析，本项目生产废水C</w:t>
            </w:r>
            <w:r>
              <w:rPr>
                <w:color w:val="auto"/>
              </w:rPr>
              <w:t>OD</w:t>
            </w:r>
            <w:r>
              <w:rPr>
                <w:rFonts w:hint="eastAsia"/>
                <w:color w:val="auto"/>
              </w:rPr>
              <w:t>浓度为</w:t>
            </w:r>
            <w:r>
              <w:rPr>
                <w:rFonts w:hint="eastAsia"/>
                <w:color w:val="auto"/>
                <w:lang w:val="en-US" w:eastAsia="zh-CN"/>
              </w:rPr>
              <w:t>13800</w:t>
            </w:r>
            <w:r>
              <w:rPr>
                <w:rFonts w:hint="eastAsia"/>
                <w:color w:val="auto"/>
              </w:rPr>
              <w:t>mg/</w:t>
            </w:r>
            <w:r>
              <w:rPr>
                <w:color w:val="auto"/>
              </w:rPr>
              <w:t>L</w:t>
            </w:r>
            <w:r>
              <w:rPr>
                <w:rFonts w:hint="eastAsia"/>
                <w:color w:val="auto"/>
              </w:rPr>
              <w:t>，若发生泄漏，容易造成土壤透气、透水性下降及板结，严重影响土壤质量；</w:t>
            </w:r>
            <w:r>
              <w:rPr>
                <w:rFonts w:hint="eastAsia"/>
                <w:color w:val="auto"/>
                <w:shd w:val="clear" w:fill="FFFFFF"/>
              </w:rPr>
              <w:t>若</w:t>
            </w:r>
            <w:r>
              <w:rPr>
                <w:rFonts w:hint="eastAsia"/>
                <w:color w:val="auto"/>
              </w:rPr>
              <w:t>渗入地下，则可能对地下水水质造成污染</w:t>
            </w:r>
            <w:r>
              <w:rPr>
                <w:color w:val="auto"/>
              </w:rPr>
              <w:t>，会对水环境造成严重污染，</w:t>
            </w:r>
            <w:r>
              <w:rPr>
                <w:rFonts w:hint="eastAsia"/>
                <w:color w:val="auto"/>
              </w:rPr>
              <w:t>对周边人群</w:t>
            </w:r>
            <w:r>
              <w:rPr>
                <w:color w:val="auto"/>
              </w:rPr>
              <w:t>健康造成危害</w:t>
            </w:r>
            <w:r>
              <w:rPr>
                <w:rFonts w:hint="eastAsia"/>
                <w:color w:val="auto"/>
              </w:rPr>
              <w:t>，</w:t>
            </w:r>
            <w:r>
              <w:rPr>
                <w:color w:val="auto"/>
              </w:rPr>
              <w:t>所含污染物质大多属于易于生物降解的有机物，在它们排入地下水体后，会迅速地耗掉水中的溶解氧，由于缺氧还会使水体转变为厌氧状态，这样会使水质恶化、产生臭味、影响</w:t>
            </w:r>
            <w:r>
              <w:rPr>
                <w:rFonts w:hint="eastAsia"/>
                <w:color w:val="auto"/>
              </w:rPr>
              <w:t>饮用水</w:t>
            </w:r>
            <w:r>
              <w:rPr>
                <w:color w:val="auto"/>
              </w:rPr>
              <w:t>健康。同时，废水中的</w:t>
            </w:r>
            <w:r>
              <w:rPr>
                <w:rFonts w:hint="eastAsia"/>
                <w:color w:val="auto"/>
                <w:lang w:eastAsia="zh-CN"/>
              </w:rPr>
              <w:t>致病性微生物</w:t>
            </w:r>
            <w:r>
              <w:rPr>
                <w:color w:val="auto"/>
              </w:rPr>
              <w:t>会大量繁殖，危害人民健康。</w:t>
            </w:r>
          </w:p>
          <w:p>
            <w:pPr>
              <w:ind w:firstLine="480"/>
              <w:rPr>
                <w:color w:val="auto"/>
              </w:rPr>
            </w:pPr>
            <w:r>
              <w:rPr>
                <w:rFonts w:hint="eastAsia"/>
                <w:color w:val="auto"/>
              </w:rPr>
              <w:t>所以，必须在各环节严格管理，杜绝泄漏事故排放的发生。</w:t>
            </w:r>
          </w:p>
          <w:p>
            <w:pPr>
              <w:ind w:firstLine="482"/>
              <w:rPr>
                <w:color w:val="auto"/>
              </w:rPr>
            </w:pPr>
            <w:r>
              <w:rPr>
                <w:rFonts w:hint="eastAsia"/>
                <w:b/>
                <w:color w:val="auto"/>
              </w:rPr>
              <w:t>（2）危险废物泄漏影响分析</w:t>
            </w:r>
          </w:p>
          <w:p>
            <w:pPr>
              <w:pStyle w:val="96"/>
              <w:ind w:firstLine="480"/>
              <w:rPr>
                <w:color w:val="auto"/>
              </w:rPr>
            </w:pPr>
            <w:r>
              <w:rPr>
                <w:rFonts w:hint="eastAsia"/>
                <w:color w:val="auto"/>
              </w:rPr>
              <w:t>本项目危废暂存间暂存的废矿物油量很少，且危废暂存间按照重点防渗要求进行防渗，基本不会发生破损泄漏的情况。</w:t>
            </w:r>
          </w:p>
          <w:p>
            <w:pPr>
              <w:ind w:firstLine="480"/>
              <w:rPr>
                <w:color w:val="auto"/>
              </w:rPr>
            </w:pPr>
            <w:r>
              <w:rPr>
                <w:color w:val="auto"/>
              </w:rPr>
              <w:t>项目运营后，供水均来自自来水供水，不进行地下水的开采，因此，不会造成取用地下水而引起的环境水文地质问题。</w:t>
            </w:r>
          </w:p>
          <w:p>
            <w:pPr>
              <w:ind w:firstLine="480"/>
              <w:rPr>
                <w:color w:val="auto"/>
              </w:rPr>
            </w:pPr>
            <w:r>
              <w:rPr>
                <w:color w:val="auto"/>
              </w:rPr>
              <w:t>项目厂区实行雨污分流制，</w:t>
            </w:r>
            <w:r>
              <w:rPr>
                <w:rFonts w:hint="eastAsia"/>
                <w:color w:val="auto"/>
              </w:rPr>
              <w:t>餐厨垃圾处置车间、污水处理站、</w:t>
            </w:r>
            <w:r>
              <w:rPr>
                <w:color w:val="auto"/>
              </w:rPr>
              <w:t>危废暂存间</w:t>
            </w:r>
            <w:r>
              <w:rPr>
                <w:rFonts w:hint="eastAsia"/>
                <w:color w:val="auto"/>
              </w:rPr>
              <w:t>、成品</w:t>
            </w:r>
            <w:r>
              <w:rPr>
                <w:rFonts w:hint="eastAsia"/>
                <w:color w:val="auto"/>
                <w:lang w:bidi="en-US"/>
              </w:rPr>
              <w:t>油罐</w:t>
            </w:r>
            <w:r>
              <w:rPr>
                <w:color w:val="auto"/>
              </w:rPr>
              <w:t>按环评要求进行重点防渗；</w:t>
            </w:r>
            <w:r>
              <w:rPr>
                <w:rFonts w:hint="eastAsia"/>
                <w:color w:val="auto"/>
              </w:rPr>
              <w:t>临时暂存库、污水池等按照一般防渗</w:t>
            </w:r>
            <w:r>
              <w:rPr>
                <w:color w:val="auto"/>
              </w:rPr>
              <w:t>；除重点、一般防渗区外的区域采用混凝土硬化防渗。</w:t>
            </w:r>
          </w:p>
          <w:p>
            <w:pPr>
              <w:ind w:firstLine="480"/>
              <w:rPr>
                <w:color w:val="auto"/>
              </w:rPr>
            </w:pPr>
            <w:r>
              <w:rPr>
                <w:color w:val="auto"/>
              </w:rPr>
              <w:t>建设</w:t>
            </w:r>
            <w:r>
              <w:rPr>
                <w:rFonts w:hint="eastAsia"/>
                <w:color w:val="auto"/>
                <w:lang w:eastAsia="zh-CN"/>
              </w:rPr>
              <w:t>单位</w:t>
            </w:r>
            <w:r>
              <w:rPr>
                <w:color w:val="auto"/>
              </w:rPr>
              <w:t>加强巡查，每天检查，减少破损污染影响，一旦破损</w:t>
            </w:r>
            <w:r>
              <w:rPr>
                <w:rFonts w:hint="eastAsia"/>
                <w:color w:val="auto"/>
                <w:lang w:eastAsia="zh-CN"/>
              </w:rPr>
              <w:t>泄漏</w:t>
            </w:r>
            <w:r>
              <w:rPr>
                <w:color w:val="auto"/>
              </w:rPr>
              <w:t>立即封堵，及时修复管网，清除受污染土壤。</w:t>
            </w:r>
          </w:p>
          <w:p>
            <w:pPr>
              <w:ind w:firstLine="480"/>
              <w:rPr>
                <w:color w:val="auto"/>
              </w:rPr>
            </w:pPr>
            <w:r>
              <w:rPr>
                <w:color w:val="auto"/>
              </w:rPr>
              <w:t>项目产生的各类固体废物得到妥善处置，一般工业固体废物贮存和处置执行《一般工业固体废物贮存</w:t>
            </w:r>
            <w:r>
              <w:rPr>
                <w:rFonts w:hint="eastAsia"/>
                <w:color w:val="auto"/>
              </w:rPr>
              <w:t>和填埋</w:t>
            </w:r>
            <w:r>
              <w:rPr>
                <w:color w:val="auto"/>
              </w:rPr>
              <w:t>污染控制标准》（GB18599-2</w:t>
            </w:r>
            <w:r>
              <w:rPr>
                <w:rFonts w:hint="eastAsia"/>
                <w:color w:val="auto"/>
              </w:rPr>
              <w:t>020</w:t>
            </w:r>
            <w:r>
              <w:rPr>
                <w:color w:val="auto"/>
              </w:rPr>
              <w:t>）；项目设有专门的危险废物暂存</w:t>
            </w:r>
            <w:r>
              <w:rPr>
                <w:rFonts w:hint="eastAsia"/>
                <w:color w:val="auto"/>
              </w:rPr>
              <w:t>间</w:t>
            </w:r>
            <w:r>
              <w:rPr>
                <w:color w:val="auto"/>
              </w:rPr>
              <w:t>，按《危险废物贮存污染控制标准》（GB18597-2023）相关要求</w:t>
            </w:r>
            <w:r>
              <w:rPr>
                <w:rFonts w:hint="eastAsia"/>
                <w:color w:val="auto"/>
              </w:rPr>
              <w:t>建设</w:t>
            </w:r>
            <w:r>
              <w:rPr>
                <w:color w:val="auto"/>
              </w:rPr>
              <w:t>。采取上述措施后，能避免固体废物渗滤液进入地下水。</w:t>
            </w:r>
          </w:p>
          <w:p>
            <w:pPr>
              <w:ind w:firstLine="480"/>
              <w:rPr>
                <w:color w:val="auto"/>
              </w:rPr>
            </w:pPr>
            <w:r>
              <w:rPr>
                <w:color w:val="auto"/>
              </w:rPr>
              <w:t>经现场调查，</w:t>
            </w:r>
            <w:r>
              <w:rPr>
                <w:rFonts w:hint="eastAsia"/>
                <w:color w:val="auto"/>
              </w:rPr>
              <w:t>项目区</w:t>
            </w:r>
            <w:r>
              <w:rPr>
                <w:color w:val="auto"/>
              </w:rPr>
              <w:t>内无</w:t>
            </w:r>
            <w:r>
              <w:rPr>
                <w:rFonts w:hint="eastAsia"/>
                <w:color w:val="auto"/>
              </w:rPr>
              <w:t>集中式地下水</w:t>
            </w:r>
            <w:r>
              <w:rPr>
                <w:color w:val="auto"/>
              </w:rPr>
              <w:t>饮用水源，本项目不会造成饮用水水源污染。综上所述，在采用良好的防渗、防腐措施的情况下，项目正常运营过程中对地下水环境影响不大。</w:t>
            </w:r>
          </w:p>
          <w:p>
            <w:pPr>
              <w:pStyle w:val="75"/>
              <w:rPr>
                <w:color w:val="auto"/>
              </w:rPr>
            </w:pPr>
            <w:r>
              <w:rPr>
                <w:rFonts w:hint="eastAsia"/>
                <w:color w:val="auto"/>
              </w:rPr>
              <w:t>4.2.5.3</w:t>
            </w:r>
            <w:r>
              <w:rPr>
                <w:color w:val="auto"/>
              </w:rPr>
              <w:t>地下水环境保护措施</w:t>
            </w:r>
          </w:p>
          <w:p>
            <w:pPr>
              <w:ind w:firstLine="480"/>
              <w:rPr>
                <w:color w:val="auto"/>
              </w:rPr>
            </w:pPr>
            <w:r>
              <w:rPr>
                <w:rFonts w:hint="eastAsia"/>
                <w:color w:val="auto"/>
              </w:rPr>
              <w:t>根据分析，拟建项目按照规范和要求对各车间等采取有效的防雨、防渗漏措施，并加强对各种原料、固体废物的管理，在正常运行工况下，运营期不会对地下水环境质量造成显著的影响。</w:t>
            </w:r>
          </w:p>
          <w:p>
            <w:pPr>
              <w:ind w:firstLine="480"/>
              <w:rPr>
                <w:color w:val="auto"/>
              </w:rPr>
            </w:pPr>
            <w:r>
              <w:rPr>
                <w:rFonts w:hint="eastAsia"/>
                <w:color w:val="auto"/>
              </w:rPr>
              <w:t>针对可能发生的地下水污染，项目运营期地下水污染防治措施将按照“源头控制、分区防治、污染监控、应急响应”相结合的原则，从污染物的产生、渗漏、扩散、应急响应全方位进行防控。</w:t>
            </w:r>
          </w:p>
          <w:p>
            <w:pPr>
              <w:ind w:firstLine="480"/>
              <w:rPr>
                <w:color w:val="auto"/>
              </w:rPr>
            </w:pPr>
            <w:r>
              <w:rPr>
                <w:color w:val="auto"/>
              </w:rPr>
              <w:t>针对上述可能出现的污染环节，按照“源头控制、分区防控、污染监控、应急响应”的地下水环境保护原则。</w:t>
            </w:r>
          </w:p>
          <w:p>
            <w:pPr>
              <w:pStyle w:val="84"/>
              <w:ind w:firstLine="482"/>
              <w:rPr>
                <w:color w:val="auto"/>
              </w:rPr>
            </w:pPr>
            <w:r>
              <w:rPr>
                <w:rFonts w:hint="eastAsia"/>
                <w:color w:val="auto"/>
              </w:rPr>
              <w:t>1.</w:t>
            </w:r>
            <w:r>
              <w:rPr>
                <w:color w:val="auto"/>
              </w:rPr>
              <w:t>源头控制措施</w:t>
            </w:r>
          </w:p>
          <w:p>
            <w:pPr>
              <w:ind w:firstLine="480"/>
              <w:rPr>
                <w:color w:val="auto"/>
              </w:rPr>
            </w:pPr>
            <w:r>
              <w:rPr>
                <w:color w:val="auto"/>
              </w:rPr>
              <w:t>主要包括在</w:t>
            </w:r>
            <w:r>
              <w:rPr>
                <w:rFonts w:hint="eastAsia"/>
                <w:color w:val="auto"/>
              </w:rPr>
              <w:t>餐厨垃圾处置</w:t>
            </w:r>
            <w:r>
              <w:rPr>
                <w:color w:val="auto"/>
              </w:rPr>
              <w:t>车间、</w:t>
            </w:r>
            <w:r>
              <w:rPr>
                <w:rFonts w:hint="eastAsia"/>
                <w:color w:val="auto"/>
              </w:rPr>
              <w:t>污水处理站、</w:t>
            </w:r>
            <w:r>
              <w:rPr>
                <w:color w:val="auto"/>
              </w:rPr>
              <w:t>危废暂存间等单元采取相应防渗措施，防止和降低污染物</w:t>
            </w:r>
            <w:r>
              <w:rPr>
                <w:color w:val="auto"/>
                <w:shd w:val="clear" w:fill="FFFFFF"/>
              </w:rPr>
              <w:t>跑</w:t>
            </w:r>
            <w:r>
              <w:rPr>
                <w:color w:val="auto"/>
              </w:rPr>
              <w:t>、冒、滴、漏，将污染物泄漏的环境风险事故降到最低程度。</w:t>
            </w:r>
          </w:p>
          <w:p>
            <w:pPr>
              <w:ind w:firstLine="480"/>
              <w:rPr>
                <w:color w:val="auto"/>
              </w:rPr>
            </w:pPr>
            <w:r>
              <w:rPr>
                <w:color w:val="auto"/>
              </w:rPr>
              <w:t>企业</w:t>
            </w:r>
            <w:r>
              <w:rPr>
                <w:rFonts w:hint="eastAsia"/>
                <w:color w:val="auto"/>
              </w:rPr>
              <w:t>对生产</w:t>
            </w:r>
            <w:r>
              <w:rPr>
                <w:color w:val="auto"/>
              </w:rPr>
              <w:t>设备定期检修过程产生的废矿物油</w:t>
            </w:r>
            <w:r>
              <w:rPr>
                <w:rFonts w:hint="eastAsia"/>
                <w:color w:val="auto"/>
              </w:rPr>
              <w:t>应</w:t>
            </w:r>
            <w:r>
              <w:rPr>
                <w:color w:val="auto"/>
              </w:rPr>
              <w:t>立即转入</w:t>
            </w:r>
            <w:r>
              <w:rPr>
                <w:rFonts w:hint="eastAsia"/>
                <w:color w:val="auto"/>
              </w:rPr>
              <w:t>密封的</w:t>
            </w:r>
            <w:r>
              <w:rPr>
                <w:color w:val="auto"/>
              </w:rPr>
              <w:t>存储设备。</w:t>
            </w:r>
          </w:p>
          <w:p>
            <w:pPr>
              <w:pStyle w:val="77"/>
              <w:ind w:firstLine="482"/>
              <w:rPr>
                <w:color w:val="auto"/>
              </w:rPr>
            </w:pPr>
            <w:r>
              <w:rPr>
                <w:rFonts w:hint="eastAsia"/>
                <w:color w:val="auto"/>
              </w:rPr>
              <w:t>2.</w:t>
            </w:r>
            <w:r>
              <w:rPr>
                <w:color w:val="auto"/>
              </w:rPr>
              <w:t>分区控制措施</w:t>
            </w:r>
          </w:p>
          <w:p>
            <w:pPr>
              <w:ind w:firstLine="480"/>
              <w:rPr>
                <w:color w:val="auto"/>
              </w:rPr>
            </w:pPr>
            <w:r>
              <w:rPr>
                <w:color w:val="auto"/>
              </w:rPr>
              <w:t>参照《环境影响评价技术导则</w:t>
            </w:r>
            <w:r>
              <w:rPr>
                <w:rFonts w:hint="eastAsia"/>
                <w:color w:val="auto"/>
              </w:rPr>
              <w:t xml:space="preserve"> </w:t>
            </w:r>
            <w:r>
              <w:rPr>
                <w:color w:val="auto"/>
              </w:rPr>
              <w:t>地下水环境》（HJ610-2016）</w:t>
            </w:r>
            <w:r>
              <w:rPr>
                <w:rFonts w:hint="eastAsia"/>
                <w:color w:val="auto"/>
              </w:rPr>
              <w:t>，</w:t>
            </w:r>
            <w:r>
              <w:rPr>
                <w:color w:val="auto"/>
              </w:rPr>
              <w:t>厂区可划分为重点防渗区、一般防渗区和简单防渗区。</w:t>
            </w:r>
          </w:p>
          <w:p>
            <w:pPr>
              <w:keepNext w:val="0"/>
              <w:keepLines w:val="0"/>
              <w:pageBreakBefore w:val="0"/>
              <w:widowControl w:val="0"/>
              <w:kinsoku/>
              <w:wordWrap w:val="0"/>
              <w:overflowPunct/>
              <w:topLinePunct w:val="0"/>
              <w:autoSpaceDE/>
              <w:autoSpaceDN w:val="0"/>
              <w:bidi w:val="0"/>
              <w:adjustRightInd/>
              <w:snapToGrid/>
              <w:spacing w:line="240" w:lineRule="auto"/>
              <w:ind w:firstLine="0" w:firstLineChars="0"/>
              <w:jc w:val="center"/>
              <w:textAlignment w:val="auto"/>
              <w:rPr>
                <w:b/>
                <w:bCs/>
                <w:color w:val="auto"/>
                <w:sz w:val="21"/>
                <w:szCs w:val="21"/>
              </w:rPr>
            </w:pPr>
            <w:r>
              <w:rPr>
                <w:b/>
                <w:bCs/>
                <w:color w:val="auto"/>
                <w:sz w:val="21"/>
                <w:szCs w:val="21"/>
              </w:rPr>
              <w:t>表</w:t>
            </w:r>
            <w:r>
              <w:rPr>
                <w:rFonts w:hint="eastAsia"/>
                <w:b/>
                <w:bCs/>
                <w:color w:val="auto"/>
                <w:sz w:val="21"/>
                <w:szCs w:val="21"/>
              </w:rPr>
              <w:t>4.2</w:t>
            </w:r>
            <w:r>
              <w:rPr>
                <w:b/>
                <w:bCs/>
                <w:color w:val="auto"/>
                <w:sz w:val="21"/>
                <w:szCs w:val="21"/>
              </w:rPr>
              <w:t>-</w:t>
            </w:r>
            <w:r>
              <w:rPr>
                <w:rFonts w:hint="eastAsia"/>
                <w:b/>
                <w:bCs/>
                <w:color w:val="auto"/>
                <w:sz w:val="21"/>
                <w:szCs w:val="21"/>
                <w:lang w:val="en-US" w:eastAsia="zh-CN"/>
              </w:rPr>
              <w:t>32</w:t>
            </w:r>
            <w:r>
              <w:rPr>
                <w:b/>
                <w:bCs/>
                <w:color w:val="auto"/>
                <w:sz w:val="21"/>
                <w:szCs w:val="21"/>
              </w:rPr>
              <w:t xml:space="preserve"> </w:t>
            </w:r>
            <w:r>
              <w:rPr>
                <w:rFonts w:hint="eastAsia"/>
                <w:b/>
                <w:bCs/>
                <w:color w:val="auto"/>
                <w:sz w:val="21"/>
                <w:szCs w:val="21"/>
                <w:lang w:val="en-US" w:eastAsia="zh-CN"/>
              </w:rPr>
              <w:t xml:space="preserve"> </w:t>
            </w:r>
            <w:r>
              <w:rPr>
                <w:b/>
                <w:bCs/>
                <w:color w:val="auto"/>
                <w:sz w:val="21"/>
                <w:szCs w:val="21"/>
              </w:rPr>
              <w:t>地下水污染防渗分区参照</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843"/>
              <w:gridCol w:w="1175"/>
              <w:gridCol w:w="1702"/>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pct"/>
                  <w:shd w:val="clear" w:color="auto" w:fill="auto"/>
                  <w:vAlign w:val="center"/>
                </w:tcPr>
                <w:p>
                  <w:pPr>
                    <w:pStyle w:val="68"/>
                    <w:rPr>
                      <w:b/>
                      <w:bCs/>
                      <w:color w:val="auto"/>
                    </w:rPr>
                  </w:pPr>
                  <w:r>
                    <w:rPr>
                      <w:b/>
                      <w:bCs/>
                      <w:color w:val="auto"/>
                    </w:rPr>
                    <w:t>分区防渗</w:t>
                  </w:r>
                </w:p>
              </w:tc>
              <w:tc>
                <w:tcPr>
                  <w:tcW w:w="1187" w:type="pct"/>
                  <w:shd w:val="clear" w:color="auto" w:fill="auto"/>
                  <w:vAlign w:val="center"/>
                </w:tcPr>
                <w:p>
                  <w:pPr>
                    <w:pStyle w:val="68"/>
                    <w:rPr>
                      <w:b/>
                      <w:bCs/>
                      <w:color w:val="auto"/>
                    </w:rPr>
                  </w:pPr>
                  <w:r>
                    <w:rPr>
                      <w:b/>
                      <w:bCs/>
                      <w:color w:val="auto"/>
                    </w:rPr>
                    <w:t>装置或构筑物</w:t>
                  </w:r>
                </w:p>
                <w:p>
                  <w:pPr>
                    <w:pStyle w:val="68"/>
                    <w:rPr>
                      <w:b/>
                      <w:bCs/>
                      <w:color w:val="auto"/>
                    </w:rPr>
                  </w:pPr>
                  <w:r>
                    <w:rPr>
                      <w:b/>
                      <w:bCs/>
                      <w:color w:val="auto"/>
                    </w:rPr>
                    <w:t>名称</w:t>
                  </w:r>
                </w:p>
              </w:tc>
              <w:tc>
                <w:tcPr>
                  <w:tcW w:w="757" w:type="pct"/>
                  <w:shd w:val="clear" w:color="auto" w:fill="auto"/>
                  <w:vAlign w:val="center"/>
                </w:tcPr>
                <w:p>
                  <w:pPr>
                    <w:pStyle w:val="68"/>
                    <w:rPr>
                      <w:b/>
                      <w:bCs/>
                      <w:color w:val="auto"/>
                    </w:rPr>
                  </w:pPr>
                  <w:r>
                    <w:rPr>
                      <w:b/>
                      <w:bCs/>
                      <w:color w:val="auto"/>
                    </w:rPr>
                    <w:t>防渗区域</w:t>
                  </w:r>
                </w:p>
              </w:tc>
              <w:tc>
                <w:tcPr>
                  <w:tcW w:w="1096" w:type="pct"/>
                  <w:shd w:val="clear" w:color="auto" w:fill="auto"/>
                  <w:vAlign w:val="center"/>
                </w:tcPr>
                <w:p>
                  <w:pPr>
                    <w:pStyle w:val="68"/>
                    <w:rPr>
                      <w:b/>
                      <w:bCs/>
                      <w:color w:val="auto"/>
                    </w:rPr>
                  </w:pPr>
                  <w:r>
                    <w:rPr>
                      <w:b/>
                      <w:bCs/>
                      <w:color w:val="auto"/>
                    </w:rPr>
                    <w:t>防渗措施情况</w:t>
                  </w:r>
                </w:p>
              </w:tc>
              <w:tc>
                <w:tcPr>
                  <w:tcW w:w="1147" w:type="pct"/>
                  <w:shd w:val="clear" w:color="auto" w:fill="auto"/>
                  <w:vAlign w:val="center"/>
                </w:tcPr>
                <w:p>
                  <w:pPr>
                    <w:pStyle w:val="68"/>
                    <w:rPr>
                      <w:b/>
                      <w:bCs/>
                      <w:color w:val="auto"/>
                    </w:rPr>
                  </w:pPr>
                  <w:r>
                    <w:rPr>
                      <w:b/>
                      <w:bCs/>
                      <w:color w:val="auto"/>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13" w:type="pct"/>
                  <w:shd w:val="clear" w:color="auto" w:fill="auto"/>
                  <w:vAlign w:val="center"/>
                </w:tcPr>
                <w:p>
                  <w:pPr>
                    <w:pStyle w:val="68"/>
                    <w:rPr>
                      <w:color w:val="auto"/>
                    </w:rPr>
                  </w:pPr>
                  <w:r>
                    <w:rPr>
                      <w:color w:val="auto"/>
                    </w:rPr>
                    <w:t>重点防渗</w:t>
                  </w:r>
                  <w:r>
                    <w:rPr>
                      <w:color w:val="auto"/>
                      <w:shd w:val="clear" w:fill="FFFFFF"/>
                    </w:rPr>
                    <w:t>区</w:t>
                  </w:r>
                </w:p>
              </w:tc>
              <w:tc>
                <w:tcPr>
                  <w:tcW w:w="1187" w:type="pct"/>
                  <w:shd w:val="clear" w:color="auto" w:fill="auto"/>
                  <w:vAlign w:val="center"/>
                </w:tcPr>
                <w:p>
                  <w:pPr>
                    <w:pStyle w:val="68"/>
                    <w:rPr>
                      <w:rFonts w:hint="default"/>
                      <w:color w:val="auto"/>
                      <w:lang w:val="en-US" w:eastAsia="zh-CN"/>
                    </w:rPr>
                  </w:pPr>
                  <w:r>
                    <w:rPr>
                      <w:rFonts w:hint="eastAsia"/>
                      <w:color w:val="auto"/>
                      <w:lang w:eastAsia="zh-CN"/>
                    </w:rPr>
                    <w:t>餐厨垃圾处置车间、污水处理站、危废暂存间、成品油罐、</w:t>
                  </w:r>
                  <w:r>
                    <w:rPr>
                      <w:rFonts w:hint="eastAsia"/>
                      <w:color w:val="auto"/>
                      <w:lang w:val="en-US" w:eastAsia="zh-CN"/>
                    </w:rPr>
                    <w:t>应急事故池</w:t>
                  </w:r>
                </w:p>
              </w:tc>
              <w:tc>
                <w:tcPr>
                  <w:tcW w:w="757" w:type="pct"/>
                  <w:shd w:val="clear" w:color="auto" w:fill="auto"/>
                  <w:vAlign w:val="center"/>
                </w:tcPr>
                <w:p>
                  <w:pPr>
                    <w:pStyle w:val="68"/>
                    <w:rPr>
                      <w:color w:val="auto"/>
                    </w:rPr>
                  </w:pPr>
                  <w:r>
                    <w:rPr>
                      <w:color w:val="auto"/>
                    </w:rPr>
                    <w:t>地面、</w:t>
                  </w:r>
                  <w:r>
                    <w:rPr>
                      <w:rFonts w:hint="eastAsia"/>
                      <w:color w:val="auto"/>
                    </w:rPr>
                    <w:t>裙角</w:t>
                  </w:r>
                </w:p>
              </w:tc>
              <w:tc>
                <w:tcPr>
                  <w:tcW w:w="1096" w:type="pct"/>
                  <w:shd w:val="clear" w:color="auto" w:fill="auto"/>
                  <w:vAlign w:val="center"/>
                </w:tcPr>
                <w:p>
                  <w:pPr>
                    <w:pStyle w:val="68"/>
                    <w:rPr>
                      <w:color w:val="auto"/>
                    </w:rPr>
                  </w:pPr>
                  <w:r>
                    <w:rPr>
                      <w:color w:val="auto"/>
                    </w:rPr>
                    <w:t>采用25cm厚的</w:t>
                  </w:r>
                  <w:r>
                    <w:rPr>
                      <w:rFonts w:hint="eastAsia"/>
                      <w:color w:val="auto"/>
                      <w:lang w:eastAsia="zh-CN"/>
                    </w:rPr>
                    <w:t>抗渗</w:t>
                  </w:r>
                  <w:r>
                    <w:rPr>
                      <w:color w:val="auto"/>
                    </w:rPr>
                    <w:t>混凝土硬化防渗+2mm厚的高密度聚乙烯或其他人工材料</w:t>
                  </w:r>
                </w:p>
              </w:tc>
              <w:tc>
                <w:tcPr>
                  <w:tcW w:w="1147" w:type="pct"/>
                  <w:shd w:val="clear" w:color="auto" w:fill="auto"/>
                  <w:vAlign w:val="center"/>
                </w:tcPr>
                <w:p>
                  <w:pPr>
                    <w:pStyle w:val="68"/>
                    <w:rPr>
                      <w:color w:val="auto"/>
                    </w:rPr>
                  </w:pPr>
                  <w:r>
                    <w:rPr>
                      <w:color w:val="auto"/>
                    </w:rPr>
                    <w:t>等效黏土防渗层Mb≥6.0m，K≤1×10</w:t>
                  </w:r>
                  <w:r>
                    <w:rPr>
                      <w:rFonts w:hint="eastAsia"/>
                      <w:color w:val="auto"/>
                      <w:vertAlign w:val="superscript"/>
                      <w:lang w:val="en-US" w:eastAsia="zh-CN"/>
                    </w:rPr>
                    <w:t>-</w:t>
                  </w:r>
                  <w:r>
                    <w:rPr>
                      <w:color w:val="auto"/>
                      <w:vertAlign w:val="superscript"/>
                    </w:rPr>
                    <w:t>10</w:t>
                  </w:r>
                  <w:r>
                    <w:rPr>
                      <w:color w:val="auto"/>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813" w:type="pct"/>
                  <w:shd w:val="clear" w:color="auto" w:fill="auto"/>
                  <w:vAlign w:val="center"/>
                </w:tcPr>
                <w:p>
                  <w:pPr>
                    <w:pStyle w:val="68"/>
                    <w:rPr>
                      <w:color w:val="auto"/>
                    </w:rPr>
                  </w:pPr>
                  <w:r>
                    <w:rPr>
                      <w:color w:val="auto"/>
                    </w:rPr>
                    <w:t>一般防渗</w:t>
                  </w:r>
                  <w:r>
                    <w:rPr>
                      <w:color w:val="auto"/>
                      <w:shd w:val="clear" w:fill="FFFFFF"/>
                    </w:rPr>
                    <w:t>区</w:t>
                  </w:r>
                </w:p>
              </w:tc>
              <w:tc>
                <w:tcPr>
                  <w:tcW w:w="1187" w:type="pct"/>
                  <w:shd w:val="clear" w:color="auto" w:fill="auto"/>
                  <w:vAlign w:val="center"/>
                </w:tcPr>
                <w:p>
                  <w:pPr>
                    <w:pStyle w:val="68"/>
                    <w:rPr>
                      <w:color w:val="auto"/>
                      <w:lang w:eastAsia="zh-CN"/>
                    </w:rPr>
                  </w:pPr>
                  <w:r>
                    <w:rPr>
                      <w:rFonts w:hint="eastAsia"/>
                      <w:color w:val="auto"/>
                      <w:lang w:eastAsia="zh-CN"/>
                    </w:rPr>
                    <w:t>生产车间</w:t>
                  </w:r>
                </w:p>
              </w:tc>
              <w:tc>
                <w:tcPr>
                  <w:tcW w:w="757" w:type="pct"/>
                  <w:shd w:val="clear" w:color="auto" w:fill="auto"/>
                  <w:vAlign w:val="center"/>
                </w:tcPr>
                <w:p>
                  <w:pPr>
                    <w:pStyle w:val="68"/>
                    <w:rPr>
                      <w:color w:val="auto"/>
                    </w:rPr>
                  </w:pPr>
                  <w:r>
                    <w:rPr>
                      <w:color w:val="auto"/>
                    </w:rPr>
                    <w:t>地面</w:t>
                  </w:r>
                  <w:r>
                    <w:rPr>
                      <w:rFonts w:hint="eastAsia"/>
                      <w:color w:val="auto"/>
                    </w:rPr>
                    <w:t>、裙角</w:t>
                  </w:r>
                </w:p>
              </w:tc>
              <w:tc>
                <w:tcPr>
                  <w:tcW w:w="1096" w:type="pct"/>
                  <w:shd w:val="clear" w:color="auto" w:fill="auto"/>
                  <w:vAlign w:val="center"/>
                </w:tcPr>
                <w:p>
                  <w:pPr>
                    <w:pStyle w:val="68"/>
                    <w:rPr>
                      <w:color w:val="auto"/>
                    </w:rPr>
                  </w:pPr>
                  <w:r>
                    <w:rPr>
                      <w:color w:val="auto"/>
                    </w:rPr>
                    <w:t>采用25cm厚的</w:t>
                  </w:r>
                  <w:r>
                    <w:rPr>
                      <w:rFonts w:hint="eastAsia"/>
                      <w:color w:val="auto"/>
                      <w:lang w:eastAsia="zh-CN"/>
                    </w:rPr>
                    <w:t>抗渗</w:t>
                  </w:r>
                  <w:r>
                    <w:rPr>
                      <w:color w:val="auto"/>
                    </w:rPr>
                    <w:t>混凝土硬化防渗</w:t>
                  </w:r>
                </w:p>
              </w:tc>
              <w:tc>
                <w:tcPr>
                  <w:tcW w:w="1147" w:type="pct"/>
                  <w:shd w:val="clear" w:color="auto" w:fill="auto"/>
                  <w:vAlign w:val="center"/>
                </w:tcPr>
                <w:p>
                  <w:pPr>
                    <w:pStyle w:val="68"/>
                    <w:rPr>
                      <w:color w:val="auto"/>
                    </w:rPr>
                  </w:pPr>
                  <w:r>
                    <w:rPr>
                      <w:color w:val="auto"/>
                    </w:rPr>
                    <w:t>等效黏土防渗层 Mb≥1.5m，K≤1×10</w:t>
                  </w:r>
                  <w:r>
                    <w:rPr>
                      <w:rFonts w:hint="eastAsia"/>
                      <w:color w:val="auto"/>
                      <w:vertAlign w:val="superscript"/>
                      <w:lang w:val="en-US" w:eastAsia="zh-CN"/>
                    </w:rPr>
                    <w:t>-</w:t>
                  </w:r>
                  <w:r>
                    <w:rPr>
                      <w:color w:val="auto"/>
                      <w:vertAlign w:val="superscript"/>
                    </w:rPr>
                    <w:t>7</w:t>
                  </w:r>
                  <w:r>
                    <w:rPr>
                      <w:color w:val="auto"/>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3" w:type="pct"/>
                  <w:shd w:val="clear" w:color="auto" w:fill="auto"/>
                  <w:vAlign w:val="center"/>
                </w:tcPr>
                <w:p>
                  <w:pPr>
                    <w:pStyle w:val="68"/>
                    <w:rPr>
                      <w:color w:val="auto"/>
                    </w:rPr>
                  </w:pPr>
                  <w:r>
                    <w:rPr>
                      <w:color w:val="auto"/>
                    </w:rPr>
                    <w:t>简单防渗</w:t>
                  </w:r>
                  <w:r>
                    <w:rPr>
                      <w:color w:val="auto"/>
                      <w:shd w:val="clear" w:fill="FFFFFF"/>
                    </w:rPr>
                    <w:t>区</w:t>
                  </w:r>
                </w:p>
              </w:tc>
              <w:tc>
                <w:tcPr>
                  <w:tcW w:w="1187" w:type="pct"/>
                  <w:shd w:val="clear" w:color="auto" w:fill="auto"/>
                  <w:vAlign w:val="center"/>
                </w:tcPr>
                <w:p>
                  <w:pPr>
                    <w:pStyle w:val="68"/>
                    <w:rPr>
                      <w:color w:val="auto"/>
                    </w:rPr>
                  </w:pPr>
                  <w:r>
                    <w:rPr>
                      <w:color w:val="auto"/>
                    </w:rPr>
                    <w:t>除了重点、一般防渗区以外的区域</w:t>
                  </w:r>
                </w:p>
              </w:tc>
              <w:tc>
                <w:tcPr>
                  <w:tcW w:w="757" w:type="pct"/>
                  <w:shd w:val="clear" w:color="auto" w:fill="auto"/>
                  <w:vAlign w:val="center"/>
                </w:tcPr>
                <w:p>
                  <w:pPr>
                    <w:pStyle w:val="68"/>
                    <w:rPr>
                      <w:color w:val="auto"/>
                    </w:rPr>
                  </w:pPr>
                  <w:r>
                    <w:rPr>
                      <w:color w:val="auto"/>
                    </w:rPr>
                    <w:t>地面</w:t>
                  </w:r>
                </w:p>
              </w:tc>
              <w:tc>
                <w:tcPr>
                  <w:tcW w:w="1096" w:type="pct"/>
                  <w:shd w:val="clear" w:color="auto" w:fill="auto"/>
                  <w:vAlign w:val="center"/>
                </w:tcPr>
                <w:p>
                  <w:pPr>
                    <w:pStyle w:val="68"/>
                    <w:rPr>
                      <w:color w:val="auto"/>
                    </w:rPr>
                  </w:pPr>
                  <w:r>
                    <w:rPr>
                      <w:color w:val="auto"/>
                    </w:rPr>
                    <w:t>一般地面硬化</w:t>
                  </w:r>
                </w:p>
              </w:tc>
              <w:tc>
                <w:tcPr>
                  <w:tcW w:w="1147" w:type="pct"/>
                  <w:shd w:val="clear" w:color="auto" w:fill="auto"/>
                  <w:vAlign w:val="center"/>
                </w:tcPr>
                <w:p>
                  <w:pPr>
                    <w:pStyle w:val="68"/>
                    <w:rPr>
                      <w:color w:val="auto"/>
                    </w:rPr>
                  </w:pPr>
                  <w:r>
                    <w:rPr>
                      <w:color w:val="auto"/>
                    </w:rPr>
                    <w:t>一般地面硬化</w:t>
                  </w:r>
                </w:p>
              </w:tc>
            </w:tr>
          </w:tbl>
          <w:p>
            <w:pPr>
              <w:ind w:firstLine="480"/>
              <w:rPr>
                <w:color w:val="auto"/>
              </w:rPr>
            </w:pPr>
            <w:r>
              <w:rPr>
                <w:color w:val="auto"/>
              </w:rPr>
              <w:t>对于重点防渗区</w:t>
            </w:r>
            <w:r>
              <w:rPr>
                <w:rFonts w:hint="eastAsia"/>
                <w:color w:val="auto"/>
              </w:rPr>
              <w:t>的餐厨垃圾处置车间、污水处理站、危废暂存间</w:t>
            </w:r>
            <w:r>
              <w:rPr>
                <w:color w:val="auto"/>
              </w:rPr>
              <w:t>，须</w:t>
            </w:r>
            <w:r>
              <w:rPr>
                <w:rFonts w:hint="eastAsia"/>
                <w:color w:val="auto"/>
              </w:rPr>
              <w:t>满足</w:t>
            </w:r>
            <w:r>
              <w:rPr>
                <w:color w:val="auto"/>
              </w:rPr>
              <w:t>《环境影响评价技术导则</w:t>
            </w:r>
            <w:r>
              <w:rPr>
                <w:rFonts w:hint="eastAsia"/>
                <w:color w:val="auto"/>
                <w:lang w:eastAsia="zh-CN"/>
              </w:rPr>
              <w:t>－</w:t>
            </w:r>
            <w:r>
              <w:rPr>
                <w:color w:val="auto"/>
              </w:rPr>
              <w:t>地下水环境》（HJ610-2016）中重点防渗区的防渗要求进行防渗设计，防渗层的防渗性能应等效于厚度≥6.0m，渗透系数≤1.0×10</w:t>
            </w:r>
            <w:r>
              <w:rPr>
                <w:rFonts w:hint="eastAsia"/>
                <w:color w:val="auto"/>
                <w:vertAlign w:val="superscript"/>
                <w:lang w:val="en-US" w:eastAsia="zh-CN"/>
              </w:rPr>
              <w:t>-</w:t>
            </w:r>
            <w:r>
              <w:rPr>
                <w:color w:val="auto"/>
                <w:vertAlign w:val="superscript"/>
              </w:rPr>
              <w:t>10</w:t>
            </w:r>
            <w:r>
              <w:rPr>
                <w:color w:val="auto"/>
              </w:rPr>
              <w:t>cm/s的黏土层的防渗性能。</w:t>
            </w:r>
          </w:p>
          <w:p>
            <w:pPr>
              <w:ind w:firstLine="480"/>
              <w:rPr>
                <w:color w:val="auto"/>
              </w:rPr>
            </w:pPr>
            <w:r>
              <w:rPr>
                <w:color w:val="auto"/>
              </w:rPr>
              <w:t>对于一般防渗区，须参照《环境影响评价技术导则</w:t>
            </w:r>
            <w:r>
              <w:rPr>
                <w:rFonts w:hint="eastAsia"/>
                <w:color w:val="auto"/>
                <w:lang w:eastAsia="zh-CN"/>
              </w:rPr>
              <w:t>－</w:t>
            </w:r>
            <w:r>
              <w:rPr>
                <w:color w:val="auto"/>
              </w:rPr>
              <w:t>地下水环境》（HJ610-2016）中重点防渗区的防渗要求进行防渗设计，防渗层的防渗性能应等效于厚度≥1.5m，渗透系数≤1.0×10</w:t>
            </w:r>
            <w:r>
              <w:rPr>
                <w:rFonts w:hint="eastAsia"/>
                <w:color w:val="auto"/>
                <w:vertAlign w:val="superscript"/>
                <w:lang w:val="en-US" w:eastAsia="zh-CN"/>
              </w:rPr>
              <w:t>-</w:t>
            </w:r>
            <w:r>
              <w:rPr>
                <w:color w:val="auto"/>
                <w:vertAlign w:val="superscript"/>
              </w:rPr>
              <w:t>7</w:t>
            </w:r>
            <w:r>
              <w:rPr>
                <w:color w:val="auto"/>
              </w:rPr>
              <w:t>cm/s的黏土层的防渗性能。</w:t>
            </w:r>
          </w:p>
          <w:p>
            <w:pPr>
              <w:pStyle w:val="61"/>
              <w:spacing w:before="60" w:after="60"/>
              <w:rPr>
                <w:color w:val="auto"/>
              </w:rPr>
            </w:pPr>
            <w:r>
              <w:rPr>
                <w:rFonts w:hint="eastAsia"/>
                <w:color w:val="auto"/>
              </w:rPr>
              <w:t>4.2.6土壤环境影响和保护措施</w:t>
            </w:r>
          </w:p>
          <w:p>
            <w:pPr>
              <w:ind w:firstLine="480"/>
              <w:rPr>
                <w:rFonts w:hint="eastAsia"/>
                <w:color w:val="auto"/>
              </w:rPr>
            </w:pPr>
            <w:r>
              <w:rPr>
                <w:rFonts w:hint="eastAsia"/>
                <w:color w:val="auto"/>
              </w:rPr>
              <w:t>根据《环境影响评价技术导则 土壤环境（试行）》（HJ964-2018），本项目为餐厨废弃物综合利用，属于附录A中表A.1“土壤环境影响评价项目类别”中“其他行业”，土壤环境影响评价类别为</w:t>
            </w:r>
            <w:r>
              <w:rPr>
                <w:rFonts w:hint="eastAsia" w:ascii="宋体" w:hAnsi="宋体"/>
                <w:color w:val="auto"/>
              </w:rPr>
              <w:t>Ⅳ</w:t>
            </w:r>
            <w:r>
              <w:rPr>
                <w:rFonts w:hint="eastAsia"/>
                <w:color w:val="auto"/>
              </w:rPr>
              <w:t>类，对照导则评价等级表，本项目不进行土壤环境影响评价。</w:t>
            </w:r>
          </w:p>
          <w:p>
            <w:pPr>
              <w:widowControl/>
              <w:adjustRightInd w:val="0"/>
              <w:snapToGrid w:val="0"/>
              <w:spacing w:line="360" w:lineRule="auto"/>
              <w:ind w:firstLine="480" w:firstLineChars="200"/>
              <w:jc w:val="left"/>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由于本项目涉及污水产生，因此评价建议项目设置土壤</w:t>
            </w:r>
            <w:r>
              <w:rPr>
                <w:rFonts w:hint="eastAsia" w:cs="Times New Roman"/>
                <w:color w:val="auto"/>
                <w:sz w:val="24"/>
                <w:szCs w:val="24"/>
                <w:u w:val="none"/>
                <w:lang w:eastAsia="zh-CN"/>
              </w:rPr>
              <w:t>自行检测</w:t>
            </w:r>
            <w:r>
              <w:rPr>
                <w:rFonts w:hint="default" w:ascii="Times New Roman" w:hAnsi="Times New Roman" w:cs="Times New Roman"/>
                <w:color w:val="auto"/>
                <w:sz w:val="24"/>
                <w:szCs w:val="24"/>
                <w:u w:val="none"/>
              </w:rPr>
              <w:t>，土壤</w:t>
            </w:r>
            <w:r>
              <w:rPr>
                <w:rFonts w:hint="eastAsia" w:cs="Times New Roman"/>
                <w:color w:val="auto"/>
                <w:sz w:val="24"/>
                <w:szCs w:val="24"/>
                <w:u w:val="none"/>
                <w:lang w:eastAsia="zh-CN"/>
              </w:rPr>
              <w:t>自行检测</w:t>
            </w:r>
            <w:r>
              <w:rPr>
                <w:rFonts w:hint="default" w:ascii="Times New Roman" w:hAnsi="Times New Roman" w:cs="Times New Roman"/>
                <w:color w:val="auto"/>
                <w:sz w:val="24"/>
                <w:szCs w:val="24"/>
                <w:u w:val="none"/>
              </w:rPr>
              <w:t>计划按照下表执行。</w:t>
            </w:r>
          </w:p>
          <w:p>
            <w:pPr>
              <w:keepNext w:val="0"/>
              <w:keepLines w:val="0"/>
              <w:pageBreakBefore w:val="0"/>
              <w:widowControl w:val="0"/>
              <w:kinsoku/>
              <w:wordWrap w:val="0"/>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kern w:val="0"/>
                <w:sz w:val="21"/>
                <w:szCs w:val="21"/>
                <w:u w:val="none"/>
              </w:rPr>
              <w:t>表4.2</w:t>
            </w:r>
            <w:r>
              <w:rPr>
                <w:rFonts w:hint="eastAsia" w:ascii="Times New Roman" w:hAnsi="Times New Roman" w:cs="Times New Roman"/>
                <w:b/>
                <w:bCs/>
                <w:color w:val="auto"/>
                <w:kern w:val="0"/>
                <w:sz w:val="21"/>
                <w:szCs w:val="21"/>
                <w:u w:val="none"/>
                <w:lang w:val="en-US" w:eastAsia="zh-CN"/>
              </w:rPr>
              <w:t>-33</w:t>
            </w:r>
            <w:r>
              <w:rPr>
                <w:rFonts w:hint="default" w:ascii="Times New Roman" w:hAnsi="Times New Roman" w:cs="Times New Roman"/>
                <w:b/>
                <w:bCs/>
                <w:color w:val="auto"/>
                <w:kern w:val="0"/>
                <w:sz w:val="21"/>
                <w:szCs w:val="21"/>
                <w:u w:val="none"/>
              </w:rPr>
              <w:t xml:space="preserve">  环境和污染源监测计划一览表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378"/>
              <w:gridCol w:w="1515"/>
              <w:gridCol w:w="1052"/>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项目</w:t>
                  </w:r>
                </w:p>
              </w:tc>
              <w:tc>
                <w:tcPr>
                  <w:tcW w:w="887"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监测点位</w:t>
                  </w:r>
                </w:p>
              </w:tc>
              <w:tc>
                <w:tcPr>
                  <w:tcW w:w="975"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监测因子</w:t>
                  </w:r>
                </w:p>
              </w:tc>
              <w:tc>
                <w:tcPr>
                  <w:tcW w:w="677"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w:t>
                  </w:r>
                </w:p>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频次</w:t>
                  </w:r>
                </w:p>
              </w:tc>
              <w:tc>
                <w:tcPr>
                  <w:tcW w:w="2216"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1"/>
                      <w:szCs w:val="21"/>
                      <w:u w:val="none"/>
                    </w:rPr>
                    <w:t>土壤</w:t>
                  </w:r>
                </w:p>
              </w:tc>
              <w:tc>
                <w:tcPr>
                  <w:tcW w:w="887" w:type="pct"/>
                  <w:noWrap/>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1"/>
                      <w:szCs w:val="21"/>
                      <w:u w:val="none"/>
                    </w:rPr>
                    <w:t>各厂区外地下水下游及侧向土壤</w:t>
                  </w:r>
                </w:p>
              </w:tc>
              <w:tc>
                <w:tcPr>
                  <w:tcW w:w="975" w:type="pct"/>
                  <w:noWrap/>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eastAsia="TimesNewRoman" w:cs="Times New Roman"/>
                      <w:color w:val="auto"/>
                      <w:kern w:val="0"/>
                      <w:sz w:val="21"/>
                      <w:szCs w:val="21"/>
                      <w:u w:val="none"/>
                    </w:rPr>
                    <w:t>pH</w:t>
                  </w:r>
                  <w:r>
                    <w:rPr>
                      <w:rFonts w:hint="default" w:ascii="Times New Roman" w:hAnsi="Times New Roman" w:cs="Times New Roman"/>
                      <w:color w:val="auto"/>
                      <w:kern w:val="0"/>
                      <w:sz w:val="21"/>
                      <w:szCs w:val="21"/>
                      <w:u w:val="none"/>
                    </w:rPr>
                    <w:t>、镉、汞、砷、铅、铬、铜、镍、锌</w:t>
                  </w:r>
                </w:p>
              </w:tc>
              <w:tc>
                <w:tcPr>
                  <w:tcW w:w="677" w:type="pct"/>
                  <w:noWrap/>
                  <w:vAlign w:val="center"/>
                </w:tcPr>
                <w:p>
                  <w:pPr>
                    <w:keepNext w:val="0"/>
                    <w:keepLines w:val="0"/>
                    <w:pageBreakBefore w:val="0"/>
                    <w:widowControl w:val="0"/>
                    <w:kinsoku/>
                    <w:wordWrap w:val="0"/>
                    <w:overflowPunct/>
                    <w:topLinePunct w:val="0"/>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1"/>
                      <w:szCs w:val="21"/>
                      <w:u w:val="none"/>
                    </w:rPr>
                    <w:t>建议每</w:t>
                  </w:r>
                  <w:r>
                    <w:rPr>
                      <w:rFonts w:hint="default" w:ascii="Times New Roman" w:hAnsi="Times New Roman" w:eastAsia="TimesNewRoman" w:cs="Times New Roman"/>
                      <w:color w:val="auto"/>
                      <w:kern w:val="0"/>
                      <w:sz w:val="21"/>
                      <w:szCs w:val="21"/>
                      <w:u w:val="none"/>
                    </w:rPr>
                    <w:t>5</w:t>
                  </w:r>
                  <w:r>
                    <w:rPr>
                      <w:rFonts w:hint="default" w:ascii="Times New Roman" w:hAnsi="Times New Roman" w:cs="Times New Roman"/>
                      <w:color w:val="auto"/>
                      <w:kern w:val="0"/>
                      <w:sz w:val="21"/>
                      <w:szCs w:val="21"/>
                      <w:u w:val="none"/>
                    </w:rPr>
                    <w:t>年监测一次</w:t>
                  </w:r>
                </w:p>
              </w:tc>
              <w:tc>
                <w:tcPr>
                  <w:tcW w:w="2216" w:type="pct"/>
                  <w:noWrap/>
                  <w:vAlign w:val="center"/>
                </w:tcPr>
                <w:p>
                  <w:pPr>
                    <w:keepNext w:val="0"/>
                    <w:keepLines w:val="0"/>
                    <w:pageBreakBefore w:val="0"/>
                    <w:widowControl w:val="0"/>
                    <w:kinsoku/>
                    <w:wordWrap w:val="0"/>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1"/>
                      <w:szCs w:val="21"/>
                      <w:u w:val="none"/>
                    </w:rPr>
                    <w:t>《土壤环境质量 农用地土壤污染风险管控标准（试行）》（</w:t>
                  </w:r>
                  <w:r>
                    <w:rPr>
                      <w:rFonts w:hint="default" w:ascii="Times New Roman" w:hAnsi="Times New Roman" w:eastAsia="TimesNewRoman" w:cs="Times New Roman"/>
                      <w:color w:val="auto"/>
                      <w:kern w:val="0"/>
                      <w:sz w:val="21"/>
                      <w:szCs w:val="21"/>
                      <w:u w:val="none"/>
                    </w:rPr>
                    <w:t>GB 15618-2018</w:t>
                  </w:r>
                  <w:r>
                    <w:rPr>
                      <w:rFonts w:hint="default" w:ascii="Times New Roman" w:hAnsi="Times New Roman" w:cs="Times New Roman"/>
                      <w:color w:val="auto"/>
                      <w:kern w:val="0"/>
                      <w:sz w:val="21"/>
                      <w:szCs w:val="21"/>
                      <w:u w:val="none"/>
                    </w:rPr>
                    <w:t>）表</w:t>
                  </w:r>
                  <w:r>
                    <w:rPr>
                      <w:rFonts w:hint="default" w:ascii="Times New Roman" w:hAnsi="Times New Roman" w:eastAsia="TimesNewRoman" w:cs="Times New Roman"/>
                      <w:color w:val="auto"/>
                      <w:kern w:val="0"/>
                      <w:sz w:val="21"/>
                      <w:szCs w:val="21"/>
                      <w:u w:val="none"/>
                    </w:rPr>
                    <w:t>1</w:t>
                  </w:r>
                  <w:r>
                    <w:rPr>
                      <w:rFonts w:hint="default" w:ascii="Times New Roman" w:hAnsi="Times New Roman" w:cs="Times New Roman"/>
                      <w:color w:val="auto"/>
                      <w:kern w:val="0"/>
                      <w:sz w:val="21"/>
                      <w:szCs w:val="21"/>
                      <w:u w:val="none"/>
                    </w:rPr>
                    <w:t>筛选</w:t>
                  </w:r>
                  <w:r>
                    <w:rPr>
                      <w:rFonts w:hint="default" w:ascii="Times New Roman" w:hAnsi="Times New Roman" w:cs="Times New Roman"/>
                      <w:color w:val="auto"/>
                      <w:kern w:val="0"/>
                      <w:sz w:val="21"/>
                      <w:szCs w:val="21"/>
                      <w:u w:val="none"/>
                      <w:shd w:val="clear" w:fill="FFFFFF"/>
                    </w:rPr>
                    <w:t>值</w:t>
                  </w:r>
                </w:p>
              </w:tc>
            </w:tr>
          </w:tbl>
          <w:p>
            <w:pPr>
              <w:pStyle w:val="61"/>
              <w:spacing w:before="60" w:after="60"/>
              <w:rPr>
                <w:color w:val="auto"/>
              </w:rPr>
            </w:pPr>
            <w:r>
              <w:rPr>
                <w:rFonts w:hint="eastAsia"/>
                <w:color w:val="auto"/>
              </w:rPr>
              <w:t>4.2.7环境风险影响分析</w:t>
            </w:r>
          </w:p>
          <w:p>
            <w:pPr>
              <w:ind w:firstLine="480"/>
              <w:rPr>
                <w:rFonts w:hint="eastAsia" w:ascii="Times New Roman" w:hAnsi="Times New Roman" w:cs="Times New Roman"/>
                <w:color w:val="auto"/>
              </w:rPr>
            </w:pPr>
            <w:r>
              <w:rPr>
                <w:rFonts w:hint="default" w:ascii="Times New Roman" w:hAnsi="Times New Roman" w:cs="Times New Roman"/>
                <w:color w:val="auto"/>
              </w:rPr>
              <w:t>详见环境风险专项评价。</w:t>
            </w:r>
          </w:p>
          <w:p>
            <w:pPr>
              <w:pStyle w:val="56"/>
              <w:spacing w:before="120" w:after="120"/>
              <w:rPr>
                <w:color w:val="auto"/>
              </w:rPr>
            </w:pPr>
            <w:r>
              <w:rPr>
                <w:rFonts w:hint="eastAsia"/>
                <w:color w:val="auto"/>
              </w:rPr>
              <w:t>4.3本项目污染物汇总情况</w:t>
            </w:r>
          </w:p>
          <w:p>
            <w:pPr>
              <w:ind w:firstLine="480"/>
              <w:rPr>
                <w:color w:val="auto"/>
              </w:rPr>
            </w:pPr>
            <w:r>
              <w:rPr>
                <w:rFonts w:hint="eastAsia"/>
                <w:color w:val="auto"/>
              </w:rPr>
              <w:t>综上所述，本项目主要污染物产生及排放情况见下表。</w:t>
            </w:r>
          </w:p>
          <w:p>
            <w:pPr>
              <w:pStyle w:val="71"/>
              <w:rPr>
                <w:color w:val="auto"/>
              </w:rPr>
            </w:pPr>
            <w:r>
              <w:rPr>
                <w:rFonts w:hint="eastAsia"/>
                <w:color w:val="auto"/>
              </w:rPr>
              <w:t>表4.3-1 项目主要污染物产生及排放情况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9"/>
              <w:gridCol w:w="1134"/>
              <w:gridCol w:w="2271"/>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Align w:val="center"/>
                </w:tcPr>
                <w:p>
                  <w:pPr>
                    <w:pStyle w:val="68"/>
                    <w:rPr>
                      <w:b/>
                      <w:bCs/>
                      <w:color w:val="auto"/>
                    </w:rPr>
                  </w:pPr>
                  <w:r>
                    <w:rPr>
                      <w:b/>
                      <w:bCs/>
                      <w:color w:val="auto"/>
                    </w:rPr>
                    <w:t>污染类别</w:t>
                  </w:r>
                </w:p>
              </w:tc>
              <w:tc>
                <w:tcPr>
                  <w:tcW w:w="913" w:type="pct"/>
                  <w:vAlign w:val="center"/>
                </w:tcPr>
                <w:p>
                  <w:pPr>
                    <w:pStyle w:val="68"/>
                    <w:rPr>
                      <w:b/>
                      <w:bCs/>
                      <w:color w:val="auto"/>
                    </w:rPr>
                  </w:pPr>
                  <w:r>
                    <w:rPr>
                      <w:b/>
                      <w:bCs/>
                      <w:color w:val="auto"/>
                    </w:rPr>
                    <w:t>排放源</w:t>
                  </w:r>
                </w:p>
              </w:tc>
              <w:tc>
                <w:tcPr>
                  <w:tcW w:w="730" w:type="pct"/>
                  <w:vAlign w:val="center"/>
                </w:tcPr>
                <w:p>
                  <w:pPr>
                    <w:pStyle w:val="68"/>
                    <w:rPr>
                      <w:b/>
                      <w:bCs/>
                      <w:color w:val="auto"/>
                    </w:rPr>
                  </w:pPr>
                  <w:r>
                    <w:rPr>
                      <w:b/>
                      <w:bCs/>
                      <w:color w:val="auto"/>
                    </w:rPr>
                    <w:t>污染物名称</w:t>
                  </w:r>
                </w:p>
              </w:tc>
              <w:tc>
                <w:tcPr>
                  <w:tcW w:w="1463" w:type="pct"/>
                  <w:vAlign w:val="center"/>
                </w:tcPr>
                <w:p>
                  <w:pPr>
                    <w:pStyle w:val="68"/>
                    <w:rPr>
                      <w:b/>
                      <w:bCs/>
                      <w:color w:val="auto"/>
                    </w:rPr>
                  </w:pPr>
                  <w:r>
                    <w:rPr>
                      <w:b/>
                      <w:bCs/>
                      <w:color w:val="auto"/>
                    </w:rPr>
                    <w:t>产生浓度及产生量</w:t>
                  </w:r>
                </w:p>
              </w:tc>
              <w:tc>
                <w:tcPr>
                  <w:tcW w:w="1417" w:type="pct"/>
                  <w:vAlign w:val="center"/>
                </w:tcPr>
                <w:p>
                  <w:pPr>
                    <w:pStyle w:val="68"/>
                    <w:rPr>
                      <w:b/>
                      <w:bCs/>
                      <w:color w:val="auto"/>
                    </w:rPr>
                  </w:pPr>
                  <w:r>
                    <w:rPr>
                      <w:b/>
                      <w:bCs/>
                      <w:color w:val="auto"/>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restart"/>
                  <w:vAlign w:val="center"/>
                </w:tcPr>
                <w:p>
                  <w:pPr>
                    <w:pStyle w:val="68"/>
                    <w:rPr>
                      <w:color w:val="auto"/>
                    </w:rPr>
                  </w:pPr>
                  <w:r>
                    <w:rPr>
                      <w:rFonts w:hint="eastAsia"/>
                      <w:color w:val="auto"/>
                      <w:lang w:eastAsia="zh-CN"/>
                    </w:rPr>
                    <w:t>废气</w:t>
                  </w:r>
                </w:p>
              </w:tc>
              <w:tc>
                <w:tcPr>
                  <w:tcW w:w="913" w:type="pct"/>
                  <w:vMerge w:val="restart"/>
                  <w:vAlign w:val="center"/>
                </w:tcPr>
                <w:p>
                  <w:pPr>
                    <w:pStyle w:val="68"/>
                    <w:rPr>
                      <w:color w:val="auto"/>
                    </w:rPr>
                  </w:pPr>
                  <w:r>
                    <w:rPr>
                      <w:rFonts w:hint="eastAsia"/>
                      <w:color w:val="auto"/>
                      <w:lang w:eastAsia="zh-CN"/>
                    </w:rPr>
                    <w:t>餐厨垃圾处置车间（D</w:t>
                  </w:r>
                  <w:r>
                    <w:rPr>
                      <w:color w:val="auto"/>
                      <w:lang w:eastAsia="zh-CN"/>
                    </w:rPr>
                    <w:t>A001</w:t>
                  </w:r>
                  <w:r>
                    <w:rPr>
                      <w:rFonts w:hint="eastAsia"/>
                      <w:color w:val="auto"/>
                      <w:lang w:eastAsia="zh-CN"/>
                    </w:rPr>
                    <w:t>）</w:t>
                  </w:r>
                </w:p>
              </w:tc>
              <w:tc>
                <w:tcPr>
                  <w:tcW w:w="730" w:type="pct"/>
                  <w:vAlign w:val="center"/>
                </w:tcPr>
                <w:p>
                  <w:pPr>
                    <w:pStyle w:val="68"/>
                    <w:rPr>
                      <w:color w:val="auto"/>
                    </w:rPr>
                  </w:pPr>
                  <w:r>
                    <w:rPr>
                      <w:rFonts w:hint="eastAsia"/>
                      <w:color w:val="auto"/>
                      <w:lang w:eastAsia="zh-CN"/>
                    </w:rPr>
                    <w:t>氨</w:t>
                  </w:r>
                </w:p>
              </w:tc>
              <w:tc>
                <w:tcPr>
                  <w:tcW w:w="1463" w:type="pct"/>
                  <w:vAlign w:val="center"/>
                </w:tcPr>
                <w:p>
                  <w:pPr>
                    <w:pStyle w:val="68"/>
                    <w:rPr>
                      <w:color w:val="auto"/>
                      <w:lang w:eastAsia="zh-CN"/>
                    </w:rPr>
                  </w:pPr>
                  <w:r>
                    <w:rPr>
                      <w:color w:val="auto"/>
                      <w:lang w:eastAsia="zh-CN"/>
                    </w:rPr>
                    <w:t>0.122</w:t>
                  </w:r>
                  <w:r>
                    <w:rPr>
                      <w:color w:val="auto"/>
                      <w:lang w:val="en-US" w:eastAsia="zh-CN"/>
                    </w:rPr>
                    <w:t>t/a</w:t>
                  </w:r>
                  <w:r>
                    <w:rPr>
                      <w:rFonts w:hint="eastAsia"/>
                      <w:color w:val="auto"/>
                      <w:lang w:val="en-US" w:eastAsia="zh-CN"/>
                    </w:rPr>
                    <w:t>,</w:t>
                  </w:r>
                  <w:r>
                    <w:rPr>
                      <w:color w:val="auto"/>
                      <w:lang w:val="en-US" w:eastAsia="zh-CN"/>
                    </w:rPr>
                    <w:t>2.83mg/m</w:t>
                  </w:r>
                  <w:r>
                    <w:rPr>
                      <w:color w:val="auto"/>
                      <w:vertAlign w:val="superscript"/>
                      <w:lang w:val="en-US" w:eastAsia="zh-CN"/>
                    </w:rPr>
                    <w:t>3</w:t>
                  </w:r>
                </w:p>
              </w:tc>
              <w:tc>
                <w:tcPr>
                  <w:tcW w:w="1417" w:type="pct"/>
                  <w:vAlign w:val="center"/>
                </w:tcPr>
                <w:p>
                  <w:pPr>
                    <w:pStyle w:val="68"/>
                    <w:rPr>
                      <w:color w:val="auto"/>
                    </w:rPr>
                  </w:pPr>
                  <w:r>
                    <w:rPr>
                      <w:color w:val="auto"/>
                      <w:lang w:eastAsia="zh-CN"/>
                    </w:rPr>
                    <w:t>0.009</w:t>
                  </w:r>
                  <w:r>
                    <w:rPr>
                      <w:color w:val="auto"/>
                      <w:lang w:val="en-US" w:eastAsia="zh-CN"/>
                    </w:rPr>
                    <w:t>t/a</w:t>
                  </w:r>
                  <w:r>
                    <w:rPr>
                      <w:rFonts w:hint="eastAsia"/>
                      <w:color w:val="auto"/>
                      <w:lang w:val="en-US" w:eastAsia="zh-CN"/>
                    </w:rPr>
                    <w:t>,</w:t>
                  </w:r>
                  <w:r>
                    <w:rPr>
                      <w:color w:val="auto"/>
                      <w:lang w:val="en-US" w:eastAsia="zh-CN"/>
                    </w:rPr>
                    <w:t>0.22mg/m</w:t>
                  </w:r>
                  <w:r>
                    <w:rPr>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lang w:eastAsia="zh-CN"/>
                    </w:rPr>
                  </w:pPr>
                </w:p>
              </w:tc>
              <w:tc>
                <w:tcPr>
                  <w:tcW w:w="730" w:type="pct"/>
                  <w:vAlign w:val="center"/>
                </w:tcPr>
                <w:p>
                  <w:pPr>
                    <w:pStyle w:val="68"/>
                    <w:rPr>
                      <w:color w:val="auto"/>
                    </w:rPr>
                  </w:pPr>
                  <w:r>
                    <w:rPr>
                      <w:rFonts w:hint="eastAsia"/>
                      <w:color w:val="auto"/>
                      <w:lang w:eastAsia="zh-CN"/>
                    </w:rPr>
                    <w:t>硫化氢</w:t>
                  </w:r>
                </w:p>
              </w:tc>
              <w:tc>
                <w:tcPr>
                  <w:tcW w:w="1463" w:type="pct"/>
                  <w:vAlign w:val="center"/>
                </w:tcPr>
                <w:p>
                  <w:pPr>
                    <w:pStyle w:val="68"/>
                    <w:rPr>
                      <w:color w:val="auto"/>
                      <w:lang w:val="en-US"/>
                    </w:rPr>
                  </w:pPr>
                  <w:r>
                    <w:rPr>
                      <w:color w:val="auto"/>
                      <w:lang w:eastAsia="zh-CN"/>
                    </w:rPr>
                    <w:t>0.017</w:t>
                  </w:r>
                  <w:r>
                    <w:rPr>
                      <w:color w:val="auto"/>
                      <w:lang w:val="en-US" w:eastAsia="zh-CN"/>
                    </w:rPr>
                    <w:t>t/a</w:t>
                  </w:r>
                  <w:r>
                    <w:rPr>
                      <w:rFonts w:hint="eastAsia"/>
                      <w:color w:val="auto"/>
                      <w:lang w:val="en-US" w:eastAsia="zh-CN"/>
                    </w:rPr>
                    <w:t>,</w:t>
                  </w:r>
                  <w:r>
                    <w:rPr>
                      <w:color w:val="auto"/>
                      <w:lang w:val="en-US" w:eastAsia="zh-CN"/>
                    </w:rPr>
                    <w:t>0.4mg/m</w:t>
                  </w:r>
                  <w:r>
                    <w:rPr>
                      <w:color w:val="auto"/>
                      <w:vertAlign w:val="superscript"/>
                      <w:lang w:val="en-US" w:eastAsia="zh-CN"/>
                    </w:rPr>
                    <w:t>3</w:t>
                  </w:r>
                </w:p>
              </w:tc>
              <w:tc>
                <w:tcPr>
                  <w:tcW w:w="1417" w:type="pct"/>
                  <w:vAlign w:val="center"/>
                </w:tcPr>
                <w:p>
                  <w:pPr>
                    <w:pStyle w:val="68"/>
                    <w:rPr>
                      <w:color w:val="auto"/>
                      <w:lang w:val="en-US"/>
                    </w:rPr>
                  </w:pPr>
                  <w:r>
                    <w:rPr>
                      <w:color w:val="auto"/>
                      <w:lang w:val="en-US"/>
                    </w:rPr>
                    <w:t>0.052t/a</w:t>
                  </w:r>
                  <w:r>
                    <w:rPr>
                      <w:rFonts w:hint="eastAsia"/>
                      <w:color w:val="auto"/>
                      <w:lang w:val="en-US" w:eastAsia="zh-CN"/>
                    </w:rPr>
                    <w:t>,</w:t>
                  </w:r>
                  <w:r>
                    <w:rPr>
                      <w:color w:val="auto"/>
                      <w:lang w:val="en-US" w:eastAsia="zh-CN"/>
                    </w:rPr>
                    <w:t>0.12mg/m</w:t>
                  </w:r>
                  <w:r>
                    <w:rPr>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lang w:eastAsia="zh-CN"/>
                    </w:rPr>
                  </w:pPr>
                </w:p>
              </w:tc>
              <w:tc>
                <w:tcPr>
                  <w:tcW w:w="730" w:type="pct"/>
                  <w:vAlign w:val="center"/>
                </w:tcPr>
                <w:p>
                  <w:pPr>
                    <w:pStyle w:val="68"/>
                    <w:rPr>
                      <w:color w:val="auto"/>
                    </w:rPr>
                  </w:pPr>
                  <w:r>
                    <w:rPr>
                      <w:rFonts w:hint="eastAsia"/>
                      <w:color w:val="auto"/>
                      <w:lang w:eastAsia="zh-CN"/>
                    </w:rPr>
                    <w:t>臭气浓度</w:t>
                  </w:r>
                </w:p>
              </w:tc>
              <w:tc>
                <w:tcPr>
                  <w:tcW w:w="1463" w:type="pct"/>
                  <w:vAlign w:val="center"/>
                </w:tcPr>
                <w:p>
                  <w:pPr>
                    <w:pStyle w:val="68"/>
                    <w:rPr>
                      <w:color w:val="auto"/>
                      <w:lang w:eastAsia="zh-CN"/>
                    </w:rPr>
                  </w:pPr>
                  <w:r>
                    <w:rPr>
                      <w:color w:val="auto"/>
                      <w:lang w:val="en-US" w:eastAsia="zh-CN"/>
                    </w:rPr>
                    <w:t>6182</w:t>
                  </w:r>
                  <w:r>
                    <w:rPr>
                      <w:rFonts w:hint="eastAsia"/>
                      <w:color w:val="auto"/>
                      <w:lang w:val="en-US" w:eastAsia="zh-CN"/>
                    </w:rPr>
                    <w:t>（无量纲）</w:t>
                  </w:r>
                </w:p>
              </w:tc>
              <w:tc>
                <w:tcPr>
                  <w:tcW w:w="1417" w:type="pct"/>
                  <w:vAlign w:val="center"/>
                </w:tcPr>
                <w:p>
                  <w:pPr>
                    <w:pStyle w:val="68"/>
                    <w:rPr>
                      <w:color w:val="auto"/>
                      <w:lang w:val="en-US"/>
                    </w:rPr>
                  </w:pPr>
                  <w:r>
                    <w:rPr>
                      <w:color w:val="auto"/>
                      <w:lang w:val="en-US"/>
                    </w:rPr>
                    <w:t>476</w:t>
                  </w:r>
                  <w:r>
                    <w:rPr>
                      <w:rFonts w:hint="eastAsia"/>
                      <w:color w:val="auto"/>
                      <w:lang w:val="en-US"/>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restart"/>
                  <w:vAlign w:val="center"/>
                </w:tcPr>
                <w:p>
                  <w:pPr>
                    <w:pStyle w:val="68"/>
                    <w:rPr>
                      <w:color w:val="auto"/>
                      <w:lang w:eastAsia="zh-CN"/>
                    </w:rPr>
                  </w:pPr>
                  <w:r>
                    <w:rPr>
                      <w:rFonts w:hint="eastAsia"/>
                      <w:color w:val="auto"/>
                      <w:lang w:eastAsia="zh-CN"/>
                    </w:rPr>
                    <w:t>餐厨垃圾处置车间（无组织）</w:t>
                  </w:r>
                </w:p>
              </w:tc>
              <w:tc>
                <w:tcPr>
                  <w:tcW w:w="730" w:type="pct"/>
                  <w:vAlign w:val="center"/>
                </w:tcPr>
                <w:p>
                  <w:pPr>
                    <w:pStyle w:val="68"/>
                    <w:rPr>
                      <w:color w:val="auto"/>
                    </w:rPr>
                  </w:pPr>
                  <w:r>
                    <w:rPr>
                      <w:rFonts w:hint="eastAsia"/>
                      <w:color w:val="auto"/>
                      <w:lang w:eastAsia="zh-CN"/>
                    </w:rPr>
                    <w:t>氨</w:t>
                  </w:r>
                </w:p>
              </w:tc>
              <w:tc>
                <w:tcPr>
                  <w:tcW w:w="1463" w:type="pct"/>
                  <w:vAlign w:val="center"/>
                </w:tcPr>
                <w:p>
                  <w:pPr>
                    <w:pStyle w:val="68"/>
                    <w:rPr>
                      <w:color w:val="auto"/>
                      <w:lang w:eastAsia="zh-CN"/>
                    </w:rPr>
                  </w:pPr>
                  <w:r>
                    <w:rPr>
                      <w:rFonts w:hint="eastAsia"/>
                      <w:color w:val="auto"/>
                      <w:lang w:val="en-US" w:eastAsia="zh-CN"/>
                    </w:rPr>
                    <w:t>0</w:t>
                  </w:r>
                  <w:r>
                    <w:rPr>
                      <w:color w:val="auto"/>
                      <w:lang w:val="en-US" w:eastAsia="zh-CN"/>
                    </w:rPr>
                    <w:t>.022t/a</w:t>
                  </w:r>
                </w:p>
              </w:tc>
              <w:tc>
                <w:tcPr>
                  <w:tcW w:w="1417" w:type="pct"/>
                  <w:vAlign w:val="center"/>
                </w:tcPr>
                <w:p>
                  <w:pPr>
                    <w:pStyle w:val="68"/>
                    <w:rPr>
                      <w:color w:val="auto"/>
                      <w:lang w:val="en-US"/>
                    </w:rPr>
                  </w:pPr>
                  <w:r>
                    <w:rPr>
                      <w:rFonts w:hint="eastAsia"/>
                      <w:color w:val="auto"/>
                      <w:lang w:val="en-US" w:eastAsia="zh-CN"/>
                    </w:rPr>
                    <w:t>0</w:t>
                  </w:r>
                  <w:r>
                    <w:rPr>
                      <w:color w:val="auto"/>
                      <w:lang w:val="en-US" w:eastAsia="zh-CN"/>
                    </w:rPr>
                    <w:t>.022t/a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lang w:eastAsia="zh-CN"/>
                    </w:rPr>
                  </w:pPr>
                </w:p>
              </w:tc>
              <w:tc>
                <w:tcPr>
                  <w:tcW w:w="730" w:type="pct"/>
                  <w:vAlign w:val="center"/>
                </w:tcPr>
                <w:p>
                  <w:pPr>
                    <w:pStyle w:val="68"/>
                    <w:rPr>
                      <w:color w:val="auto"/>
                    </w:rPr>
                  </w:pPr>
                  <w:r>
                    <w:rPr>
                      <w:rFonts w:hint="eastAsia"/>
                      <w:color w:val="auto"/>
                      <w:lang w:eastAsia="zh-CN"/>
                    </w:rPr>
                    <w:t>硫化氢</w:t>
                  </w:r>
                </w:p>
              </w:tc>
              <w:tc>
                <w:tcPr>
                  <w:tcW w:w="1463" w:type="pct"/>
                  <w:vAlign w:val="center"/>
                </w:tcPr>
                <w:p>
                  <w:pPr>
                    <w:pStyle w:val="68"/>
                    <w:rPr>
                      <w:color w:val="auto"/>
                      <w:lang w:eastAsia="zh-CN"/>
                    </w:rPr>
                  </w:pPr>
                  <w:r>
                    <w:rPr>
                      <w:rFonts w:hint="eastAsia"/>
                      <w:color w:val="auto"/>
                      <w:lang w:val="en-US" w:eastAsia="zh-CN"/>
                    </w:rPr>
                    <w:t>0</w:t>
                  </w:r>
                  <w:r>
                    <w:rPr>
                      <w:color w:val="auto"/>
                      <w:lang w:val="en-US" w:eastAsia="zh-CN"/>
                    </w:rPr>
                    <w:t>.003t/a</w:t>
                  </w:r>
                </w:p>
              </w:tc>
              <w:tc>
                <w:tcPr>
                  <w:tcW w:w="1417" w:type="pct"/>
                  <w:vAlign w:val="center"/>
                </w:tcPr>
                <w:p>
                  <w:pPr>
                    <w:pStyle w:val="68"/>
                    <w:rPr>
                      <w:color w:val="auto"/>
                      <w:lang w:val="en-US"/>
                    </w:rPr>
                  </w:pPr>
                  <w:r>
                    <w:rPr>
                      <w:rFonts w:hint="eastAsia"/>
                      <w:color w:val="auto"/>
                      <w:lang w:val="en-US" w:eastAsia="zh-CN"/>
                    </w:rPr>
                    <w:t>0</w:t>
                  </w:r>
                  <w:r>
                    <w:rPr>
                      <w:color w:val="auto"/>
                      <w:lang w:val="en-US" w:eastAsia="zh-CN"/>
                    </w:rPr>
                    <w:t>.003t/a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lang w:eastAsia="zh-CN"/>
                    </w:rPr>
                  </w:pPr>
                </w:p>
              </w:tc>
              <w:tc>
                <w:tcPr>
                  <w:tcW w:w="730" w:type="pct"/>
                  <w:vAlign w:val="center"/>
                </w:tcPr>
                <w:p>
                  <w:pPr>
                    <w:pStyle w:val="68"/>
                    <w:rPr>
                      <w:color w:val="auto"/>
                    </w:rPr>
                  </w:pPr>
                  <w:r>
                    <w:rPr>
                      <w:rFonts w:hint="eastAsia"/>
                      <w:color w:val="auto"/>
                      <w:lang w:eastAsia="zh-CN"/>
                    </w:rPr>
                    <w:t>臭气浓度</w:t>
                  </w:r>
                </w:p>
              </w:tc>
              <w:tc>
                <w:tcPr>
                  <w:tcW w:w="1463" w:type="pct"/>
                  <w:vAlign w:val="center"/>
                </w:tcPr>
                <w:p>
                  <w:pPr>
                    <w:pStyle w:val="68"/>
                    <w:rPr>
                      <w:color w:val="auto"/>
                      <w:lang w:eastAsia="zh-CN"/>
                    </w:rPr>
                  </w:pPr>
                  <w:r>
                    <w:rPr>
                      <w:rFonts w:hint="eastAsia"/>
                      <w:color w:val="auto"/>
                      <w:lang w:val="en-US" w:eastAsia="zh-CN"/>
                    </w:rPr>
                    <w:t>1</w:t>
                  </w:r>
                  <w:r>
                    <w:rPr>
                      <w:color w:val="auto"/>
                      <w:lang w:val="en-US" w:eastAsia="zh-CN"/>
                    </w:rPr>
                    <w:t>7</w:t>
                  </w:r>
                  <w:r>
                    <w:rPr>
                      <w:rFonts w:hint="eastAsia"/>
                      <w:color w:val="auto"/>
                      <w:lang w:val="en-US" w:eastAsia="zh-CN"/>
                    </w:rPr>
                    <w:t>（无量纲）</w:t>
                  </w:r>
                </w:p>
              </w:tc>
              <w:tc>
                <w:tcPr>
                  <w:tcW w:w="1417" w:type="pct"/>
                  <w:vAlign w:val="center"/>
                </w:tcPr>
                <w:p>
                  <w:pPr>
                    <w:pStyle w:val="68"/>
                    <w:rPr>
                      <w:color w:val="auto"/>
                      <w:lang w:val="en-US" w:eastAsia="zh-CN"/>
                    </w:rPr>
                  </w:pPr>
                  <w:r>
                    <w:rPr>
                      <w:rFonts w:hint="eastAsia"/>
                      <w:color w:val="auto"/>
                      <w:lang w:val="en-US" w:eastAsia="zh-CN"/>
                    </w:rPr>
                    <w:t>1</w:t>
                  </w:r>
                  <w:r>
                    <w:rPr>
                      <w:color w:val="auto"/>
                      <w:lang w:val="en-US" w:eastAsia="zh-CN"/>
                    </w:rPr>
                    <w:t>7</w:t>
                  </w:r>
                  <w:r>
                    <w:rPr>
                      <w:rFonts w:hint="eastAsia"/>
                      <w:color w:val="auto"/>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restart"/>
                  <w:vAlign w:val="center"/>
                </w:tcPr>
                <w:p>
                  <w:pPr>
                    <w:pStyle w:val="68"/>
                    <w:rPr>
                      <w:color w:val="auto"/>
                      <w:highlight w:val="none"/>
                      <w:lang w:eastAsia="zh-CN"/>
                    </w:rPr>
                  </w:pPr>
                  <w:r>
                    <w:rPr>
                      <w:rFonts w:hint="eastAsia"/>
                      <w:color w:val="auto"/>
                      <w:highlight w:val="none"/>
                      <w:lang w:eastAsia="zh-CN"/>
                    </w:rPr>
                    <w:t>生物质锅炉（D</w:t>
                  </w:r>
                  <w:r>
                    <w:rPr>
                      <w:color w:val="auto"/>
                      <w:highlight w:val="none"/>
                      <w:lang w:eastAsia="zh-CN"/>
                    </w:rPr>
                    <w:t>A002</w:t>
                  </w:r>
                  <w:r>
                    <w:rPr>
                      <w:rFonts w:hint="eastAsia"/>
                      <w:color w:val="auto"/>
                      <w:highlight w:val="none"/>
                      <w:lang w:eastAsia="zh-CN"/>
                    </w:rPr>
                    <w:t>）</w:t>
                  </w:r>
                </w:p>
              </w:tc>
              <w:tc>
                <w:tcPr>
                  <w:tcW w:w="730" w:type="pct"/>
                  <w:vAlign w:val="center"/>
                </w:tcPr>
                <w:p>
                  <w:pPr>
                    <w:pStyle w:val="68"/>
                    <w:rPr>
                      <w:color w:val="auto"/>
                      <w:highlight w:val="none"/>
                      <w:lang w:eastAsia="zh-CN"/>
                    </w:rPr>
                  </w:pPr>
                  <w:r>
                    <w:rPr>
                      <w:rFonts w:hint="eastAsia"/>
                      <w:color w:val="auto"/>
                      <w:highlight w:val="none"/>
                      <w:lang w:eastAsia="zh-CN"/>
                    </w:rPr>
                    <w:t>颗粒物</w:t>
                  </w:r>
                </w:p>
              </w:tc>
              <w:tc>
                <w:tcPr>
                  <w:tcW w:w="1463" w:type="pct"/>
                  <w:vAlign w:val="center"/>
                </w:tcPr>
                <w:p>
                  <w:pPr>
                    <w:pStyle w:val="68"/>
                    <w:rPr>
                      <w:color w:val="auto"/>
                      <w:highlight w:val="none"/>
                      <w:lang w:val="en-US" w:eastAsia="zh-CN"/>
                    </w:rPr>
                  </w:pPr>
                  <w:r>
                    <w:rPr>
                      <w:rFonts w:hint="eastAsia"/>
                      <w:color w:val="auto"/>
                      <w:highlight w:val="none"/>
                      <w:lang w:val="en-US" w:eastAsia="zh-CN"/>
                    </w:rPr>
                    <w:t>0.49</w:t>
                  </w:r>
                  <w:r>
                    <w:rPr>
                      <w:color w:val="auto"/>
                      <w:highlight w:val="none"/>
                      <w:lang w:val="en-US" w:eastAsia="zh-CN"/>
                    </w:rPr>
                    <w:t>t/a</w:t>
                  </w:r>
                  <w:r>
                    <w:rPr>
                      <w:rFonts w:hint="eastAsia"/>
                      <w:color w:val="auto"/>
                      <w:highlight w:val="none"/>
                      <w:lang w:val="en-US" w:eastAsia="zh-CN"/>
                    </w:rPr>
                    <w:t>,80.063</w:t>
                  </w:r>
                  <w:r>
                    <w:rPr>
                      <w:color w:val="auto"/>
                      <w:highlight w:val="none"/>
                      <w:lang w:val="en-US" w:eastAsia="zh-CN"/>
                    </w:rPr>
                    <w:t>mg/m</w:t>
                  </w:r>
                  <w:r>
                    <w:rPr>
                      <w:color w:val="auto"/>
                      <w:highlight w:val="none"/>
                      <w:vertAlign w:val="superscript"/>
                      <w:lang w:val="en-US" w:eastAsia="zh-CN"/>
                    </w:rPr>
                    <w:t>3</w:t>
                  </w:r>
                </w:p>
              </w:tc>
              <w:tc>
                <w:tcPr>
                  <w:tcW w:w="1417" w:type="pct"/>
                  <w:vAlign w:val="center"/>
                </w:tcPr>
                <w:p>
                  <w:pPr>
                    <w:pStyle w:val="68"/>
                    <w:rPr>
                      <w:color w:val="auto"/>
                      <w:highlight w:val="green"/>
                      <w:lang w:val="en-US" w:eastAsia="zh-CN"/>
                    </w:rPr>
                  </w:pPr>
                  <w:r>
                    <w:rPr>
                      <w:rFonts w:hint="eastAsia"/>
                      <w:color w:val="auto"/>
                      <w:highlight w:val="none"/>
                      <w:lang w:val="en-US" w:eastAsia="zh-CN"/>
                    </w:rPr>
                    <w:t>0.001</w:t>
                  </w:r>
                  <w:r>
                    <w:rPr>
                      <w:color w:val="auto"/>
                      <w:highlight w:val="none"/>
                      <w:lang w:val="en-US" w:eastAsia="zh-CN"/>
                    </w:rPr>
                    <w:t>t/a</w:t>
                  </w:r>
                  <w:r>
                    <w:rPr>
                      <w:rFonts w:hint="eastAsia"/>
                      <w:color w:val="auto"/>
                      <w:highlight w:val="none"/>
                      <w:lang w:val="en-US" w:eastAsia="zh-CN"/>
                    </w:rPr>
                    <w:t>,0.24</w:t>
                  </w:r>
                  <w:r>
                    <w:rPr>
                      <w:color w:val="auto"/>
                      <w:highlight w:val="none"/>
                      <w:lang w:val="en-US" w:eastAsia="zh-CN"/>
                    </w:rPr>
                    <w:t>mg/m</w:t>
                  </w:r>
                  <w:r>
                    <w:rPr>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highlight w:val="green"/>
                      <w:lang w:eastAsia="zh-CN"/>
                    </w:rPr>
                  </w:pPr>
                </w:p>
              </w:tc>
              <w:tc>
                <w:tcPr>
                  <w:tcW w:w="730" w:type="pct"/>
                  <w:vAlign w:val="center"/>
                </w:tcPr>
                <w:p>
                  <w:pPr>
                    <w:pStyle w:val="68"/>
                    <w:rPr>
                      <w:color w:val="auto"/>
                      <w:highlight w:val="none"/>
                      <w:lang w:eastAsia="zh-CN"/>
                    </w:rPr>
                  </w:pPr>
                  <w:r>
                    <w:rPr>
                      <w:color w:val="auto"/>
                      <w:highlight w:val="none"/>
                    </w:rPr>
                    <w:t>SO</w:t>
                  </w:r>
                  <w:r>
                    <w:rPr>
                      <w:color w:val="auto"/>
                      <w:highlight w:val="none"/>
                      <w:vertAlign w:val="subscript"/>
                    </w:rPr>
                    <w:t>2</w:t>
                  </w:r>
                </w:p>
              </w:tc>
              <w:tc>
                <w:tcPr>
                  <w:tcW w:w="1463" w:type="pct"/>
                  <w:vAlign w:val="center"/>
                </w:tcPr>
                <w:p>
                  <w:pPr>
                    <w:pStyle w:val="68"/>
                    <w:rPr>
                      <w:color w:val="auto"/>
                      <w:highlight w:val="none"/>
                      <w:lang w:val="en-US" w:eastAsia="zh-CN"/>
                    </w:rPr>
                  </w:pPr>
                  <w:r>
                    <w:rPr>
                      <w:rFonts w:hint="eastAsia"/>
                      <w:color w:val="auto"/>
                      <w:highlight w:val="none"/>
                      <w:lang w:val="en-US" w:eastAsia="zh-CN"/>
                    </w:rPr>
                    <w:t>0.55</w:t>
                  </w:r>
                  <w:r>
                    <w:rPr>
                      <w:color w:val="auto"/>
                      <w:highlight w:val="none"/>
                      <w:lang w:val="en-US" w:eastAsia="zh-CN"/>
                    </w:rPr>
                    <w:t>t/a</w:t>
                  </w:r>
                  <w:r>
                    <w:rPr>
                      <w:rFonts w:hint="eastAsia"/>
                      <w:color w:val="auto"/>
                      <w:highlight w:val="none"/>
                      <w:lang w:val="en-US" w:eastAsia="zh-CN"/>
                    </w:rPr>
                    <w:t>,89.874</w:t>
                  </w:r>
                  <w:r>
                    <w:rPr>
                      <w:color w:val="auto"/>
                      <w:highlight w:val="none"/>
                      <w:lang w:val="en-US" w:eastAsia="zh-CN"/>
                    </w:rPr>
                    <w:t>mg/m</w:t>
                  </w:r>
                  <w:r>
                    <w:rPr>
                      <w:color w:val="auto"/>
                      <w:highlight w:val="none"/>
                      <w:vertAlign w:val="superscript"/>
                      <w:lang w:val="en-US" w:eastAsia="zh-CN"/>
                    </w:rPr>
                    <w:t>3</w:t>
                  </w:r>
                </w:p>
              </w:tc>
              <w:tc>
                <w:tcPr>
                  <w:tcW w:w="1417" w:type="pct"/>
                  <w:vAlign w:val="center"/>
                </w:tcPr>
                <w:p>
                  <w:pPr>
                    <w:pStyle w:val="68"/>
                    <w:rPr>
                      <w:color w:val="auto"/>
                      <w:highlight w:val="none"/>
                      <w:lang w:val="en-US" w:eastAsia="zh-CN"/>
                    </w:rPr>
                  </w:pPr>
                  <w:r>
                    <w:rPr>
                      <w:rFonts w:hint="eastAsia"/>
                      <w:color w:val="auto"/>
                      <w:highlight w:val="none"/>
                      <w:lang w:val="en-US" w:eastAsia="zh-CN"/>
                    </w:rPr>
                    <w:t>0.55</w:t>
                  </w:r>
                  <w:r>
                    <w:rPr>
                      <w:color w:val="auto"/>
                      <w:highlight w:val="none"/>
                      <w:lang w:val="en-US" w:eastAsia="zh-CN"/>
                    </w:rPr>
                    <w:t>t/a</w:t>
                  </w:r>
                  <w:r>
                    <w:rPr>
                      <w:rFonts w:hint="eastAsia"/>
                      <w:color w:val="auto"/>
                      <w:highlight w:val="none"/>
                      <w:lang w:val="en-US" w:eastAsia="zh-CN"/>
                    </w:rPr>
                    <w:t>,89.874</w:t>
                  </w:r>
                  <w:r>
                    <w:rPr>
                      <w:color w:val="auto"/>
                      <w:highlight w:val="none"/>
                      <w:lang w:val="en-US" w:eastAsia="zh-CN"/>
                    </w:rPr>
                    <w:t>mg/m</w:t>
                  </w:r>
                  <w:r>
                    <w:rPr>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Merge w:val="continue"/>
                  <w:vAlign w:val="center"/>
                </w:tcPr>
                <w:p>
                  <w:pPr>
                    <w:pStyle w:val="68"/>
                    <w:rPr>
                      <w:color w:val="auto"/>
                      <w:highlight w:val="green"/>
                      <w:lang w:eastAsia="zh-CN"/>
                    </w:rPr>
                  </w:pPr>
                </w:p>
              </w:tc>
              <w:tc>
                <w:tcPr>
                  <w:tcW w:w="730" w:type="pct"/>
                  <w:vAlign w:val="center"/>
                </w:tcPr>
                <w:p>
                  <w:pPr>
                    <w:pStyle w:val="68"/>
                    <w:rPr>
                      <w:color w:val="auto"/>
                      <w:highlight w:val="none"/>
                      <w:lang w:eastAsia="zh-CN"/>
                    </w:rPr>
                  </w:pPr>
                  <w:r>
                    <w:rPr>
                      <w:color w:val="auto"/>
                      <w:highlight w:val="none"/>
                    </w:rPr>
                    <w:t>NOx</w:t>
                  </w:r>
                </w:p>
              </w:tc>
              <w:tc>
                <w:tcPr>
                  <w:tcW w:w="1463" w:type="pct"/>
                  <w:vAlign w:val="center"/>
                </w:tcPr>
                <w:p>
                  <w:pPr>
                    <w:pStyle w:val="68"/>
                    <w:rPr>
                      <w:color w:val="auto"/>
                      <w:highlight w:val="none"/>
                      <w:lang w:val="en-US" w:eastAsia="zh-CN"/>
                    </w:rPr>
                  </w:pPr>
                  <w:r>
                    <w:rPr>
                      <w:rFonts w:hint="eastAsia"/>
                      <w:color w:val="auto"/>
                      <w:highlight w:val="none"/>
                      <w:lang w:val="en-US" w:eastAsia="zh-CN"/>
                    </w:rPr>
                    <w:t>1</w:t>
                  </w:r>
                  <w:r>
                    <w:rPr>
                      <w:color w:val="auto"/>
                      <w:highlight w:val="none"/>
                      <w:lang w:val="en-US" w:eastAsia="zh-CN"/>
                    </w:rPr>
                    <w:t>t/a</w:t>
                  </w:r>
                  <w:r>
                    <w:rPr>
                      <w:rFonts w:hint="eastAsia"/>
                      <w:color w:val="auto"/>
                      <w:highlight w:val="none"/>
                      <w:lang w:val="en-US" w:eastAsia="zh-CN"/>
                    </w:rPr>
                    <w:t>,163.658</w:t>
                  </w:r>
                  <w:r>
                    <w:rPr>
                      <w:color w:val="auto"/>
                      <w:highlight w:val="none"/>
                      <w:lang w:val="en-US" w:eastAsia="zh-CN"/>
                    </w:rPr>
                    <w:t>mg/m</w:t>
                  </w:r>
                  <w:r>
                    <w:rPr>
                      <w:color w:val="auto"/>
                      <w:highlight w:val="none"/>
                      <w:vertAlign w:val="superscript"/>
                      <w:lang w:val="en-US" w:eastAsia="zh-CN"/>
                    </w:rPr>
                    <w:t>3</w:t>
                  </w:r>
                </w:p>
              </w:tc>
              <w:tc>
                <w:tcPr>
                  <w:tcW w:w="1417" w:type="pct"/>
                  <w:vAlign w:val="center"/>
                </w:tcPr>
                <w:p>
                  <w:pPr>
                    <w:pStyle w:val="68"/>
                    <w:rPr>
                      <w:color w:val="auto"/>
                      <w:highlight w:val="none"/>
                      <w:lang w:val="en-US" w:eastAsia="zh-CN"/>
                    </w:rPr>
                  </w:pPr>
                  <w:r>
                    <w:rPr>
                      <w:rFonts w:hint="eastAsia"/>
                      <w:color w:val="auto"/>
                      <w:highlight w:val="none"/>
                      <w:lang w:val="en-US" w:eastAsia="zh-CN"/>
                    </w:rPr>
                    <w:t>0.7</w:t>
                  </w:r>
                  <w:r>
                    <w:rPr>
                      <w:color w:val="auto"/>
                      <w:highlight w:val="none"/>
                      <w:lang w:val="en-US" w:eastAsia="zh-CN"/>
                    </w:rPr>
                    <w:t>t/a</w:t>
                  </w:r>
                  <w:r>
                    <w:rPr>
                      <w:rFonts w:hint="eastAsia"/>
                      <w:color w:val="auto"/>
                      <w:highlight w:val="none"/>
                      <w:lang w:val="en-US" w:eastAsia="zh-CN"/>
                    </w:rPr>
                    <w:t>,114.561</w:t>
                  </w:r>
                  <w:r>
                    <w:rPr>
                      <w:color w:val="auto"/>
                      <w:highlight w:val="none"/>
                      <w:lang w:val="en-US" w:eastAsia="zh-CN"/>
                    </w:rPr>
                    <w:t>mg/m</w:t>
                  </w:r>
                  <w:r>
                    <w:rPr>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5" w:type="pct"/>
                  <w:vMerge w:val="restart"/>
                  <w:vAlign w:val="center"/>
                </w:tcPr>
                <w:p>
                  <w:pPr>
                    <w:pStyle w:val="68"/>
                    <w:rPr>
                      <w:color w:val="auto"/>
                    </w:rPr>
                  </w:pPr>
                  <w:r>
                    <w:rPr>
                      <w:rFonts w:hint="eastAsia"/>
                      <w:color w:val="auto"/>
                    </w:rPr>
                    <w:t>废水</w:t>
                  </w:r>
                </w:p>
              </w:tc>
              <w:tc>
                <w:tcPr>
                  <w:tcW w:w="913" w:type="pct"/>
                  <w:vMerge w:val="restart"/>
                  <w:vAlign w:val="center"/>
                </w:tcPr>
                <w:p>
                  <w:pPr>
                    <w:pStyle w:val="68"/>
                    <w:rPr>
                      <w:bCs/>
                      <w:color w:val="auto"/>
                    </w:rPr>
                  </w:pPr>
                  <w:r>
                    <w:rPr>
                      <w:rFonts w:hint="eastAsia"/>
                      <w:bCs/>
                      <w:color w:val="auto"/>
                      <w:lang w:eastAsia="zh-CN"/>
                    </w:rPr>
                    <w:t>生产废水</w:t>
                  </w:r>
                </w:p>
              </w:tc>
              <w:tc>
                <w:tcPr>
                  <w:tcW w:w="730" w:type="pct"/>
                  <w:vAlign w:val="center"/>
                </w:tcPr>
                <w:p>
                  <w:pPr>
                    <w:pStyle w:val="68"/>
                    <w:rPr>
                      <w:color w:val="auto"/>
                    </w:rPr>
                  </w:pPr>
                  <w:r>
                    <w:rPr>
                      <w:color w:val="auto"/>
                    </w:rPr>
                    <w:t>废水量</w:t>
                  </w:r>
                </w:p>
              </w:tc>
              <w:tc>
                <w:tcPr>
                  <w:tcW w:w="1463" w:type="pct"/>
                  <w:vAlign w:val="center"/>
                </w:tcPr>
                <w:p>
                  <w:pPr>
                    <w:pStyle w:val="68"/>
                    <w:rPr>
                      <w:color w:val="auto"/>
                    </w:rPr>
                  </w:pPr>
                  <w:r>
                    <w:rPr>
                      <w:rFonts w:hint="eastAsia"/>
                      <w:color w:val="auto"/>
                      <w:lang w:val="en-US" w:eastAsia="zh-CN"/>
                    </w:rPr>
                    <w:t>7506.4</w:t>
                  </w:r>
                  <w:r>
                    <w:rPr>
                      <w:color w:val="auto"/>
                      <w:lang w:eastAsia="zh-CN"/>
                    </w:rPr>
                    <w:t>m</w:t>
                  </w:r>
                  <w:r>
                    <w:rPr>
                      <w:rFonts w:hint="eastAsia"/>
                      <w:color w:val="auto"/>
                      <w:lang w:eastAsia="zh-CN"/>
                    </w:rPr>
                    <w:t>³</w:t>
                  </w:r>
                  <w:r>
                    <w:rPr>
                      <w:color w:val="auto"/>
                    </w:rPr>
                    <w:t>/a</w:t>
                  </w:r>
                </w:p>
              </w:tc>
              <w:tc>
                <w:tcPr>
                  <w:tcW w:w="1417" w:type="pct"/>
                  <w:vAlign w:val="center"/>
                </w:tcPr>
                <w:p>
                  <w:pPr>
                    <w:pStyle w:val="68"/>
                    <w:rPr>
                      <w:color w:val="auto"/>
                    </w:rPr>
                  </w:pPr>
                  <w:r>
                    <w:rPr>
                      <w:rFonts w:hint="eastAsia"/>
                      <w:color w:val="auto"/>
                      <w:lang w:val="en-US" w:eastAsia="zh-CN"/>
                    </w:rPr>
                    <w:t>7506.4</w:t>
                  </w:r>
                  <w:r>
                    <w:rPr>
                      <w:color w:val="auto"/>
                      <w:lang w:eastAsia="zh-CN"/>
                    </w:rPr>
                    <w:t>m</w:t>
                  </w:r>
                  <w:r>
                    <w:rPr>
                      <w:rFonts w:hint="eastAsia"/>
                      <w:color w:val="auto"/>
                      <w:lang w:eastAsia="zh-CN"/>
                    </w:rPr>
                    <w:t>³</w:t>
                  </w:r>
                  <w:r>
                    <w:rPr>
                      <w:color w:val="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rPr>
                  </w:pPr>
                </w:p>
              </w:tc>
              <w:tc>
                <w:tcPr>
                  <w:tcW w:w="913" w:type="pct"/>
                  <w:vMerge w:val="continue"/>
                  <w:vAlign w:val="center"/>
                </w:tcPr>
                <w:p>
                  <w:pPr>
                    <w:pStyle w:val="68"/>
                    <w:rPr>
                      <w:bCs/>
                      <w:color w:val="auto"/>
                      <w:lang w:eastAsia="zh-CN"/>
                    </w:rPr>
                  </w:pPr>
                </w:p>
              </w:tc>
              <w:tc>
                <w:tcPr>
                  <w:tcW w:w="730" w:type="pct"/>
                  <w:vAlign w:val="center"/>
                </w:tcPr>
                <w:p>
                  <w:pPr>
                    <w:pStyle w:val="68"/>
                    <w:rPr>
                      <w:color w:val="auto"/>
                      <w:lang w:eastAsia="zh-CN"/>
                    </w:rPr>
                  </w:pPr>
                  <w:r>
                    <w:rPr>
                      <w:rFonts w:hint="eastAsia"/>
                      <w:color w:val="auto"/>
                      <w:lang w:val="en-US" w:eastAsia="zh-CN"/>
                    </w:rPr>
                    <w:t>C</w:t>
                  </w:r>
                  <w:r>
                    <w:rPr>
                      <w:color w:val="auto"/>
                      <w:lang w:val="en-US" w:eastAsia="zh-CN"/>
                    </w:rPr>
                    <w:t>OD</w:t>
                  </w:r>
                </w:p>
              </w:tc>
              <w:tc>
                <w:tcPr>
                  <w:tcW w:w="1463" w:type="pct"/>
                  <w:vAlign w:val="center"/>
                </w:tcPr>
                <w:p>
                  <w:pPr>
                    <w:pStyle w:val="68"/>
                    <w:rPr>
                      <w:color w:val="auto"/>
                    </w:rPr>
                  </w:pPr>
                  <w:r>
                    <w:rPr>
                      <w:rFonts w:hint="eastAsia"/>
                      <w:color w:val="auto"/>
                      <w:lang w:val="en-US" w:eastAsia="zh-CN"/>
                    </w:rPr>
                    <w:t>103.588t</w:t>
                  </w:r>
                  <w:r>
                    <w:rPr>
                      <w:rFonts w:hint="eastAsia"/>
                      <w:color w:val="auto"/>
                      <w:lang w:eastAsia="zh-CN"/>
                    </w:rPr>
                    <w:t>/a,</w:t>
                  </w:r>
                  <w:r>
                    <w:rPr>
                      <w:color w:val="auto"/>
                    </w:rPr>
                    <w:t>13800mg/L</w:t>
                  </w:r>
                </w:p>
              </w:tc>
              <w:tc>
                <w:tcPr>
                  <w:tcW w:w="1417" w:type="pct"/>
                  <w:vAlign w:val="center"/>
                </w:tcPr>
                <w:p>
                  <w:pPr>
                    <w:pStyle w:val="68"/>
                    <w:rPr>
                      <w:color w:val="auto"/>
                    </w:rPr>
                  </w:pPr>
                  <w:r>
                    <w:rPr>
                      <w:rFonts w:hint="eastAsia"/>
                      <w:color w:val="auto"/>
                      <w:lang w:val="en-US" w:eastAsia="zh-CN"/>
                    </w:rPr>
                    <w:t>3.580</w:t>
                  </w:r>
                  <w:r>
                    <w:rPr>
                      <w:rFonts w:hint="eastAsia"/>
                      <w:color w:val="auto"/>
                      <w:lang w:eastAsia="zh-CN"/>
                    </w:rPr>
                    <w:t>t/a,</w:t>
                  </w:r>
                  <w:r>
                    <w:rPr>
                      <w:color w:val="auto"/>
                    </w:rPr>
                    <w:t>476.9mg/L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rPr>
                  </w:pPr>
                </w:p>
              </w:tc>
              <w:tc>
                <w:tcPr>
                  <w:tcW w:w="913" w:type="pct"/>
                  <w:vMerge w:val="continue"/>
                  <w:vAlign w:val="center"/>
                </w:tcPr>
                <w:p>
                  <w:pPr>
                    <w:pStyle w:val="68"/>
                    <w:rPr>
                      <w:bCs/>
                      <w:color w:val="auto"/>
                      <w:lang w:eastAsia="zh-CN"/>
                    </w:rPr>
                  </w:pPr>
                </w:p>
              </w:tc>
              <w:tc>
                <w:tcPr>
                  <w:tcW w:w="730" w:type="pct"/>
                  <w:vAlign w:val="center"/>
                </w:tcPr>
                <w:p>
                  <w:pPr>
                    <w:pStyle w:val="68"/>
                    <w:rPr>
                      <w:color w:val="auto"/>
                      <w:lang w:val="en-US" w:eastAsia="zh-CN"/>
                    </w:rPr>
                  </w:pPr>
                  <w:r>
                    <w:rPr>
                      <w:color w:val="auto"/>
                      <w:lang w:val="en-US" w:eastAsia="zh-CN"/>
                    </w:rPr>
                    <w:t>BOD</w:t>
                  </w:r>
                  <w:r>
                    <w:rPr>
                      <w:color w:val="auto"/>
                      <w:vertAlign w:val="subscript"/>
                      <w:lang w:val="en-US" w:eastAsia="zh-CN"/>
                    </w:rPr>
                    <w:t>5</w:t>
                  </w:r>
                </w:p>
              </w:tc>
              <w:tc>
                <w:tcPr>
                  <w:tcW w:w="1463" w:type="pct"/>
                  <w:vAlign w:val="center"/>
                </w:tcPr>
                <w:p>
                  <w:pPr>
                    <w:pStyle w:val="68"/>
                    <w:rPr>
                      <w:color w:val="auto"/>
                    </w:rPr>
                  </w:pPr>
                  <w:r>
                    <w:rPr>
                      <w:rFonts w:hint="eastAsia"/>
                      <w:color w:val="auto"/>
                      <w:lang w:val="en-US" w:eastAsia="zh-CN"/>
                    </w:rPr>
                    <w:t>42.036</w:t>
                  </w:r>
                  <w:r>
                    <w:rPr>
                      <w:rFonts w:hint="eastAsia"/>
                      <w:color w:val="auto"/>
                      <w:lang w:eastAsia="zh-CN"/>
                    </w:rPr>
                    <w:t>t/a,</w:t>
                  </w:r>
                  <w:r>
                    <w:rPr>
                      <w:color w:val="auto"/>
                    </w:rPr>
                    <w:t>5600mg/L</w:t>
                  </w:r>
                </w:p>
              </w:tc>
              <w:tc>
                <w:tcPr>
                  <w:tcW w:w="1417" w:type="pct"/>
                  <w:vAlign w:val="center"/>
                </w:tcPr>
                <w:p>
                  <w:pPr>
                    <w:pStyle w:val="68"/>
                    <w:rPr>
                      <w:color w:val="auto"/>
                    </w:rPr>
                  </w:pPr>
                  <w:r>
                    <w:rPr>
                      <w:rFonts w:hint="eastAsia"/>
                      <w:color w:val="auto"/>
                      <w:lang w:val="en-US" w:eastAsia="zh-CN"/>
                    </w:rPr>
                    <w:t>2.058</w:t>
                  </w:r>
                  <w:r>
                    <w:rPr>
                      <w:rFonts w:hint="eastAsia"/>
                      <w:color w:val="auto"/>
                      <w:lang w:eastAsia="zh-CN"/>
                    </w:rPr>
                    <w:t>t/a,</w:t>
                  </w:r>
                  <w:r>
                    <w:rPr>
                      <w:color w:val="auto"/>
                    </w:rPr>
                    <w:t>274.2mg/L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rPr>
                  </w:pPr>
                </w:p>
              </w:tc>
              <w:tc>
                <w:tcPr>
                  <w:tcW w:w="913" w:type="pct"/>
                  <w:vMerge w:val="continue"/>
                  <w:vAlign w:val="center"/>
                </w:tcPr>
                <w:p>
                  <w:pPr>
                    <w:pStyle w:val="68"/>
                    <w:rPr>
                      <w:bCs/>
                      <w:color w:val="auto"/>
                      <w:lang w:eastAsia="zh-CN"/>
                    </w:rPr>
                  </w:pPr>
                </w:p>
              </w:tc>
              <w:tc>
                <w:tcPr>
                  <w:tcW w:w="730" w:type="pct"/>
                  <w:vAlign w:val="center"/>
                </w:tcPr>
                <w:p>
                  <w:pPr>
                    <w:pStyle w:val="68"/>
                    <w:rPr>
                      <w:color w:val="auto"/>
                      <w:lang w:val="en-US" w:eastAsia="zh-CN"/>
                    </w:rPr>
                  </w:pPr>
                  <w:r>
                    <w:rPr>
                      <w:color w:val="auto"/>
                      <w:lang w:val="en-US" w:eastAsia="zh-CN"/>
                    </w:rPr>
                    <w:t>SS</w:t>
                  </w:r>
                </w:p>
              </w:tc>
              <w:tc>
                <w:tcPr>
                  <w:tcW w:w="1463" w:type="pct"/>
                  <w:vAlign w:val="center"/>
                </w:tcPr>
                <w:p>
                  <w:pPr>
                    <w:pStyle w:val="68"/>
                    <w:rPr>
                      <w:color w:val="auto"/>
                    </w:rPr>
                  </w:pPr>
                  <w:r>
                    <w:rPr>
                      <w:rFonts w:hint="eastAsia"/>
                      <w:color w:val="auto"/>
                      <w:lang w:val="en-US" w:eastAsia="zh-CN"/>
                    </w:rPr>
                    <w:t>45.038</w:t>
                  </w:r>
                  <w:r>
                    <w:rPr>
                      <w:rFonts w:hint="eastAsia"/>
                      <w:color w:val="auto"/>
                      <w:lang w:eastAsia="zh-CN"/>
                    </w:rPr>
                    <w:t>t/a,</w:t>
                  </w:r>
                  <w:r>
                    <w:rPr>
                      <w:color w:val="auto"/>
                    </w:rPr>
                    <w:t>6000mg/L</w:t>
                  </w:r>
                </w:p>
              </w:tc>
              <w:tc>
                <w:tcPr>
                  <w:tcW w:w="1417" w:type="pct"/>
                  <w:vAlign w:val="center"/>
                </w:tcPr>
                <w:p>
                  <w:pPr>
                    <w:pStyle w:val="68"/>
                    <w:rPr>
                      <w:color w:val="auto"/>
                    </w:rPr>
                  </w:pPr>
                  <w:r>
                    <w:rPr>
                      <w:rFonts w:hint="eastAsia"/>
                      <w:color w:val="auto"/>
                      <w:lang w:val="en-US" w:eastAsia="zh-CN"/>
                    </w:rPr>
                    <w:t>0.912</w:t>
                  </w:r>
                  <w:r>
                    <w:rPr>
                      <w:rFonts w:hint="eastAsia"/>
                      <w:color w:val="auto"/>
                      <w:lang w:eastAsia="zh-CN"/>
                    </w:rPr>
                    <w:t>t/a,</w:t>
                  </w:r>
                  <w:r>
                    <w:rPr>
                      <w:color w:val="auto"/>
                    </w:rPr>
                    <w:t>121.5mg/L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rPr>
                  </w:pPr>
                </w:p>
              </w:tc>
              <w:tc>
                <w:tcPr>
                  <w:tcW w:w="913" w:type="pct"/>
                  <w:vMerge w:val="continue"/>
                  <w:vAlign w:val="center"/>
                </w:tcPr>
                <w:p>
                  <w:pPr>
                    <w:pStyle w:val="68"/>
                    <w:rPr>
                      <w:bCs/>
                      <w:color w:val="auto"/>
                      <w:lang w:eastAsia="zh-CN"/>
                    </w:rPr>
                  </w:pPr>
                </w:p>
              </w:tc>
              <w:tc>
                <w:tcPr>
                  <w:tcW w:w="730" w:type="pct"/>
                  <w:vAlign w:val="center"/>
                </w:tcPr>
                <w:p>
                  <w:pPr>
                    <w:pStyle w:val="68"/>
                    <w:rPr>
                      <w:color w:val="auto"/>
                      <w:lang w:val="en-US" w:eastAsia="zh-CN"/>
                    </w:rPr>
                  </w:pPr>
                  <w:r>
                    <w:rPr>
                      <w:color w:val="auto"/>
                      <w:lang w:val="en-US" w:eastAsia="zh-CN"/>
                    </w:rPr>
                    <w:t>NH</w:t>
                  </w:r>
                  <w:r>
                    <w:rPr>
                      <w:color w:val="auto"/>
                      <w:vertAlign w:val="subscript"/>
                      <w:lang w:val="en-US" w:eastAsia="zh-CN"/>
                    </w:rPr>
                    <w:t>3</w:t>
                  </w:r>
                  <w:r>
                    <w:rPr>
                      <w:color w:val="auto"/>
                      <w:lang w:val="en-US" w:eastAsia="zh-CN"/>
                    </w:rPr>
                    <w:t>-N</w:t>
                  </w:r>
                </w:p>
              </w:tc>
              <w:tc>
                <w:tcPr>
                  <w:tcW w:w="1463" w:type="pct"/>
                  <w:vAlign w:val="center"/>
                </w:tcPr>
                <w:p>
                  <w:pPr>
                    <w:pStyle w:val="68"/>
                    <w:rPr>
                      <w:color w:val="auto"/>
                    </w:rPr>
                  </w:pPr>
                  <w:r>
                    <w:rPr>
                      <w:rFonts w:hint="eastAsia"/>
                      <w:color w:val="auto"/>
                      <w:lang w:val="en-US" w:eastAsia="zh-CN"/>
                    </w:rPr>
                    <w:t>12.01</w:t>
                  </w:r>
                  <w:r>
                    <w:rPr>
                      <w:rFonts w:hint="eastAsia"/>
                      <w:color w:val="auto"/>
                      <w:lang w:eastAsia="zh-CN"/>
                    </w:rPr>
                    <w:t>t/a,</w:t>
                  </w:r>
                  <w:r>
                    <w:rPr>
                      <w:color w:val="auto"/>
                    </w:rPr>
                    <w:t>1600mg/L</w:t>
                  </w:r>
                </w:p>
              </w:tc>
              <w:tc>
                <w:tcPr>
                  <w:tcW w:w="1417" w:type="pct"/>
                  <w:vAlign w:val="center"/>
                </w:tcPr>
                <w:p>
                  <w:pPr>
                    <w:pStyle w:val="68"/>
                    <w:rPr>
                      <w:color w:val="auto"/>
                    </w:rPr>
                  </w:pPr>
                  <w:r>
                    <w:rPr>
                      <w:rFonts w:hint="eastAsia"/>
                      <w:color w:val="auto"/>
                      <w:lang w:val="en-US" w:eastAsia="zh-CN"/>
                    </w:rPr>
                    <w:t>0.218</w:t>
                  </w:r>
                  <w:r>
                    <w:rPr>
                      <w:rFonts w:hint="eastAsia"/>
                      <w:color w:val="auto"/>
                      <w:lang w:eastAsia="zh-CN"/>
                    </w:rPr>
                    <w:t>t/a,</w:t>
                  </w:r>
                  <w:r>
                    <w:rPr>
                      <w:color w:val="auto"/>
                    </w:rPr>
                    <w:t>29mg/L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rPr>
                  </w:pPr>
                </w:p>
              </w:tc>
              <w:tc>
                <w:tcPr>
                  <w:tcW w:w="913" w:type="pct"/>
                  <w:vMerge w:val="continue"/>
                  <w:vAlign w:val="center"/>
                </w:tcPr>
                <w:p>
                  <w:pPr>
                    <w:pStyle w:val="68"/>
                    <w:rPr>
                      <w:bCs/>
                      <w:color w:val="auto"/>
                      <w:lang w:eastAsia="zh-CN"/>
                    </w:rPr>
                  </w:pPr>
                </w:p>
              </w:tc>
              <w:tc>
                <w:tcPr>
                  <w:tcW w:w="730" w:type="pct"/>
                  <w:vAlign w:val="center"/>
                </w:tcPr>
                <w:p>
                  <w:pPr>
                    <w:pStyle w:val="68"/>
                    <w:rPr>
                      <w:color w:val="auto"/>
                      <w:lang w:val="en-US" w:eastAsia="zh-CN"/>
                    </w:rPr>
                  </w:pPr>
                  <w:r>
                    <w:rPr>
                      <w:rFonts w:hint="eastAsia"/>
                      <w:color w:val="auto"/>
                      <w:lang w:val="en-US" w:eastAsia="zh-CN"/>
                    </w:rPr>
                    <w:t>总磷</w:t>
                  </w:r>
                </w:p>
              </w:tc>
              <w:tc>
                <w:tcPr>
                  <w:tcW w:w="1463" w:type="pct"/>
                  <w:vAlign w:val="center"/>
                </w:tcPr>
                <w:p>
                  <w:pPr>
                    <w:pStyle w:val="68"/>
                    <w:rPr>
                      <w:color w:val="auto"/>
                    </w:rPr>
                  </w:pPr>
                  <w:r>
                    <w:rPr>
                      <w:rFonts w:hint="eastAsia"/>
                      <w:color w:val="auto"/>
                      <w:lang w:val="en-US" w:eastAsia="zh-CN"/>
                    </w:rPr>
                    <w:t>0.4504</w:t>
                  </w:r>
                  <w:r>
                    <w:rPr>
                      <w:rFonts w:hint="eastAsia"/>
                      <w:color w:val="auto"/>
                      <w:lang w:eastAsia="zh-CN"/>
                    </w:rPr>
                    <w:t>t/a,</w:t>
                  </w:r>
                  <w:r>
                    <w:rPr>
                      <w:color w:val="auto"/>
                    </w:rPr>
                    <w:t>60mg/L</w:t>
                  </w:r>
                </w:p>
              </w:tc>
              <w:tc>
                <w:tcPr>
                  <w:tcW w:w="1417" w:type="pct"/>
                  <w:vAlign w:val="center"/>
                </w:tcPr>
                <w:p>
                  <w:pPr>
                    <w:pStyle w:val="68"/>
                    <w:rPr>
                      <w:color w:val="auto"/>
                    </w:rPr>
                  </w:pPr>
                  <w:r>
                    <w:rPr>
                      <w:rFonts w:hint="eastAsia"/>
                      <w:color w:val="auto"/>
                      <w:lang w:val="en-US" w:eastAsia="zh-CN"/>
                    </w:rPr>
                    <w:t>0.0203</w:t>
                  </w:r>
                  <w:r>
                    <w:rPr>
                      <w:rFonts w:hint="eastAsia"/>
                      <w:color w:val="auto"/>
                      <w:lang w:eastAsia="zh-CN"/>
                    </w:rPr>
                    <w:t>t/a,</w:t>
                  </w:r>
                  <w:r>
                    <w:rPr>
                      <w:color w:val="auto"/>
                    </w:rPr>
                    <w:t>2.7mg/L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restart"/>
                  <w:vAlign w:val="center"/>
                </w:tcPr>
                <w:p>
                  <w:pPr>
                    <w:pStyle w:val="68"/>
                    <w:rPr>
                      <w:color w:val="auto"/>
                    </w:rPr>
                  </w:pPr>
                  <w:r>
                    <w:rPr>
                      <w:rFonts w:hint="eastAsia"/>
                      <w:color w:val="auto"/>
                      <w:shd w:val="clear" w:fill="FFFFFF"/>
                      <w:lang w:eastAsia="zh-CN"/>
                    </w:rPr>
                    <w:t>固废</w:t>
                  </w:r>
                </w:p>
              </w:tc>
              <w:tc>
                <w:tcPr>
                  <w:tcW w:w="913" w:type="pct"/>
                  <w:vAlign w:val="center"/>
                </w:tcPr>
                <w:p>
                  <w:pPr>
                    <w:pStyle w:val="68"/>
                    <w:rPr>
                      <w:color w:val="auto"/>
                      <w:lang w:eastAsia="zh-CN"/>
                    </w:rPr>
                  </w:pPr>
                  <w:r>
                    <w:rPr>
                      <w:rFonts w:hint="eastAsia"/>
                      <w:color w:val="auto"/>
                      <w:lang w:eastAsia="zh-CN"/>
                    </w:rPr>
                    <w:t>固液分离</w:t>
                  </w:r>
                </w:p>
              </w:tc>
              <w:tc>
                <w:tcPr>
                  <w:tcW w:w="730" w:type="pct"/>
                  <w:vAlign w:val="center"/>
                </w:tcPr>
                <w:p>
                  <w:pPr>
                    <w:pStyle w:val="68"/>
                    <w:rPr>
                      <w:color w:val="auto"/>
                    </w:rPr>
                  </w:pPr>
                  <w:r>
                    <w:rPr>
                      <w:rFonts w:hint="eastAsia"/>
                      <w:color w:val="auto"/>
                      <w:lang w:eastAsia="zh-CN"/>
                    </w:rPr>
                    <w:t>废餐盒、塑料</w:t>
                  </w:r>
                </w:p>
              </w:tc>
              <w:tc>
                <w:tcPr>
                  <w:tcW w:w="1463" w:type="pct"/>
                  <w:vAlign w:val="center"/>
                </w:tcPr>
                <w:p>
                  <w:pPr>
                    <w:pStyle w:val="68"/>
                    <w:rPr>
                      <w:color w:val="auto"/>
                    </w:rPr>
                  </w:pPr>
                  <w:r>
                    <w:rPr>
                      <w:color w:val="auto"/>
                    </w:rPr>
                    <w:t>9</w:t>
                  </w:r>
                </w:p>
              </w:tc>
              <w:tc>
                <w:tcPr>
                  <w:tcW w:w="1417" w:type="pct"/>
                  <w:vAlign w:val="center"/>
                </w:tcPr>
                <w:p>
                  <w:pPr>
                    <w:pStyle w:val="68"/>
                    <w:rPr>
                      <w:color w:val="auto"/>
                    </w:rPr>
                  </w:pPr>
                  <w:r>
                    <w:rPr>
                      <w:color w:val="auto"/>
                    </w:rPr>
                    <w:t>0（</w:t>
                  </w:r>
                  <w:r>
                    <w:rPr>
                      <w:rFonts w:hint="eastAsia"/>
                      <w:color w:val="auto"/>
                      <w:lang w:eastAsia="zh-CN"/>
                    </w:rPr>
                    <w:t>环卫部门清运处置</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Align w:val="center"/>
                </w:tcPr>
                <w:p>
                  <w:pPr>
                    <w:pStyle w:val="68"/>
                    <w:rPr>
                      <w:color w:val="auto"/>
                      <w:lang w:eastAsia="zh-CN"/>
                    </w:rPr>
                  </w:pPr>
                  <w:r>
                    <w:rPr>
                      <w:rFonts w:hint="eastAsia"/>
                      <w:color w:val="auto"/>
                      <w:lang w:eastAsia="zh-CN"/>
                    </w:rPr>
                    <w:t>燃烧</w:t>
                  </w:r>
                </w:p>
              </w:tc>
              <w:tc>
                <w:tcPr>
                  <w:tcW w:w="730" w:type="pct"/>
                  <w:vAlign w:val="center"/>
                </w:tcPr>
                <w:p>
                  <w:pPr>
                    <w:pStyle w:val="68"/>
                    <w:rPr>
                      <w:color w:val="auto"/>
                      <w:lang w:eastAsia="zh-CN"/>
                    </w:rPr>
                  </w:pPr>
                  <w:r>
                    <w:rPr>
                      <w:rFonts w:hint="eastAsia"/>
                      <w:color w:val="auto"/>
                      <w:lang w:bidi="en-US"/>
                    </w:rPr>
                    <w:t>锅炉</w:t>
                  </w:r>
                  <w:r>
                    <w:rPr>
                      <w:color w:val="auto"/>
                      <w:lang w:bidi="en-US"/>
                    </w:rPr>
                    <w:t>灰渣</w:t>
                  </w:r>
                </w:p>
              </w:tc>
              <w:tc>
                <w:tcPr>
                  <w:tcW w:w="1463" w:type="pct"/>
                  <w:vAlign w:val="center"/>
                </w:tcPr>
                <w:p>
                  <w:pPr>
                    <w:pStyle w:val="68"/>
                    <w:rPr>
                      <w:rFonts w:hint="default" w:eastAsia="宋体"/>
                      <w:color w:val="auto"/>
                      <w:lang w:val="en-US" w:eastAsia="zh-CN"/>
                    </w:rPr>
                  </w:pPr>
                  <w:r>
                    <w:rPr>
                      <w:rFonts w:hint="eastAsia"/>
                      <w:color w:val="auto"/>
                      <w:lang w:val="en-US" w:eastAsia="zh-CN"/>
                    </w:rPr>
                    <w:t>20.188</w:t>
                  </w:r>
                </w:p>
              </w:tc>
              <w:tc>
                <w:tcPr>
                  <w:tcW w:w="1417" w:type="pct"/>
                  <w:vAlign w:val="center"/>
                </w:tcPr>
                <w:p>
                  <w:pPr>
                    <w:pStyle w:val="68"/>
                    <w:rPr>
                      <w:color w:val="auto"/>
                    </w:rPr>
                  </w:pPr>
                  <w:r>
                    <w:rPr>
                      <w:color w:val="auto"/>
                    </w:rPr>
                    <w:t>0（</w:t>
                  </w:r>
                  <w:r>
                    <w:rPr>
                      <w:rFonts w:hint="eastAsia"/>
                      <w:color w:val="auto"/>
                      <w:lang w:eastAsia="zh-CN"/>
                    </w:rPr>
                    <w:t>周边农户清运施肥</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Align w:val="center"/>
                </w:tcPr>
                <w:p>
                  <w:pPr>
                    <w:pStyle w:val="68"/>
                    <w:rPr>
                      <w:color w:val="auto"/>
                      <w:lang w:eastAsia="zh-CN"/>
                    </w:rPr>
                  </w:pPr>
                  <w:r>
                    <w:rPr>
                      <w:rFonts w:hint="eastAsia"/>
                      <w:color w:val="auto"/>
                      <w:lang w:eastAsia="zh-CN"/>
                    </w:rPr>
                    <w:t>污水处理</w:t>
                  </w:r>
                </w:p>
              </w:tc>
              <w:tc>
                <w:tcPr>
                  <w:tcW w:w="730" w:type="pct"/>
                  <w:vAlign w:val="center"/>
                </w:tcPr>
                <w:p>
                  <w:pPr>
                    <w:pStyle w:val="68"/>
                    <w:rPr>
                      <w:color w:val="auto"/>
                      <w:lang w:eastAsia="zh-CN"/>
                    </w:rPr>
                  </w:pPr>
                  <w:r>
                    <w:rPr>
                      <w:rFonts w:hint="eastAsia"/>
                      <w:color w:val="auto"/>
                    </w:rPr>
                    <w:t>污水处理站污泥</w:t>
                  </w:r>
                </w:p>
              </w:tc>
              <w:tc>
                <w:tcPr>
                  <w:tcW w:w="1463" w:type="pct"/>
                  <w:vAlign w:val="center"/>
                </w:tcPr>
                <w:p>
                  <w:pPr>
                    <w:pStyle w:val="68"/>
                    <w:rPr>
                      <w:rFonts w:hint="default" w:eastAsia="宋体"/>
                      <w:color w:val="auto"/>
                      <w:lang w:val="en-US" w:eastAsia="zh-CN"/>
                    </w:rPr>
                  </w:pPr>
                  <w:r>
                    <w:rPr>
                      <w:rFonts w:hint="eastAsia"/>
                      <w:color w:val="auto"/>
                      <w:lang w:val="en-US" w:eastAsia="zh-CN"/>
                    </w:rPr>
                    <w:t>19.989</w:t>
                  </w:r>
                </w:p>
              </w:tc>
              <w:tc>
                <w:tcPr>
                  <w:tcW w:w="1417" w:type="pct"/>
                  <w:vAlign w:val="center"/>
                </w:tcPr>
                <w:p>
                  <w:pPr>
                    <w:pStyle w:val="68"/>
                    <w:rPr>
                      <w:color w:val="auto"/>
                    </w:rPr>
                  </w:pPr>
                  <w:r>
                    <w:rPr>
                      <w:color w:val="auto"/>
                    </w:rPr>
                    <w:t>0（</w:t>
                  </w:r>
                  <w:r>
                    <w:rPr>
                      <w:rFonts w:hint="eastAsia"/>
                      <w:color w:val="auto"/>
                      <w:lang w:eastAsia="zh-CN"/>
                    </w:rPr>
                    <w:t>脱水后污泥与三相分离后的餐厨垃圾一并发酵</w:t>
                  </w:r>
                  <w:r>
                    <w:rPr>
                      <w:rFonts w:hint="eastAsia"/>
                      <w:color w:val="auto"/>
                      <w:shd w:val="clear" w:fill="FFFFFF"/>
                      <w:lang w:eastAsia="zh-CN"/>
                    </w:rPr>
                    <w:t>外售</w:t>
                  </w:r>
                  <w:r>
                    <w:rPr>
                      <w:rFonts w:hint="eastAsia"/>
                      <w:color w:val="auto"/>
                      <w:lang w:eastAsia="zh-CN"/>
                    </w:rPr>
                    <w:t>做有机肥原料</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Align w:val="center"/>
                </w:tcPr>
                <w:p>
                  <w:pPr>
                    <w:pStyle w:val="68"/>
                    <w:rPr>
                      <w:rFonts w:hint="eastAsia"/>
                      <w:color w:val="auto"/>
                      <w:lang w:eastAsia="zh-CN"/>
                    </w:rPr>
                  </w:pPr>
                  <w:r>
                    <w:rPr>
                      <w:rFonts w:hint="eastAsia"/>
                      <w:color w:val="auto"/>
                      <w:lang w:eastAsia="zh-CN"/>
                    </w:rPr>
                    <w:t>生物洗涤塔</w:t>
                  </w:r>
                </w:p>
              </w:tc>
              <w:tc>
                <w:tcPr>
                  <w:tcW w:w="730" w:type="pct"/>
                  <w:vAlign w:val="center"/>
                </w:tcPr>
                <w:p>
                  <w:pPr>
                    <w:pStyle w:val="68"/>
                    <w:rPr>
                      <w:rFonts w:hint="eastAsia"/>
                      <w:color w:val="auto"/>
                    </w:rPr>
                  </w:pPr>
                  <w:r>
                    <w:rPr>
                      <w:rFonts w:hint="eastAsia"/>
                      <w:color w:val="auto"/>
                      <w:lang w:eastAsia="zh-CN"/>
                    </w:rPr>
                    <w:t>除臭</w:t>
                  </w:r>
                  <w:r>
                    <w:rPr>
                      <w:rFonts w:hint="eastAsia"/>
                      <w:color w:val="auto"/>
                      <w:shd w:val="clear" w:fill="FFFFFF"/>
                      <w:lang w:eastAsia="zh-CN"/>
                    </w:rPr>
                    <w:t>废</w:t>
                  </w:r>
                  <w:r>
                    <w:rPr>
                      <w:rFonts w:hint="eastAsia"/>
                      <w:color w:val="auto"/>
                      <w:lang w:eastAsia="zh-CN"/>
                    </w:rPr>
                    <w:t>填料</w:t>
                  </w:r>
                </w:p>
              </w:tc>
              <w:tc>
                <w:tcPr>
                  <w:tcW w:w="1463" w:type="pct"/>
                  <w:vAlign w:val="center"/>
                </w:tcPr>
                <w:p>
                  <w:pPr>
                    <w:pStyle w:val="68"/>
                    <w:rPr>
                      <w:rFonts w:hint="default"/>
                      <w:color w:val="auto"/>
                      <w:lang w:val="en-US" w:eastAsia="zh-CN"/>
                    </w:rPr>
                  </w:pPr>
                  <w:r>
                    <w:rPr>
                      <w:rFonts w:hint="eastAsia"/>
                      <w:color w:val="auto"/>
                      <w:lang w:val="en-US" w:eastAsia="zh-CN"/>
                    </w:rPr>
                    <w:t>1</w:t>
                  </w:r>
                </w:p>
              </w:tc>
              <w:tc>
                <w:tcPr>
                  <w:tcW w:w="1417" w:type="pct"/>
                  <w:vAlign w:val="center"/>
                </w:tcPr>
                <w:p>
                  <w:pPr>
                    <w:pStyle w:val="68"/>
                    <w:rPr>
                      <w:color w:val="auto"/>
                    </w:rPr>
                  </w:pPr>
                  <w:r>
                    <w:rPr>
                      <w:color w:val="auto"/>
                    </w:rPr>
                    <w:t>0（</w:t>
                  </w:r>
                  <w:r>
                    <w:rPr>
                      <w:rFonts w:hint="eastAsia"/>
                      <w:color w:val="auto"/>
                      <w:lang w:eastAsia="zh-CN"/>
                    </w:rPr>
                    <w:t>设备厂家负责更换，更换后立即带走</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Align w:val="center"/>
                </w:tcPr>
                <w:p>
                  <w:pPr>
                    <w:pStyle w:val="68"/>
                    <w:rPr>
                      <w:color w:val="auto"/>
                      <w:lang w:eastAsia="zh-CN"/>
                    </w:rPr>
                  </w:pPr>
                  <w:r>
                    <w:rPr>
                      <w:rFonts w:hint="eastAsia"/>
                      <w:color w:val="auto"/>
                      <w:lang w:eastAsia="zh-CN"/>
                    </w:rPr>
                    <w:t>员工办公</w:t>
                  </w:r>
                </w:p>
              </w:tc>
              <w:tc>
                <w:tcPr>
                  <w:tcW w:w="730" w:type="pct"/>
                  <w:vAlign w:val="center"/>
                </w:tcPr>
                <w:p>
                  <w:pPr>
                    <w:pStyle w:val="68"/>
                    <w:rPr>
                      <w:color w:val="auto"/>
                      <w:lang w:eastAsia="zh-CN"/>
                    </w:rPr>
                  </w:pPr>
                  <w:r>
                    <w:rPr>
                      <w:rFonts w:hint="eastAsia"/>
                      <w:color w:val="auto"/>
                    </w:rPr>
                    <w:t>生活垃圾</w:t>
                  </w:r>
                </w:p>
              </w:tc>
              <w:tc>
                <w:tcPr>
                  <w:tcW w:w="1463" w:type="pct"/>
                  <w:vAlign w:val="center"/>
                </w:tcPr>
                <w:p>
                  <w:pPr>
                    <w:pStyle w:val="68"/>
                    <w:rPr>
                      <w:color w:val="auto"/>
                    </w:rPr>
                  </w:pPr>
                  <w:r>
                    <w:rPr>
                      <w:color w:val="auto"/>
                    </w:rPr>
                    <w:t>3</w:t>
                  </w:r>
                </w:p>
              </w:tc>
              <w:tc>
                <w:tcPr>
                  <w:tcW w:w="1417" w:type="pct"/>
                  <w:vAlign w:val="center"/>
                </w:tcPr>
                <w:p>
                  <w:pPr>
                    <w:pStyle w:val="68"/>
                    <w:rPr>
                      <w:color w:val="auto"/>
                    </w:rPr>
                  </w:pPr>
                  <w:r>
                    <w:rPr>
                      <w:color w:val="auto"/>
                    </w:rPr>
                    <w:t>0（</w:t>
                  </w:r>
                  <w:r>
                    <w:rPr>
                      <w:rFonts w:hint="eastAsia"/>
                      <w:color w:val="auto"/>
                      <w:lang w:eastAsia="zh-CN"/>
                    </w:rPr>
                    <w:t>环卫部门清运处置</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475" w:type="pct"/>
                  <w:vMerge w:val="continue"/>
                  <w:vAlign w:val="center"/>
                </w:tcPr>
                <w:p>
                  <w:pPr>
                    <w:pStyle w:val="68"/>
                    <w:rPr>
                      <w:color w:val="auto"/>
                      <w:lang w:eastAsia="zh-CN"/>
                    </w:rPr>
                  </w:pPr>
                </w:p>
              </w:tc>
              <w:tc>
                <w:tcPr>
                  <w:tcW w:w="913" w:type="pct"/>
                  <w:vAlign w:val="center"/>
                </w:tcPr>
                <w:p>
                  <w:pPr>
                    <w:pStyle w:val="68"/>
                    <w:rPr>
                      <w:color w:val="auto"/>
                      <w:lang w:eastAsia="zh-CN"/>
                    </w:rPr>
                  </w:pPr>
                  <w:r>
                    <w:rPr>
                      <w:rFonts w:hint="eastAsia"/>
                      <w:color w:val="auto"/>
                      <w:lang w:eastAsia="zh-CN"/>
                    </w:rPr>
                    <w:t>设备保养</w:t>
                  </w:r>
                </w:p>
              </w:tc>
              <w:tc>
                <w:tcPr>
                  <w:tcW w:w="730" w:type="pct"/>
                  <w:vAlign w:val="center"/>
                </w:tcPr>
                <w:p>
                  <w:pPr>
                    <w:pStyle w:val="68"/>
                    <w:rPr>
                      <w:color w:val="auto"/>
                      <w:lang w:eastAsia="zh-CN"/>
                    </w:rPr>
                  </w:pPr>
                  <w:r>
                    <w:rPr>
                      <w:rFonts w:hint="eastAsia"/>
                      <w:color w:val="auto"/>
                    </w:rPr>
                    <w:t>废矿物油</w:t>
                  </w:r>
                </w:p>
              </w:tc>
              <w:tc>
                <w:tcPr>
                  <w:tcW w:w="1463" w:type="pct"/>
                  <w:vAlign w:val="center"/>
                </w:tcPr>
                <w:p>
                  <w:pPr>
                    <w:pStyle w:val="68"/>
                    <w:rPr>
                      <w:color w:val="auto"/>
                    </w:rPr>
                  </w:pPr>
                  <w:r>
                    <w:rPr>
                      <w:color w:val="auto"/>
                    </w:rPr>
                    <w:t>0.6</w:t>
                  </w:r>
                </w:p>
              </w:tc>
              <w:tc>
                <w:tcPr>
                  <w:tcW w:w="1417" w:type="pct"/>
                  <w:vAlign w:val="center"/>
                </w:tcPr>
                <w:p>
                  <w:pPr>
                    <w:pStyle w:val="68"/>
                    <w:rPr>
                      <w:color w:val="auto"/>
                    </w:rPr>
                  </w:pPr>
                  <w:r>
                    <w:rPr>
                      <w:color w:val="auto"/>
                    </w:rPr>
                    <w:t>0（</w:t>
                  </w:r>
                  <w:r>
                    <w:rPr>
                      <w:rFonts w:hint="eastAsia"/>
                      <w:color w:val="auto"/>
                      <w:lang w:eastAsia="zh-CN"/>
                    </w:rPr>
                    <w:t>委托有资质单位处置</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Merge w:val="continue"/>
                  <w:vAlign w:val="center"/>
                </w:tcPr>
                <w:p>
                  <w:pPr>
                    <w:pStyle w:val="68"/>
                    <w:rPr>
                      <w:color w:val="auto"/>
                      <w:lang w:eastAsia="zh-CN"/>
                    </w:rPr>
                  </w:pPr>
                </w:p>
              </w:tc>
              <w:tc>
                <w:tcPr>
                  <w:tcW w:w="913" w:type="pct"/>
                  <w:vAlign w:val="center"/>
                </w:tcPr>
                <w:p>
                  <w:pPr>
                    <w:pStyle w:val="68"/>
                    <w:rPr>
                      <w:color w:val="auto"/>
                      <w:lang w:eastAsia="zh-CN"/>
                    </w:rPr>
                  </w:pPr>
                  <w:r>
                    <w:rPr>
                      <w:rFonts w:hint="eastAsia"/>
                      <w:color w:val="auto"/>
                      <w:lang w:eastAsia="zh-CN"/>
                    </w:rPr>
                    <w:t>设备保养</w:t>
                  </w:r>
                </w:p>
              </w:tc>
              <w:tc>
                <w:tcPr>
                  <w:tcW w:w="730" w:type="pct"/>
                  <w:vAlign w:val="center"/>
                </w:tcPr>
                <w:p>
                  <w:pPr>
                    <w:pStyle w:val="68"/>
                    <w:rPr>
                      <w:color w:val="auto"/>
                      <w:lang w:eastAsia="zh-CN"/>
                    </w:rPr>
                  </w:pPr>
                  <w:r>
                    <w:rPr>
                      <w:rFonts w:hint="eastAsia"/>
                      <w:color w:val="auto"/>
                      <w:lang w:eastAsia="zh-CN"/>
                    </w:rPr>
                    <w:t>含油</w:t>
                  </w:r>
                  <w:r>
                    <w:rPr>
                      <w:rFonts w:hint="eastAsia"/>
                      <w:color w:val="auto"/>
                      <w:shd w:val="clear" w:fill="FFFFFF"/>
                      <w:lang w:eastAsia="zh-CN"/>
                    </w:rPr>
                    <w:t>废</w:t>
                  </w:r>
                  <w:r>
                    <w:rPr>
                      <w:rFonts w:hint="eastAsia"/>
                      <w:color w:val="auto"/>
                      <w:lang w:eastAsia="zh-CN"/>
                    </w:rPr>
                    <w:t>抹布、手套</w:t>
                  </w:r>
                </w:p>
              </w:tc>
              <w:tc>
                <w:tcPr>
                  <w:tcW w:w="1463" w:type="pct"/>
                  <w:vAlign w:val="center"/>
                </w:tcPr>
                <w:p>
                  <w:pPr>
                    <w:pStyle w:val="68"/>
                    <w:rPr>
                      <w:rFonts w:hint="default"/>
                      <w:color w:val="auto"/>
                      <w:lang w:val="en-US" w:eastAsia="zh-CN"/>
                    </w:rPr>
                  </w:pPr>
                  <w:r>
                    <w:rPr>
                      <w:rFonts w:hint="eastAsia"/>
                      <w:color w:val="auto"/>
                      <w:lang w:val="en-US" w:eastAsia="zh-CN"/>
                    </w:rPr>
                    <w:t>0.02</w:t>
                  </w:r>
                </w:p>
              </w:tc>
              <w:tc>
                <w:tcPr>
                  <w:tcW w:w="1417" w:type="pct"/>
                  <w:vAlign w:val="center"/>
                </w:tcPr>
                <w:p>
                  <w:pPr>
                    <w:pStyle w:val="68"/>
                    <w:rPr>
                      <w:color w:val="auto"/>
                    </w:rPr>
                  </w:pPr>
                  <w:r>
                    <w:rPr>
                      <w:color w:val="auto"/>
                    </w:rPr>
                    <w:t>0（</w:t>
                  </w:r>
                  <w:r>
                    <w:rPr>
                      <w:rFonts w:hint="eastAsia"/>
                      <w:color w:val="auto"/>
                      <w:lang w:eastAsia="zh-CN"/>
                    </w:rPr>
                    <w:t>委托有资质单位处置</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75" w:type="pct"/>
                  <w:vAlign w:val="center"/>
                </w:tcPr>
                <w:p>
                  <w:pPr>
                    <w:pStyle w:val="68"/>
                    <w:rPr>
                      <w:color w:val="auto"/>
                    </w:rPr>
                  </w:pPr>
                  <w:r>
                    <w:rPr>
                      <w:color w:val="auto"/>
                    </w:rPr>
                    <w:t>噪声</w:t>
                  </w:r>
                </w:p>
              </w:tc>
              <w:tc>
                <w:tcPr>
                  <w:tcW w:w="4524" w:type="pct"/>
                  <w:gridSpan w:val="4"/>
                  <w:vAlign w:val="center"/>
                </w:tcPr>
                <w:p>
                  <w:pPr>
                    <w:pStyle w:val="68"/>
                    <w:rPr>
                      <w:color w:val="auto"/>
                    </w:rPr>
                  </w:pPr>
                  <w:r>
                    <w:rPr>
                      <w:color w:val="auto"/>
                    </w:rPr>
                    <w:t>设备噪声：</w:t>
                  </w:r>
                  <w:r>
                    <w:rPr>
                      <w:color w:val="auto"/>
                      <w:lang w:eastAsia="zh-CN"/>
                    </w:rPr>
                    <w:t>85</w:t>
                  </w:r>
                  <w:r>
                    <w:rPr>
                      <w:color w:val="auto"/>
                    </w:rPr>
                    <w:t>~11</w:t>
                  </w:r>
                  <w:r>
                    <w:rPr>
                      <w:rFonts w:hint="eastAsia"/>
                      <w:color w:val="auto"/>
                    </w:rPr>
                    <w:t>0</w:t>
                  </w:r>
                  <w:r>
                    <w:rPr>
                      <w:color w:val="auto"/>
                    </w:rPr>
                    <w:t>dB(A)</w:t>
                  </w:r>
                </w:p>
              </w:tc>
            </w:tr>
          </w:tbl>
          <w:p>
            <w:pPr>
              <w:pStyle w:val="56"/>
              <w:spacing w:before="120" w:after="120"/>
              <w:rPr>
                <w:color w:val="auto"/>
              </w:rPr>
            </w:pPr>
            <w:r>
              <w:rPr>
                <w:rFonts w:hint="eastAsia"/>
                <w:color w:val="auto"/>
              </w:rPr>
              <w:t>4.4环境保护投资</w:t>
            </w:r>
          </w:p>
          <w:p>
            <w:pPr>
              <w:ind w:firstLine="480"/>
              <w:rPr>
                <w:color w:val="auto"/>
              </w:rPr>
            </w:pPr>
            <w:r>
              <w:rPr>
                <w:rFonts w:hint="eastAsia"/>
                <w:color w:val="auto"/>
              </w:rPr>
              <w:t>本</w:t>
            </w:r>
            <w:r>
              <w:rPr>
                <w:color w:val="auto"/>
              </w:rPr>
              <w:t>项目</w:t>
            </w:r>
            <w:r>
              <w:rPr>
                <w:rFonts w:hint="eastAsia"/>
                <w:color w:val="auto"/>
              </w:rPr>
              <w:t>工程投资为</w:t>
            </w:r>
            <w:r>
              <w:rPr>
                <w:color w:val="auto"/>
              </w:rPr>
              <w:t>2269.79</w:t>
            </w:r>
            <w:r>
              <w:rPr>
                <w:rFonts w:hint="eastAsia"/>
                <w:color w:val="auto"/>
              </w:rPr>
              <w:t>万元</w:t>
            </w:r>
            <w:r>
              <w:rPr>
                <w:color w:val="auto"/>
              </w:rPr>
              <w:t>，环保投资估算</w:t>
            </w:r>
            <w:r>
              <w:rPr>
                <w:rFonts w:hint="eastAsia"/>
                <w:color w:val="auto"/>
                <w:lang w:val="en-US" w:eastAsia="zh-CN"/>
              </w:rPr>
              <w:t>88.5</w:t>
            </w:r>
            <w:r>
              <w:rPr>
                <w:color w:val="auto"/>
              </w:rPr>
              <w:t>万元人民币，约占工程总投资的</w:t>
            </w:r>
            <w:r>
              <w:rPr>
                <w:rFonts w:hint="eastAsia"/>
                <w:color w:val="auto"/>
                <w:lang w:val="en-US" w:eastAsia="zh-CN"/>
              </w:rPr>
              <w:t>3.90</w:t>
            </w:r>
            <w:r>
              <w:rPr>
                <w:color w:val="auto"/>
              </w:rPr>
              <w:t>%，</w:t>
            </w:r>
            <w:r>
              <w:rPr>
                <w:color w:val="auto"/>
                <w:shd w:val="clear" w:fill="FFFFFF"/>
              </w:rPr>
              <w:t>其</w:t>
            </w:r>
            <w:r>
              <w:rPr>
                <w:color w:val="auto"/>
              </w:rPr>
              <w:t>环保设施投资情况见表</w:t>
            </w:r>
            <w:r>
              <w:rPr>
                <w:rFonts w:hint="eastAsia"/>
                <w:color w:val="auto"/>
              </w:rPr>
              <w:t>4.4-1</w:t>
            </w:r>
            <w:r>
              <w:rPr>
                <w:color w:val="auto"/>
              </w:rPr>
              <w:t>。</w:t>
            </w:r>
          </w:p>
          <w:p>
            <w:pPr>
              <w:pStyle w:val="71"/>
              <w:rPr>
                <w:color w:val="auto"/>
              </w:rPr>
            </w:pPr>
            <w:r>
              <w:rPr>
                <w:color w:val="auto"/>
              </w:rPr>
              <w:t>表</w:t>
            </w:r>
            <w:r>
              <w:rPr>
                <w:rFonts w:hint="eastAsia"/>
                <w:color w:val="auto"/>
              </w:rPr>
              <w:t>4.4-1</w:t>
            </w:r>
            <w:r>
              <w:rPr>
                <w:color w:val="auto"/>
              </w:rPr>
              <w:t xml:space="preserve"> 环保投资估算一览表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56"/>
              <w:gridCol w:w="3954"/>
              <w:gridCol w:w="1275"/>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shd w:val="clear" w:color="auto" w:fill="auto"/>
                  <w:vAlign w:val="center"/>
                </w:tcPr>
                <w:p>
                  <w:pPr>
                    <w:pStyle w:val="68"/>
                    <w:rPr>
                      <w:b/>
                      <w:bCs/>
                      <w:color w:val="auto"/>
                    </w:rPr>
                  </w:pPr>
                  <w:r>
                    <w:rPr>
                      <w:b/>
                      <w:bCs/>
                      <w:color w:val="auto"/>
                    </w:rPr>
                    <w:t>类别</w:t>
                  </w:r>
                </w:p>
              </w:tc>
              <w:tc>
                <w:tcPr>
                  <w:tcW w:w="551" w:type="pct"/>
                  <w:shd w:val="clear" w:color="auto" w:fill="auto"/>
                  <w:vAlign w:val="center"/>
                </w:tcPr>
                <w:p>
                  <w:pPr>
                    <w:pStyle w:val="68"/>
                    <w:rPr>
                      <w:b/>
                      <w:bCs/>
                      <w:color w:val="auto"/>
                    </w:rPr>
                  </w:pPr>
                  <w:r>
                    <w:rPr>
                      <w:b/>
                      <w:bCs/>
                      <w:color w:val="auto"/>
                    </w:rPr>
                    <w:t>保护</w:t>
                  </w:r>
                </w:p>
                <w:p>
                  <w:pPr>
                    <w:pStyle w:val="68"/>
                    <w:rPr>
                      <w:b/>
                      <w:bCs/>
                      <w:color w:val="auto"/>
                    </w:rPr>
                  </w:pPr>
                  <w:r>
                    <w:rPr>
                      <w:b/>
                      <w:bCs/>
                      <w:color w:val="auto"/>
                    </w:rPr>
                    <w:t>对象</w:t>
                  </w:r>
                </w:p>
              </w:tc>
              <w:tc>
                <w:tcPr>
                  <w:tcW w:w="2546" w:type="pct"/>
                  <w:shd w:val="clear" w:color="auto" w:fill="auto"/>
                  <w:vAlign w:val="center"/>
                </w:tcPr>
                <w:p>
                  <w:pPr>
                    <w:pStyle w:val="68"/>
                    <w:rPr>
                      <w:b/>
                      <w:bCs/>
                      <w:color w:val="auto"/>
                    </w:rPr>
                  </w:pPr>
                  <w:r>
                    <w:rPr>
                      <w:b/>
                      <w:bCs/>
                      <w:color w:val="auto"/>
                    </w:rPr>
                    <w:t>环保措施</w:t>
                  </w:r>
                </w:p>
              </w:tc>
              <w:tc>
                <w:tcPr>
                  <w:tcW w:w="821" w:type="pct"/>
                  <w:shd w:val="clear" w:color="auto" w:fill="auto"/>
                  <w:vAlign w:val="center"/>
                </w:tcPr>
                <w:p>
                  <w:pPr>
                    <w:pStyle w:val="68"/>
                    <w:rPr>
                      <w:b/>
                      <w:bCs/>
                      <w:color w:val="auto"/>
                    </w:rPr>
                  </w:pPr>
                  <w:r>
                    <w:rPr>
                      <w:b/>
                      <w:bCs/>
                      <w:color w:val="auto"/>
                    </w:rPr>
                    <w:t>投资估算</w:t>
                  </w:r>
                </w:p>
                <w:p>
                  <w:pPr>
                    <w:pStyle w:val="68"/>
                    <w:rPr>
                      <w:b/>
                      <w:bCs/>
                      <w:color w:val="auto"/>
                    </w:rPr>
                  </w:pPr>
                  <w:r>
                    <w:rPr>
                      <w:b/>
                      <w:bCs/>
                      <w:color w:val="auto"/>
                    </w:rPr>
                    <w:t>（万元）</w:t>
                  </w:r>
                </w:p>
              </w:tc>
              <w:tc>
                <w:tcPr>
                  <w:tcW w:w="687" w:type="pct"/>
                  <w:shd w:val="clear" w:color="auto" w:fill="auto"/>
                  <w:vAlign w:val="center"/>
                </w:tcPr>
                <w:p>
                  <w:pPr>
                    <w:pStyle w:val="68"/>
                    <w:rPr>
                      <w:b/>
                      <w:bCs/>
                      <w:color w:val="auto"/>
                    </w:rPr>
                  </w:pPr>
                  <w:r>
                    <w:rPr>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restart"/>
                  <w:shd w:val="clear" w:color="auto" w:fill="auto"/>
                  <w:vAlign w:val="center"/>
                </w:tcPr>
                <w:p>
                  <w:pPr>
                    <w:pStyle w:val="68"/>
                    <w:rPr>
                      <w:color w:val="auto"/>
                    </w:rPr>
                  </w:pPr>
                  <w:r>
                    <w:rPr>
                      <w:color w:val="auto"/>
                    </w:rPr>
                    <w:t>施工期</w:t>
                  </w:r>
                </w:p>
              </w:tc>
              <w:tc>
                <w:tcPr>
                  <w:tcW w:w="551" w:type="pct"/>
                  <w:vMerge w:val="restart"/>
                  <w:shd w:val="clear" w:color="auto" w:fill="auto"/>
                  <w:vAlign w:val="center"/>
                </w:tcPr>
                <w:p>
                  <w:pPr>
                    <w:pStyle w:val="68"/>
                    <w:rPr>
                      <w:color w:val="auto"/>
                    </w:rPr>
                  </w:pPr>
                  <w:r>
                    <w:rPr>
                      <w:color w:val="auto"/>
                    </w:rPr>
                    <w:t>大气</w:t>
                  </w:r>
                </w:p>
                <w:p>
                  <w:pPr>
                    <w:pStyle w:val="68"/>
                    <w:rPr>
                      <w:color w:val="auto"/>
                    </w:rPr>
                  </w:pPr>
                  <w:r>
                    <w:rPr>
                      <w:color w:val="auto"/>
                    </w:rPr>
                    <w:t>环境</w:t>
                  </w:r>
                </w:p>
              </w:tc>
              <w:tc>
                <w:tcPr>
                  <w:tcW w:w="2546" w:type="pct"/>
                  <w:shd w:val="clear" w:color="auto" w:fill="auto"/>
                  <w:vAlign w:val="center"/>
                </w:tcPr>
                <w:p>
                  <w:pPr>
                    <w:pStyle w:val="68"/>
                    <w:rPr>
                      <w:color w:val="auto"/>
                    </w:rPr>
                  </w:pPr>
                  <w:r>
                    <w:rPr>
                      <w:color w:val="auto"/>
                    </w:rPr>
                    <w:t>施工期场地内洒水降尘，建材篷布遮盖</w:t>
                  </w:r>
                </w:p>
              </w:tc>
              <w:tc>
                <w:tcPr>
                  <w:tcW w:w="821" w:type="pct"/>
                  <w:shd w:val="clear" w:color="auto" w:fill="auto"/>
                  <w:vAlign w:val="center"/>
                </w:tcPr>
                <w:p>
                  <w:pPr>
                    <w:pStyle w:val="68"/>
                    <w:rPr>
                      <w:color w:val="auto"/>
                    </w:rPr>
                  </w:pPr>
                  <w:r>
                    <w:rPr>
                      <w:color w:val="auto"/>
                    </w:rPr>
                    <w:t>0.5</w:t>
                  </w:r>
                </w:p>
              </w:tc>
              <w:tc>
                <w:tcPr>
                  <w:tcW w:w="687" w:type="pct"/>
                  <w:vMerge w:val="restart"/>
                  <w:shd w:val="clear" w:color="auto" w:fill="auto"/>
                  <w:vAlign w:val="center"/>
                </w:tcPr>
                <w:p>
                  <w:pPr>
                    <w:pStyle w:val="68"/>
                    <w:rPr>
                      <w:color w:val="auto"/>
                    </w:rPr>
                  </w:pPr>
                  <w:r>
                    <w:rPr>
                      <w:color w:val="auto"/>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rPr>
                  </w:pPr>
                  <w:r>
                    <w:rPr>
                      <w:color w:val="auto"/>
                    </w:rPr>
                    <w:t>运输车辆遮盖土工布</w:t>
                  </w:r>
                </w:p>
              </w:tc>
              <w:tc>
                <w:tcPr>
                  <w:tcW w:w="821" w:type="pct"/>
                  <w:shd w:val="clear" w:color="auto" w:fill="auto"/>
                  <w:vAlign w:val="center"/>
                </w:tcPr>
                <w:p>
                  <w:pPr>
                    <w:pStyle w:val="68"/>
                    <w:rPr>
                      <w:rFonts w:hint="default" w:eastAsia="宋体"/>
                      <w:color w:val="auto"/>
                      <w:lang w:val="en-US" w:eastAsia="zh-CN"/>
                    </w:rPr>
                  </w:pPr>
                  <w:r>
                    <w:rPr>
                      <w:rFonts w:hint="eastAsia"/>
                      <w:color w:val="auto"/>
                      <w:lang w:val="en-US" w:eastAsia="zh-CN"/>
                    </w:rPr>
                    <w:t>1.0</w:t>
                  </w:r>
                </w:p>
              </w:tc>
              <w:tc>
                <w:tcPr>
                  <w:tcW w:w="687"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shd w:val="clear" w:color="auto" w:fill="auto"/>
                  <w:vAlign w:val="center"/>
                </w:tcPr>
                <w:p>
                  <w:pPr>
                    <w:pStyle w:val="68"/>
                    <w:rPr>
                      <w:color w:val="auto"/>
                    </w:rPr>
                  </w:pPr>
                  <w:r>
                    <w:rPr>
                      <w:color w:val="auto"/>
                    </w:rPr>
                    <w:t>声环境</w:t>
                  </w:r>
                </w:p>
              </w:tc>
              <w:tc>
                <w:tcPr>
                  <w:tcW w:w="2546" w:type="pct"/>
                  <w:shd w:val="clear" w:color="auto" w:fill="auto"/>
                  <w:vAlign w:val="center"/>
                </w:tcPr>
                <w:p>
                  <w:pPr>
                    <w:pStyle w:val="68"/>
                    <w:rPr>
                      <w:color w:val="auto"/>
                    </w:rPr>
                  </w:pPr>
                  <w:r>
                    <w:rPr>
                      <w:color w:val="auto"/>
                    </w:rPr>
                    <w:t>机械降噪措施、加强管理文明施工等</w:t>
                  </w:r>
                </w:p>
              </w:tc>
              <w:tc>
                <w:tcPr>
                  <w:tcW w:w="821" w:type="pct"/>
                  <w:shd w:val="clear" w:color="auto" w:fill="auto"/>
                  <w:vAlign w:val="center"/>
                </w:tcPr>
                <w:p>
                  <w:pPr>
                    <w:pStyle w:val="68"/>
                    <w:rPr>
                      <w:color w:val="auto"/>
                    </w:rPr>
                  </w:pPr>
                  <w:r>
                    <w:rPr>
                      <w:rFonts w:hint="eastAsia"/>
                      <w:color w:val="auto"/>
                    </w:rPr>
                    <w:t>0.5</w:t>
                  </w:r>
                </w:p>
              </w:tc>
              <w:tc>
                <w:tcPr>
                  <w:tcW w:w="687"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92" w:type="pct"/>
                  <w:vMerge w:val="continue"/>
                  <w:shd w:val="clear" w:color="auto" w:fill="auto"/>
                  <w:vAlign w:val="center"/>
                </w:tcPr>
                <w:p>
                  <w:pPr>
                    <w:pStyle w:val="68"/>
                    <w:rPr>
                      <w:color w:val="auto"/>
                    </w:rPr>
                  </w:pPr>
                </w:p>
              </w:tc>
              <w:tc>
                <w:tcPr>
                  <w:tcW w:w="551" w:type="pct"/>
                  <w:shd w:val="clear" w:color="auto" w:fill="auto"/>
                  <w:vAlign w:val="center"/>
                </w:tcPr>
                <w:p>
                  <w:pPr>
                    <w:pStyle w:val="68"/>
                    <w:rPr>
                      <w:color w:val="auto"/>
                    </w:rPr>
                  </w:pPr>
                  <w:r>
                    <w:rPr>
                      <w:color w:val="auto"/>
                      <w:shd w:val="clear" w:fill="FFFFFF"/>
                    </w:rPr>
                    <w:t>固废</w:t>
                  </w:r>
                </w:p>
              </w:tc>
              <w:tc>
                <w:tcPr>
                  <w:tcW w:w="2546" w:type="pct"/>
                  <w:shd w:val="clear" w:color="auto" w:fill="auto"/>
                  <w:vAlign w:val="center"/>
                </w:tcPr>
                <w:p>
                  <w:pPr>
                    <w:pStyle w:val="68"/>
                    <w:rPr>
                      <w:color w:val="auto"/>
                    </w:rPr>
                  </w:pPr>
                  <w:r>
                    <w:rPr>
                      <w:color w:val="auto"/>
                    </w:rPr>
                    <w:t>建筑垃圾清运</w:t>
                  </w:r>
                </w:p>
              </w:tc>
              <w:tc>
                <w:tcPr>
                  <w:tcW w:w="821" w:type="pct"/>
                  <w:shd w:val="clear" w:color="auto" w:fill="auto"/>
                  <w:vAlign w:val="center"/>
                </w:tcPr>
                <w:p>
                  <w:pPr>
                    <w:pStyle w:val="68"/>
                    <w:rPr>
                      <w:color w:val="auto"/>
                    </w:rPr>
                  </w:pPr>
                  <w:r>
                    <w:rPr>
                      <w:color w:val="auto"/>
                    </w:rPr>
                    <w:t>0.5</w:t>
                  </w:r>
                </w:p>
              </w:tc>
              <w:tc>
                <w:tcPr>
                  <w:tcW w:w="687" w:type="pct"/>
                  <w:vMerge w:val="continue"/>
                  <w:shd w:val="clear" w:color="auto" w:fill="auto"/>
                  <w:vAlign w:val="center"/>
                </w:tcPr>
                <w:p>
                  <w:pPr>
                    <w:pStyle w:val="6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490" w:type="pct"/>
                  <w:gridSpan w:val="3"/>
                  <w:shd w:val="clear" w:color="auto" w:fill="auto"/>
                  <w:vAlign w:val="center"/>
                </w:tcPr>
                <w:p>
                  <w:pPr>
                    <w:pStyle w:val="68"/>
                    <w:rPr>
                      <w:b/>
                      <w:bCs/>
                      <w:color w:val="auto"/>
                    </w:rPr>
                  </w:pPr>
                  <w:r>
                    <w:rPr>
                      <w:rFonts w:hint="eastAsia"/>
                      <w:b/>
                      <w:bCs/>
                      <w:color w:val="auto"/>
                      <w:lang w:eastAsia="zh-CN"/>
                    </w:rPr>
                    <w:t>小计</w:t>
                  </w:r>
                </w:p>
              </w:tc>
              <w:tc>
                <w:tcPr>
                  <w:tcW w:w="821" w:type="pct"/>
                  <w:shd w:val="clear" w:color="auto" w:fill="auto"/>
                  <w:vAlign w:val="center"/>
                </w:tcPr>
                <w:p>
                  <w:pPr>
                    <w:pStyle w:val="68"/>
                    <w:rPr>
                      <w:b/>
                      <w:bCs/>
                      <w:color w:val="auto"/>
                      <w:lang w:eastAsia="zh-CN"/>
                    </w:rPr>
                  </w:pPr>
                  <w:r>
                    <w:rPr>
                      <w:rFonts w:hint="eastAsia"/>
                      <w:b/>
                      <w:bCs/>
                      <w:color w:val="auto"/>
                      <w:lang w:eastAsia="zh-CN"/>
                    </w:rPr>
                    <w:t>2</w:t>
                  </w:r>
                  <w:r>
                    <w:rPr>
                      <w:b/>
                      <w:bCs/>
                      <w:color w:val="auto"/>
                      <w:lang w:eastAsia="zh-CN"/>
                    </w:rPr>
                    <w:t>.5</w:t>
                  </w:r>
                </w:p>
              </w:tc>
              <w:tc>
                <w:tcPr>
                  <w:tcW w:w="687" w:type="pct"/>
                  <w:shd w:val="clear" w:color="auto" w:fill="auto"/>
                  <w:vAlign w:val="center"/>
                </w:tcPr>
                <w:p>
                  <w:pPr>
                    <w:pStyle w:val="68"/>
                    <w:rPr>
                      <w:color w:val="auto"/>
                      <w:lang w:eastAsia="zh-CN"/>
                    </w:rPr>
                  </w:pP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restart"/>
                  <w:shd w:val="clear" w:color="auto" w:fill="auto"/>
                  <w:vAlign w:val="center"/>
                </w:tcPr>
                <w:p>
                  <w:pPr>
                    <w:pStyle w:val="68"/>
                    <w:rPr>
                      <w:color w:val="auto"/>
                    </w:rPr>
                  </w:pPr>
                  <w:r>
                    <w:rPr>
                      <w:color w:val="auto"/>
                    </w:rPr>
                    <w:t>运营期</w:t>
                  </w:r>
                </w:p>
              </w:tc>
              <w:tc>
                <w:tcPr>
                  <w:tcW w:w="551" w:type="pct"/>
                  <w:vMerge w:val="restart"/>
                  <w:shd w:val="clear" w:color="auto" w:fill="auto"/>
                  <w:vAlign w:val="center"/>
                </w:tcPr>
                <w:p>
                  <w:pPr>
                    <w:pStyle w:val="68"/>
                    <w:rPr>
                      <w:color w:val="auto"/>
                    </w:rPr>
                  </w:pPr>
                  <w:r>
                    <w:rPr>
                      <w:color w:val="auto"/>
                    </w:rPr>
                    <w:t>大气</w:t>
                  </w:r>
                </w:p>
                <w:p>
                  <w:pPr>
                    <w:pStyle w:val="68"/>
                    <w:rPr>
                      <w:color w:val="auto"/>
                    </w:rPr>
                  </w:pPr>
                  <w:r>
                    <w:rPr>
                      <w:color w:val="auto"/>
                    </w:rPr>
                    <w:t>环境</w:t>
                  </w:r>
                </w:p>
              </w:tc>
              <w:tc>
                <w:tcPr>
                  <w:tcW w:w="2546" w:type="pct"/>
                  <w:shd w:val="clear" w:color="auto" w:fill="auto"/>
                  <w:vAlign w:val="center"/>
                </w:tcPr>
                <w:p>
                  <w:pPr>
                    <w:pStyle w:val="68"/>
                    <w:rPr>
                      <w:color w:val="auto"/>
                      <w:lang w:eastAsia="zh-CN"/>
                    </w:rPr>
                  </w:pPr>
                  <w:r>
                    <w:rPr>
                      <w:rFonts w:hint="eastAsia"/>
                      <w:color w:val="auto"/>
                      <w:lang w:eastAsia="zh-CN"/>
                    </w:rPr>
                    <w:t>餐厨垃圾处置车间全封闭式，只留车辆进出口，车辆进出口设置自动卷帘门</w:t>
                  </w:r>
                </w:p>
              </w:tc>
              <w:tc>
                <w:tcPr>
                  <w:tcW w:w="1509" w:type="pct"/>
                  <w:gridSpan w:val="2"/>
                  <w:shd w:val="clear" w:color="auto" w:fill="auto"/>
                  <w:vAlign w:val="center"/>
                </w:tcPr>
                <w:p>
                  <w:pPr>
                    <w:pStyle w:val="68"/>
                    <w:rPr>
                      <w:color w:val="auto"/>
                    </w:rPr>
                  </w:pPr>
                  <w:r>
                    <w:rPr>
                      <w:rFonts w:hint="eastAsia"/>
                      <w:color w:val="auto"/>
                      <w:lang w:eastAsia="zh-CN"/>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eastAsia="zh-CN"/>
                    </w:rPr>
                  </w:pPr>
                  <w:r>
                    <w:rPr>
                      <w:rFonts w:hint="eastAsia"/>
                      <w:color w:val="auto"/>
                      <w:lang w:eastAsia="zh-CN"/>
                    </w:rPr>
                    <w:t>餐厨垃圾处置车间微负压风机、集气罩及其收集管道1套</w:t>
                  </w:r>
                </w:p>
              </w:tc>
              <w:tc>
                <w:tcPr>
                  <w:tcW w:w="821" w:type="pct"/>
                  <w:shd w:val="clear" w:color="auto" w:fill="auto"/>
                  <w:vAlign w:val="center"/>
                </w:tcPr>
                <w:p>
                  <w:pPr>
                    <w:pStyle w:val="68"/>
                    <w:rPr>
                      <w:rFonts w:hint="default"/>
                      <w:color w:val="auto"/>
                      <w:lang w:val="en-US"/>
                    </w:rPr>
                  </w:pPr>
                  <w:r>
                    <w:rPr>
                      <w:rFonts w:hint="eastAsia"/>
                      <w:color w:val="auto"/>
                      <w:lang w:val="en-US" w:eastAsia="zh-CN"/>
                    </w:rPr>
                    <w:t>10</w:t>
                  </w:r>
                </w:p>
              </w:tc>
              <w:tc>
                <w:tcPr>
                  <w:tcW w:w="687" w:type="pct"/>
                  <w:shd w:val="clear" w:color="auto" w:fill="auto"/>
                  <w:vAlign w:val="center"/>
                </w:tcPr>
                <w:p>
                  <w:pPr>
                    <w:pStyle w:val="68"/>
                    <w:rPr>
                      <w:color w:val="auto"/>
                    </w:rPr>
                  </w:pPr>
                  <w:r>
                    <w:rPr>
                      <w:color w:val="auto"/>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val="en-US" w:eastAsia="zh-CN"/>
                    </w:rPr>
                  </w:pPr>
                  <w:r>
                    <w:rPr>
                      <w:rFonts w:hint="eastAsia"/>
                      <w:color w:val="auto"/>
                      <w:lang w:val="en-US" w:eastAsia="zh-CN"/>
                    </w:rPr>
                    <w:t>生物洗涤塔1套，配套1</w:t>
                  </w:r>
                  <w:r>
                    <w:rPr>
                      <w:color w:val="auto"/>
                      <w:lang w:val="en-US" w:eastAsia="zh-CN"/>
                    </w:rPr>
                    <w:t>5</w:t>
                  </w:r>
                  <w:r>
                    <w:rPr>
                      <w:rFonts w:hint="eastAsia"/>
                      <w:color w:val="auto"/>
                      <w:lang w:val="en-US" w:eastAsia="zh-CN"/>
                    </w:rPr>
                    <w:t>m排气筒1根</w:t>
                  </w:r>
                </w:p>
              </w:tc>
              <w:tc>
                <w:tcPr>
                  <w:tcW w:w="821" w:type="pct"/>
                  <w:shd w:val="clear" w:color="auto" w:fill="auto"/>
                  <w:vAlign w:val="center"/>
                </w:tcPr>
                <w:p>
                  <w:pPr>
                    <w:pStyle w:val="68"/>
                    <w:rPr>
                      <w:rFonts w:hint="default" w:eastAsia="宋体"/>
                      <w:color w:val="auto"/>
                      <w:lang w:val="en-US" w:eastAsia="zh-CN"/>
                    </w:rPr>
                  </w:pPr>
                  <w:r>
                    <w:rPr>
                      <w:rFonts w:hint="eastAsia"/>
                      <w:color w:val="auto"/>
                      <w:lang w:val="en-US" w:eastAsia="zh-CN"/>
                    </w:rPr>
                    <w:t>7.5</w:t>
                  </w:r>
                </w:p>
              </w:tc>
              <w:tc>
                <w:tcPr>
                  <w:tcW w:w="687" w:type="pct"/>
                  <w:shd w:val="clear" w:color="auto" w:fill="auto"/>
                  <w:vAlign w:val="center"/>
                </w:tcPr>
                <w:p>
                  <w:pPr>
                    <w:pStyle w:val="68"/>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shd w:val="clear" w:color="auto" w:fill="auto"/>
                  <w:vAlign w:val="center"/>
                </w:tcPr>
                <w:p>
                  <w:pPr>
                    <w:pStyle w:val="68"/>
                    <w:rPr>
                      <w:color w:val="auto"/>
                    </w:rPr>
                  </w:pPr>
                </w:p>
              </w:tc>
              <w:tc>
                <w:tcPr>
                  <w:tcW w:w="2546" w:type="pct"/>
                  <w:shd w:val="clear" w:color="auto" w:fill="auto"/>
                  <w:vAlign w:val="center"/>
                </w:tcPr>
                <w:p>
                  <w:pPr>
                    <w:pStyle w:val="68"/>
                    <w:rPr>
                      <w:rFonts w:hint="default"/>
                      <w:color w:val="auto"/>
                      <w:lang w:val="en-US" w:eastAsia="zh-CN"/>
                    </w:rPr>
                  </w:pPr>
                  <w:r>
                    <w:rPr>
                      <w:rFonts w:hint="eastAsia"/>
                      <w:color w:val="auto"/>
                      <w:lang w:val="en-US" w:eastAsia="zh-CN"/>
                    </w:rPr>
                    <w:t>布袋除尘器+30m高排气筒</w:t>
                  </w:r>
                </w:p>
              </w:tc>
              <w:tc>
                <w:tcPr>
                  <w:tcW w:w="821" w:type="pct"/>
                  <w:shd w:val="clear" w:color="auto" w:fill="auto"/>
                  <w:vAlign w:val="center"/>
                </w:tcPr>
                <w:p>
                  <w:pPr>
                    <w:pStyle w:val="68"/>
                    <w:rPr>
                      <w:rFonts w:hint="default"/>
                      <w:color w:val="auto"/>
                      <w:lang w:val="en-US" w:eastAsia="zh-CN"/>
                    </w:rPr>
                  </w:pPr>
                  <w:r>
                    <w:rPr>
                      <w:rFonts w:hint="eastAsia"/>
                      <w:color w:val="auto"/>
                      <w:lang w:val="en-US" w:eastAsia="zh-CN"/>
                    </w:rPr>
                    <w:t>5.5</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restart"/>
                  <w:shd w:val="clear" w:color="auto" w:fill="auto"/>
                  <w:vAlign w:val="center"/>
                </w:tcPr>
                <w:p>
                  <w:pPr>
                    <w:pStyle w:val="68"/>
                    <w:rPr>
                      <w:color w:val="auto"/>
                    </w:rPr>
                  </w:pPr>
                  <w:r>
                    <w:rPr>
                      <w:color w:val="auto"/>
                    </w:rPr>
                    <w:t>地表水环境</w:t>
                  </w:r>
                </w:p>
              </w:tc>
              <w:tc>
                <w:tcPr>
                  <w:tcW w:w="2546" w:type="pct"/>
                  <w:shd w:val="clear" w:color="auto" w:fill="auto"/>
                  <w:vAlign w:val="center"/>
                </w:tcPr>
                <w:p>
                  <w:pPr>
                    <w:pStyle w:val="68"/>
                    <w:rPr>
                      <w:color w:val="auto"/>
                      <w:lang w:val="en-US" w:eastAsia="zh-CN"/>
                    </w:rPr>
                  </w:pPr>
                  <w:r>
                    <w:rPr>
                      <w:rFonts w:hint="eastAsia"/>
                      <w:color w:val="auto"/>
                      <w:lang w:eastAsia="zh-CN"/>
                    </w:rPr>
                    <w:t>新建容积为</w:t>
                  </w:r>
                  <w:r>
                    <w:rPr>
                      <w:color w:val="auto"/>
                      <w:lang w:eastAsia="zh-CN"/>
                    </w:rPr>
                    <w:t>5</w:t>
                  </w:r>
                  <w:r>
                    <w:rPr>
                      <w:rFonts w:hint="eastAsia"/>
                      <w:color w:val="auto"/>
                      <w:lang w:eastAsia="zh-CN"/>
                    </w:rPr>
                    <w:t>m³</w:t>
                  </w:r>
                  <w:r>
                    <w:rPr>
                      <w:rFonts w:hint="eastAsia"/>
                      <w:color w:val="auto"/>
                      <w:shd w:val="clear" w:fill="FFFFFF"/>
                      <w:lang w:eastAsia="zh-CN"/>
                    </w:rPr>
                    <w:t>的</w:t>
                  </w:r>
                  <w:r>
                    <w:rPr>
                      <w:rFonts w:hint="eastAsia"/>
                      <w:color w:val="auto"/>
                      <w:lang w:eastAsia="zh-CN"/>
                    </w:rPr>
                    <w:t>化粪池1个</w:t>
                  </w:r>
                </w:p>
              </w:tc>
              <w:tc>
                <w:tcPr>
                  <w:tcW w:w="821" w:type="pct"/>
                  <w:shd w:val="clear" w:color="auto" w:fill="auto"/>
                  <w:vAlign w:val="center"/>
                </w:tcPr>
                <w:p>
                  <w:pPr>
                    <w:pStyle w:val="68"/>
                    <w:rPr>
                      <w:color w:val="auto"/>
                      <w:lang w:val="en-US"/>
                    </w:rPr>
                  </w:pPr>
                  <w:r>
                    <w:rPr>
                      <w:color w:val="auto"/>
                      <w:lang w:val="en-US"/>
                    </w:rPr>
                    <w:t>0.5</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rFonts w:hint="default"/>
                      <w:color w:val="auto"/>
                      <w:lang w:val="en-US" w:eastAsia="zh-CN"/>
                    </w:rPr>
                  </w:pPr>
                  <w:r>
                    <w:rPr>
                      <w:rFonts w:hint="eastAsia"/>
                      <w:color w:val="auto"/>
                      <w:lang w:val="en-US" w:eastAsia="zh-CN"/>
                    </w:rPr>
                    <w:t>锅炉废水收集塑料桶1个（容积：300L）</w:t>
                  </w:r>
                </w:p>
              </w:tc>
              <w:tc>
                <w:tcPr>
                  <w:tcW w:w="821" w:type="pct"/>
                  <w:shd w:val="clear" w:color="auto" w:fill="auto"/>
                  <w:vAlign w:val="center"/>
                </w:tcPr>
                <w:p>
                  <w:pPr>
                    <w:pStyle w:val="68"/>
                    <w:rPr>
                      <w:rFonts w:hint="default" w:eastAsia="宋体"/>
                      <w:color w:val="auto"/>
                      <w:lang w:val="en-US" w:eastAsia="zh-CN"/>
                    </w:rPr>
                  </w:pPr>
                  <w:r>
                    <w:rPr>
                      <w:rFonts w:hint="eastAsia"/>
                      <w:color w:val="auto"/>
                      <w:lang w:val="en-US" w:eastAsia="zh-CN"/>
                    </w:rPr>
                    <w:t>0.5</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val="en-US" w:eastAsia="zh-CN"/>
                    </w:rPr>
                  </w:pPr>
                  <w:r>
                    <w:rPr>
                      <w:rFonts w:hint="eastAsia"/>
                      <w:color w:val="auto"/>
                      <w:lang w:val="en-US" w:eastAsia="zh-CN"/>
                    </w:rPr>
                    <w:t>一体化污水处理站及其污水收集管网1套，处理规模31m³</w:t>
                  </w:r>
                  <w:r>
                    <w:rPr>
                      <w:color w:val="auto"/>
                      <w:lang w:val="en-US" w:eastAsia="zh-CN"/>
                    </w:rPr>
                    <w:t>/</w:t>
                  </w:r>
                  <w:r>
                    <w:rPr>
                      <w:rFonts w:hint="eastAsia"/>
                      <w:color w:val="auto"/>
                      <w:lang w:val="en-US" w:eastAsia="zh-CN"/>
                    </w:rPr>
                    <w:t>d</w:t>
                  </w:r>
                </w:p>
              </w:tc>
              <w:tc>
                <w:tcPr>
                  <w:tcW w:w="821" w:type="pct"/>
                  <w:shd w:val="clear" w:color="auto" w:fill="auto"/>
                  <w:vAlign w:val="center"/>
                </w:tcPr>
                <w:p>
                  <w:pPr>
                    <w:pStyle w:val="68"/>
                    <w:rPr>
                      <w:color w:val="auto"/>
                      <w:lang w:eastAsia="zh-CN"/>
                    </w:rPr>
                  </w:pPr>
                  <w:r>
                    <w:rPr>
                      <w:rFonts w:hint="eastAsia"/>
                      <w:color w:val="auto"/>
                      <w:lang w:val="en-US" w:eastAsia="zh-CN"/>
                    </w:rPr>
                    <w:t>30</w:t>
                  </w:r>
                  <w:r>
                    <w:rPr>
                      <w:color w:val="auto"/>
                      <w:lang w:eastAsia="zh-CN"/>
                    </w:rPr>
                    <w:t>.0</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val="en-US" w:eastAsia="zh-CN"/>
                    </w:rPr>
                  </w:pPr>
                  <w:r>
                    <w:rPr>
                      <w:rFonts w:hint="eastAsia"/>
                      <w:color w:val="auto"/>
                      <w:lang w:val="en-US" w:eastAsia="zh-CN"/>
                    </w:rPr>
                    <w:t>污水池1个，容积100m³</w:t>
                  </w:r>
                </w:p>
              </w:tc>
              <w:tc>
                <w:tcPr>
                  <w:tcW w:w="821" w:type="pct"/>
                  <w:shd w:val="clear" w:color="auto" w:fill="auto"/>
                  <w:vAlign w:val="center"/>
                </w:tcPr>
                <w:p>
                  <w:pPr>
                    <w:pStyle w:val="68"/>
                    <w:rPr>
                      <w:rFonts w:hint="default"/>
                      <w:color w:val="auto"/>
                      <w:lang w:val="en-US" w:eastAsia="zh-CN"/>
                    </w:rPr>
                  </w:pPr>
                  <w:r>
                    <w:rPr>
                      <w:rFonts w:hint="eastAsia"/>
                      <w:color w:val="auto"/>
                      <w:lang w:val="en-US" w:eastAsia="zh-CN"/>
                    </w:rPr>
                    <w:t>10</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val="en-US" w:eastAsia="zh-CN"/>
                    </w:rPr>
                  </w:pPr>
                  <w:r>
                    <w:rPr>
                      <w:rFonts w:hint="eastAsia"/>
                      <w:color w:val="auto"/>
                      <w:lang w:val="en-US" w:eastAsia="zh-CN"/>
                    </w:rPr>
                    <w:t>污水清运罐车1辆，容积1</w:t>
                  </w:r>
                  <w:r>
                    <w:rPr>
                      <w:color w:val="auto"/>
                      <w:lang w:val="en-US" w:eastAsia="zh-CN"/>
                    </w:rPr>
                    <w:t>5</w:t>
                  </w:r>
                  <w:r>
                    <w:rPr>
                      <w:rFonts w:hint="eastAsia"/>
                      <w:color w:val="auto"/>
                      <w:lang w:val="en-US" w:eastAsia="zh-CN"/>
                    </w:rPr>
                    <w:t>m³</w:t>
                  </w:r>
                </w:p>
              </w:tc>
              <w:tc>
                <w:tcPr>
                  <w:tcW w:w="1509" w:type="pct"/>
                  <w:gridSpan w:val="2"/>
                  <w:shd w:val="clear" w:color="auto" w:fill="auto"/>
                  <w:vAlign w:val="center"/>
                </w:tcPr>
                <w:p>
                  <w:pPr>
                    <w:pStyle w:val="68"/>
                    <w:rPr>
                      <w:color w:val="auto"/>
                      <w:lang w:val="en-US"/>
                    </w:rPr>
                  </w:pPr>
                  <w:r>
                    <w:rPr>
                      <w:rFonts w:hint="eastAsia"/>
                      <w:color w:val="auto"/>
                      <w:lang w:eastAsia="zh-CN"/>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highlight w:val="none"/>
                      <w:lang w:val="en-US" w:eastAsia="zh-CN"/>
                    </w:rPr>
                  </w:pPr>
                  <w:r>
                    <w:rPr>
                      <w:rFonts w:hint="eastAsia"/>
                      <w:color w:val="auto"/>
                      <w:highlight w:val="none"/>
                      <w:lang w:val="en-US" w:eastAsia="zh-CN"/>
                    </w:rPr>
                    <w:t>初期雨水池1座，容积30m³</w:t>
                  </w:r>
                </w:p>
              </w:tc>
              <w:tc>
                <w:tcPr>
                  <w:tcW w:w="821" w:type="pct"/>
                  <w:shd w:val="clear" w:color="auto" w:fill="auto"/>
                  <w:vAlign w:val="center"/>
                </w:tcPr>
                <w:p>
                  <w:pPr>
                    <w:pStyle w:val="68"/>
                    <w:rPr>
                      <w:color w:val="auto"/>
                      <w:highlight w:val="none"/>
                      <w:lang w:eastAsia="zh-CN"/>
                    </w:rPr>
                  </w:pPr>
                  <w:r>
                    <w:rPr>
                      <w:rFonts w:hint="eastAsia"/>
                      <w:color w:val="auto"/>
                      <w:highlight w:val="none"/>
                      <w:lang w:val="en-US" w:eastAsia="zh-CN"/>
                    </w:rPr>
                    <w:t>3</w:t>
                  </w:r>
                </w:p>
              </w:tc>
              <w:tc>
                <w:tcPr>
                  <w:tcW w:w="687" w:type="pct"/>
                  <w:shd w:val="clear" w:color="auto" w:fill="auto"/>
                  <w:vAlign w:val="center"/>
                </w:tcPr>
                <w:p>
                  <w:pPr>
                    <w:pStyle w:val="68"/>
                    <w:rPr>
                      <w:color w:val="auto"/>
                      <w:highlight w:val="none"/>
                      <w:lang w:val="en-US"/>
                    </w:rPr>
                  </w:pPr>
                  <w:r>
                    <w:rPr>
                      <w:color w:val="auto"/>
                      <w:highlight w:val="none"/>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shd w:val="clear" w:color="auto" w:fill="auto"/>
                  <w:vAlign w:val="center"/>
                </w:tcPr>
                <w:p>
                  <w:pPr>
                    <w:pStyle w:val="68"/>
                    <w:rPr>
                      <w:color w:val="auto"/>
                    </w:rPr>
                  </w:pPr>
                  <w:r>
                    <w:rPr>
                      <w:color w:val="auto"/>
                    </w:rPr>
                    <w:t>声环境</w:t>
                  </w:r>
                </w:p>
              </w:tc>
              <w:tc>
                <w:tcPr>
                  <w:tcW w:w="2546" w:type="pct"/>
                  <w:shd w:val="clear" w:color="auto" w:fill="auto"/>
                  <w:vAlign w:val="center"/>
                </w:tcPr>
                <w:p>
                  <w:pPr>
                    <w:pStyle w:val="68"/>
                    <w:rPr>
                      <w:color w:val="auto"/>
                    </w:rPr>
                  </w:pPr>
                  <w:r>
                    <w:rPr>
                      <w:color w:val="auto"/>
                    </w:rPr>
                    <w:t>选用低噪声设备、密闭隔声、减震等</w:t>
                  </w:r>
                </w:p>
              </w:tc>
              <w:tc>
                <w:tcPr>
                  <w:tcW w:w="821" w:type="pct"/>
                  <w:shd w:val="clear" w:color="auto" w:fill="auto"/>
                  <w:vAlign w:val="center"/>
                </w:tcPr>
                <w:p>
                  <w:pPr>
                    <w:pStyle w:val="68"/>
                    <w:rPr>
                      <w:color w:val="auto"/>
                    </w:rPr>
                  </w:pPr>
                  <w:r>
                    <w:rPr>
                      <w:color w:val="auto"/>
                    </w:rPr>
                    <w:t>2.0</w:t>
                  </w:r>
                </w:p>
              </w:tc>
              <w:tc>
                <w:tcPr>
                  <w:tcW w:w="687" w:type="pct"/>
                  <w:shd w:val="clear" w:color="auto" w:fill="auto"/>
                  <w:vAlign w:val="center"/>
                </w:tcPr>
                <w:p>
                  <w:pPr>
                    <w:pStyle w:val="68"/>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92" w:type="pct"/>
                  <w:vMerge w:val="continue"/>
                  <w:shd w:val="clear" w:color="auto" w:fill="auto"/>
                  <w:vAlign w:val="center"/>
                </w:tcPr>
                <w:p>
                  <w:pPr>
                    <w:pStyle w:val="68"/>
                    <w:rPr>
                      <w:color w:val="auto"/>
                    </w:rPr>
                  </w:pPr>
                </w:p>
              </w:tc>
              <w:tc>
                <w:tcPr>
                  <w:tcW w:w="551" w:type="pct"/>
                  <w:vMerge w:val="restart"/>
                  <w:shd w:val="clear" w:color="auto" w:fill="auto"/>
                  <w:vAlign w:val="center"/>
                </w:tcPr>
                <w:p>
                  <w:pPr>
                    <w:pStyle w:val="68"/>
                    <w:rPr>
                      <w:color w:val="auto"/>
                    </w:rPr>
                  </w:pPr>
                  <w:r>
                    <w:rPr>
                      <w:color w:val="auto"/>
                      <w:shd w:val="clear" w:fill="FFFFFF"/>
                    </w:rPr>
                    <w:t>固废</w:t>
                  </w:r>
                </w:p>
              </w:tc>
              <w:tc>
                <w:tcPr>
                  <w:tcW w:w="2546" w:type="pct"/>
                  <w:shd w:val="clear" w:color="auto" w:fill="auto"/>
                  <w:vAlign w:val="center"/>
                </w:tcPr>
                <w:p>
                  <w:pPr>
                    <w:pStyle w:val="68"/>
                    <w:rPr>
                      <w:color w:val="auto"/>
                    </w:rPr>
                  </w:pPr>
                  <w:r>
                    <w:rPr>
                      <w:rFonts w:hint="eastAsia"/>
                      <w:color w:val="auto"/>
                      <w:lang w:val="en-US"/>
                    </w:rPr>
                    <w:t>危废</w:t>
                  </w:r>
                  <w:r>
                    <w:rPr>
                      <w:color w:val="auto"/>
                      <w:lang w:val="en-US"/>
                    </w:rPr>
                    <w:t>暂存间</w:t>
                  </w:r>
                  <w:r>
                    <w:rPr>
                      <w:rFonts w:hint="eastAsia"/>
                      <w:color w:val="auto"/>
                      <w:lang w:val="en-US"/>
                    </w:rPr>
                    <w:t>1间，面积为</w:t>
                  </w:r>
                  <w:r>
                    <w:rPr>
                      <w:color w:val="auto"/>
                      <w:lang w:val="en-US"/>
                    </w:rPr>
                    <w:t>15</w:t>
                  </w:r>
                  <w:r>
                    <w:rPr>
                      <w:rFonts w:hint="eastAsia"/>
                      <w:color w:val="auto"/>
                      <w:lang w:val="en-US"/>
                    </w:rPr>
                    <w:t>㎡，</w:t>
                  </w:r>
                  <w:r>
                    <w:rPr>
                      <w:color w:val="auto"/>
                      <w:lang w:val="en-US"/>
                    </w:rPr>
                    <w:t>地面及墙裙进行防渗处理</w:t>
                  </w:r>
                  <w:r>
                    <w:rPr>
                      <w:rFonts w:hint="eastAsia"/>
                      <w:color w:val="auto"/>
                      <w:lang w:val="en-US"/>
                    </w:rPr>
                    <w:t>，</w:t>
                  </w:r>
                  <w:r>
                    <w:rPr>
                      <w:color w:val="auto"/>
                      <w:lang w:val="en-US"/>
                    </w:rPr>
                    <w:t>设置围堰，</w:t>
                  </w:r>
                  <w:r>
                    <w:rPr>
                      <w:rFonts w:hint="eastAsia"/>
                      <w:color w:val="auto"/>
                      <w:lang w:val="en-US"/>
                    </w:rPr>
                    <w:t>采取三防措施，</w:t>
                  </w:r>
                  <w:r>
                    <w:rPr>
                      <w:color w:val="auto"/>
                      <w:lang w:val="en-US"/>
                    </w:rPr>
                    <w:t>采用25cm厚的</w:t>
                  </w:r>
                  <w:r>
                    <w:rPr>
                      <w:rFonts w:hint="eastAsia"/>
                      <w:color w:val="auto"/>
                      <w:lang w:val="en-US" w:eastAsia="zh-CN"/>
                    </w:rPr>
                    <w:t>抗渗</w:t>
                  </w:r>
                  <w:r>
                    <w:rPr>
                      <w:color w:val="auto"/>
                      <w:lang w:val="en-US"/>
                    </w:rPr>
                    <w:t>混凝土硬化防渗+1.5mm厚的土工布</w:t>
                  </w:r>
                  <w:r>
                    <w:rPr>
                      <w:color w:val="auto"/>
                      <w:shd w:val="clear" w:fill="FFFFFF"/>
                      <w:lang w:val="en-US"/>
                    </w:rPr>
                    <w:t>膜</w:t>
                  </w:r>
                  <w:r>
                    <w:rPr>
                      <w:rFonts w:hint="eastAsia"/>
                      <w:color w:val="auto"/>
                      <w:lang w:val="en-US"/>
                    </w:rPr>
                    <w:t>，表面</w:t>
                  </w:r>
                  <w:r>
                    <w:rPr>
                      <w:rFonts w:hint="eastAsia"/>
                      <w:color w:val="auto"/>
                      <w:shd w:val="clear" w:fill="FFFFFF"/>
                      <w:lang w:val="en-US"/>
                    </w:rPr>
                    <w:t>刷</w:t>
                  </w:r>
                  <w:r>
                    <w:rPr>
                      <w:rFonts w:hint="eastAsia"/>
                      <w:color w:val="auto"/>
                      <w:lang w:val="en-US"/>
                    </w:rPr>
                    <w:t>环氧树脂漆，按要求张贴危险废物标识牌</w:t>
                  </w:r>
                </w:p>
              </w:tc>
              <w:tc>
                <w:tcPr>
                  <w:tcW w:w="821" w:type="pct"/>
                  <w:shd w:val="clear" w:color="auto" w:fill="auto"/>
                  <w:vAlign w:val="center"/>
                </w:tcPr>
                <w:p>
                  <w:pPr>
                    <w:pStyle w:val="68"/>
                    <w:rPr>
                      <w:color w:val="auto"/>
                      <w:lang w:eastAsia="zh-CN"/>
                    </w:rPr>
                  </w:pPr>
                  <w:r>
                    <w:rPr>
                      <w:rFonts w:hint="eastAsia"/>
                      <w:color w:val="auto"/>
                      <w:lang w:val="en-US" w:eastAsia="zh-CN"/>
                    </w:rPr>
                    <w:t>4</w:t>
                  </w:r>
                  <w:r>
                    <w:rPr>
                      <w:color w:val="auto"/>
                    </w:rPr>
                    <w:t>.0</w:t>
                  </w:r>
                </w:p>
              </w:tc>
              <w:tc>
                <w:tcPr>
                  <w:tcW w:w="687" w:type="pct"/>
                  <w:shd w:val="clear" w:color="auto" w:fill="auto"/>
                  <w:vAlign w:val="center"/>
                </w:tcPr>
                <w:p>
                  <w:pPr>
                    <w:pStyle w:val="68"/>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rPr>
                  </w:pPr>
                  <w:r>
                    <w:rPr>
                      <w:rFonts w:hint="eastAsia"/>
                      <w:color w:val="auto"/>
                      <w:lang w:val="en-US" w:eastAsia="zh-CN"/>
                    </w:rPr>
                    <w:t>一般固废</w:t>
                  </w:r>
                  <w:r>
                    <w:rPr>
                      <w:rFonts w:hint="eastAsia"/>
                      <w:color w:val="auto"/>
                      <w:shd w:val="clear" w:fill="FFFFFF"/>
                      <w:lang w:val="en-US" w:eastAsia="zh-CN"/>
                    </w:rPr>
                    <w:t>间</w:t>
                  </w:r>
                  <w:r>
                    <w:rPr>
                      <w:rFonts w:hint="eastAsia"/>
                      <w:color w:val="auto"/>
                      <w:lang w:val="en-US"/>
                    </w:rPr>
                    <w:t>1间，面积为</w:t>
                  </w:r>
                  <w:r>
                    <w:rPr>
                      <w:color w:val="auto"/>
                      <w:lang w:val="en-US"/>
                    </w:rPr>
                    <w:t>15</w:t>
                  </w:r>
                  <w:r>
                    <w:rPr>
                      <w:rFonts w:hint="eastAsia"/>
                      <w:color w:val="auto"/>
                      <w:lang w:val="en-US"/>
                    </w:rPr>
                    <w:t>㎡，</w:t>
                  </w:r>
                  <w:r>
                    <w:rPr>
                      <w:color w:val="auto"/>
                      <w:lang w:val="en-US"/>
                    </w:rPr>
                    <w:t>采用25cm厚的</w:t>
                  </w:r>
                  <w:r>
                    <w:rPr>
                      <w:rFonts w:hint="eastAsia"/>
                      <w:color w:val="auto"/>
                      <w:lang w:val="en-US" w:eastAsia="zh-CN"/>
                    </w:rPr>
                    <w:t>抗渗</w:t>
                  </w:r>
                  <w:r>
                    <w:rPr>
                      <w:color w:val="auto"/>
                      <w:lang w:val="en-US"/>
                    </w:rPr>
                    <w:t>混凝土硬化防渗</w:t>
                  </w:r>
                </w:p>
              </w:tc>
              <w:tc>
                <w:tcPr>
                  <w:tcW w:w="821" w:type="pct"/>
                  <w:shd w:val="clear" w:color="auto" w:fill="auto"/>
                  <w:vAlign w:val="center"/>
                </w:tcPr>
                <w:p>
                  <w:pPr>
                    <w:pStyle w:val="68"/>
                    <w:rPr>
                      <w:color w:val="auto"/>
                      <w:lang w:eastAsia="zh-CN"/>
                    </w:rPr>
                  </w:pPr>
                  <w:r>
                    <w:rPr>
                      <w:color w:val="auto"/>
                      <w:lang w:eastAsia="zh-CN"/>
                    </w:rPr>
                    <w:t>2.0</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shd w:val="clear" w:color="auto" w:fill="auto"/>
                  <w:vAlign w:val="center"/>
                </w:tcPr>
                <w:p>
                  <w:pPr>
                    <w:pStyle w:val="68"/>
                    <w:rPr>
                      <w:color w:val="auto"/>
                    </w:rPr>
                  </w:pPr>
                  <w:r>
                    <w:rPr>
                      <w:color w:val="auto"/>
                    </w:rPr>
                    <w:t>地下水环境</w:t>
                  </w:r>
                </w:p>
              </w:tc>
              <w:tc>
                <w:tcPr>
                  <w:tcW w:w="2546" w:type="pct"/>
                  <w:shd w:val="clear" w:color="auto" w:fill="auto"/>
                  <w:vAlign w:val="center"/>
                </w:tcPr>
                <w:p>
                  <w:pPr>
                    <w:pStyle w:val="68"/>
                    <w:rPr>
                      <w:color w:val="auto"/>
                    </w:rPr>
                  </w:pPr>
                  <w:r>
                    <w:rPr>
                      <w:b/>
                      <w:bCs/>
                      <w:color w:val="auto"/>
                    </w:rPr>
                    <w:t>重点防渗区：</w:t>
                  </w:r>
                  <w:r>
                    <w:rPr>
                      <w:color w:val="auto"/>
                    </w:rPr>
                    <w:t>采用15cm厚的</w:t>
                  </w:r>
                  <w:r>
                    <w:rPr>
                      <w:rFonts w:hint="eastAsia"/>
                      <w:color w:val="auto"/>
                      <w:lang w:eastAsia="zh-CN"/>
                    </w:rPr>
                    <w:t>抗渗</w:t>
                  </w:r>
                  <w:r>
                    <w:rPr>
                      <w:color w:val="auto"/>
                    </w:rPr>
                    <w:t>混凝土硬化防渗+2mm厚的高密度聚乙烯或其他人工材料，等效黏土防渗层 Mb≥6.0m，K≤1×10</w:t>
                  </w:r>
                  <w:r>
                    <w:rPr>
                      <w:color w:val="auto"/>
                      <w:vertAlign w:val="superscript"/>
                    </w:rPr>
                    <w:t>-10</w:t>
                  </w:r>
                  <w:r>
                    <w:rPr>
                      <w:color w:val="auto"/>
                    </w:rPr>
                    <w:t>cm/s</w:t>
                  </w:r>
                  <w:r>
                    <w:rPr>
                      <w:rFonts w:hint="eastAsia"/>
                      <w:color w:val="auto"/>
                    </w:rPr>
                    <w:t>，</w:t>
                  </w:r>
                  <w:r>
                    <w:rPr>
                      <w:color w:val="auto"/>
                    </w:rPr>
                    <w:t>或参照GB18598执行；</w:t>
                  </w:r>
                </w:p>
                <w:p>
                  <w:pPr>
                    <w:pStyle w:val="68"/>
                    <w:rPr>
                      <w:color w:val="auto"/>
                    </w:rPr>
                  </w:pPr>
                  <w:r>
                    <w:rPr>
                      <w:b/>
                      <w:bCs/>
                      <w:color w:val="auto"/>
                    </w:rPr>
                    <w:t>一般防渗区：</w:t>
                  </w:r>
                  <w:r>
                    <w:rPr>
                      <w:color w:val="auto"/>
                    </w:rPr>
                    <w:t>采用15cm厚的C25混凝土硬化防渗，等效黏土防渗层 Mb≥1.5m，K≤1×10</w:t>
                  </w:r>
                  <w:r>
                    <w:rPr>
                      <w:rFonts w:hint="eastAsia"/>
                      <w:color w:val="auto"/>
                      <w:lang w:eastAsia="zh-CN"/>
                    </w:rPr>
                    <w:t>—</w:t>
                  </w:r>
                  <w:r>
                    <w:rPr>
                      <w:color w:val="auto"/>
                      <w:vertAlign w:val="superscript"/>
                    </w:rPr>
                    <w:t>7</w:t>
                  </w:r>
                  <w:r>
                    <w:rPr>
                      <w:color w:val="auto"/>
                    </w:rPr>
                    <w:t>cm/s</w:t>
                  </w:r>
                  <w:r>
                    <w:rPr>
                      <w:rFonts w:hint="eastAsia"/>
                      <w:color w:val="auto"/>
                    </w:rPr>
                    <w:t>，</w:t>
                  </w:r>
                  <w:r>
                    <w:rPr>
                      <w:color w:val="auto"/>
                    </w:rPr>
                    <w:t>或参照GB16889执行；</w:t>
                  </w:r>
                </w:p>
                <w:p>
                  <w:pPr>
                    <w:pStyle w:val="68"/>
                    <w:rPr>
                      <w:color w:val="auto"/>
                    </w:rPr>
                  </w:pPr>
                  <w:r>
                    <w:rPr>
                      <w:b/>
                      <w:bCs/>
                      <w:color w:val="auto"/>
                    </w:rPr>
                    <w:t>简单污染防渗区：</w:t>
                  </w:r>
                  <w:r>
                    <w:rPr>
                      <w:color w:val="auto"/>
                    </w:rPr>
                    <w:t>一般地面硬化处理</w:t>
                  </w:r>
                </w:p>
              </w:tc>
              <w:tc>
                <w:tcPr>
                  <w:tcW w:w="1509" w:type="pct"/>
                  <w:gridSpan w:val="2"/>
                  <w:shd w:val="clear" w:color="auto" w:fill="auto"/>
                  <w:vAlign w:val="center"/>
                </w:tcPr>
                <w:p>
                  <w:pPr>
                    <w:pStyle w:val="68"/>
                    <w:rPr>
                      <w:color w:val="auto"/>
                    </w:rPr>
                  </w:pPr>
                  <w:r>
                    <w:rPr>
                      <w:color w:val="auto"/>
                    </w:rPr>
                    <w:t>纳入主体工程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2" w:type="pct"/>
                  <w:vMerge w:val="continue"/>
                  <w:shd w:val="clear" w:color="auto" w:fill="auto"/>
                  <w:vAlign w:val="center"/>
                </w:tcPr>
                <w:p>
                  <w:pPr>
                    <w:pStyle w:val="68"/>
                    <w:rPr>
                      <w:color w:val="auto"/>
                    </w:rPr>
                  </w:pPr>
                </w:p>
              </w:tc>
              <w:tc>
                <w:tcPr>
                  <w:tcW w:w="551" w:type="pct"/>
                  <w:vMerge w:val="restart"/>
                  <w:shd w:val="clear" w:color="auto" w:fill="auto"/>
                  <w:vAlign w:val="center"/>
                </w:tcPr>
                <w:p>
                  <w:pPr>
                    <w:pStyle w:val="68"/>
                    <w:rPr>
                      <w:color w:val="auto"/>
                    </w:rPr>
                  </w:pPr>
                  <w:r>
                    <w:rPr>
                      <w:color w:val="auto"/>
                    </w:rPr>
                    <w:t>环境</w:t>
                  </w:r>
                </w:p>
                <w:p>
                  <w:pPr>
                    <w:pStyle w:val="68"/>
                    <w:rPr>
                      <w:color w:val="auto"/>
                    </w:rPr>
                  </w:pPr>
                  <w:r>
                    <w:rPr>
                      <w:color w:val="auto"/>
                    </w:rPr>
                    <w:t>风险</w:t>
                  </w:r>
                </w:p>
              </w:tc>
              <w:tc>
                <w:tcPr>
                  <w:tcW w:w="2546" w:type="pct"/>
                  <w:shd w:val="clear" w:color="auto" w:fill="auto"/>
                  <w:vAlign w:val="center"/>
                </w:tcPr>
                <w:p>
                  <w:pPr>
                    <w:pStyle w:val="68"/>
                    <w:rPr>
                      <w:color w:val="auto"/>
                    </w:rPr>
                  </w:pPr>
                  <w:r>
                    <w:rPr>
                      <w:rFonts w:hint="eastAsia"/>
                      <w:color w:val="auto"/>
                    </w:rPr>
                    <w:t>危废</w:t>
                  </w:r>
                  <w:r>
                    <w:rPr>
                      <w:color w:val="auto"/>
                    </w:rPr>
                    <w:t>暂存间设置事故围堰，围堰高度0.2m，设置消防、监控等设施</w:t>
                  </w:r>
                  <w:r>
                    <w:rPr>
                      <w:rFonts w:hint="eastAsia"/>
                      <w:color w:val="auto"/>
                    </w:rPr>
                    <w:t>，开挖</w:t>
                  </w:r>
                  <w:r>
                    <w:rPr>
                      <w:color w:val="auto"/>
                    </w:rPr>
                    <w:t>导流沟及废液收集池</w:t>
                  </w:r>
                </w:p>
              </w:tc>
              <w:tc>
                <w:tcPr>
                  <w:tcW w:w="821" w:type="pct"/>
                  <w:shd w:val="clear" w:color="auto" w:fill="auto"/>
                  <w:vAlign w:val="center"/>
                </w:tcPr>
                <w:p>
                  <w:pPr>
                    <w:pStyle w:val="68"/>
                    <w:rPr>
                      <w:color w:val="auto"/>
                    </w:rPr>
                  </w:pPr>
                  <w:r>
                    <w:rPr>
                      <w:color w:val="auto"/>
                    </w:rPr>
                    <w:t>1.0</w:t>
                  </w:r>
                </w:p>
              </w:tc>
              <w:tc>
                <w:tcPr>
                  <w:tcW w:w="687" w:type="pct"/>
                  <w:shd w:val="clear" w:color="auto" w:fill="auto"/>
                  <w:vAlign w:val="center"/>
                </w:tcPr>
                <w:p>
                  <w:pPr>
                    <w:pStyle w:val="68"/>
                    <w:rPr>
                      <w:color w:val="auto"/>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rPr>
                  </w:pPr>
                  <w:r>
                    <w:rPr>
                      <w:rFonts w:hint="eastAsia"/>
                      <w:color w:val="auto"/>
                      <w:lang w:eastAsia="zh-CN"/>
                    </w:rPr>
                    <w:t>成品油罐区四周设置围堰，围堰占地面积为8</w:t>
                  </w:r>
                  <w:r>
                    <w:rPr>
                      <w:color w:val="auto"/>
                      <w:lang w:eastAsia="zh-CN"/>
                    </w:rPr>
                    <w:t>0</w:t>
                  </w:r>
                  <w:r>
                    <w:rPr>
                      <w:rFonts w:hint="eastAsia"/>
                      <w:color w:val="auto"/>
                      <w:lang w:eastAsia="zh-CN"/>
                    </w:rPr>
                    <w:t>㎡，高度0</w:t>
                  </w:r>
                  <w:r>
                    <w:rPr>
                      <w:color w:val="auto"/>
                      <w:lang w:eastAsia="zh-CN"/>
                    </w:rPr>
                    <w:t>.8</w:t>
                  </w:r>
                  <w:r>
                    <w:rPr>
                      <w:rFonts w:hint="eastAsia"/>
                      <w:color w:val="auto"/>
                      <w:lang w:eastAsia="zh-CN"/>
                    </w:rPr>
                    <w:t>m，容积6</w:t>
                  </w:r>
                  <w:r>
                    <w:rPr>
                      <w:color w:val="auto"/>
                      <w:lang w:eastAsia="zh-CN"/>
                    </w:rPr>
                    <w:t>0</w:t>
                  </w:r>
                  <w:r>
                    <w:rPr>
                      <w:rFonts w:hint="eastAsia"/>
                      <w:color w:val="auto"/>
                      <w:lang w:eastAsia="zh-CN"/>
                    </w:rPr>
                    <w:t>m³</w:t>
                  </w:r>
                </w:p>
              </w:tc>
              <w:tc>
                <w:tcPr>
                  <w:tcW w:w="1509" w:type="pct"/>
                  <w:gridSpan w:val="2"/>
                  <w:shd w:val="clear" w:color="auto" w:fill="auto"/>
                  <w:vAlign w:val="center"/>
                </w:tcPr>
                <w:p>
                  <w:pPr>
                    <w:pStyle w:val="68"/>
                    <w:rPr>
                      <w:color w:val="auto"/>
                      <w:lang w:val="en-US"/>
                    </w:rPr>
                  </w:pPr>
                  <w:r>
                    <w:rPr>
                      <w:rFonts w:hint="eastAsia"/>
                      <w:color w:val="auto"/>
                      <w:lang w:val="en-US" w:eastAsia="zh-CN"/>
                    </w:rPr>
                    <w:t>纳入主体工程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Merge w:val="continue"/>
                  <w:shd w:val="clear" w:color="auto" w:fill="auto"/>
                  <w:vAlign w:val="center"/>
                </w:tcPr>
                <w:p>
                  <w:pPr>
                    <w:pStyle w:val="68"/>
                    <w:rPr>
                      <w:color w:val="auto"/>
                    </w:rPr>
                  </w:pPr>
                </w:p>
              </w:tc>
              <w:tc>
                <w:tcPr>
                  <w:tcW w:w="551" w:type="pct"/>
                  <w:vMerge w:val="continue"/>
                  <w:shd w:val="clear" w:color="auto" w:fill="auto"/>
                  <w:vAlign w:val="center"/>
                </w:tcPr>
                <w:p>
                  <w:pPr>
                    <w:pStyle w:val="68"/>
                    <w:rPr>
                      <w:color w:val="auto"/>
                    </w:rPr>
                  </w:pPr>
                </w:p>
              </w:tc>
              <w:tc>
                <w:tcPr>
                  <w:tcW w:w="2546" w:type="pct"/>
                  <w:shd w:val="clear" w:color="auto" w:fill="auto"/>
                  <w:vAlign w:val="center"/>
                </w:tcPr>
                <w:p>
                  <w:pPr>
                    <w:pStyle w:val="68"/>
                    <w:rPr>
                      <w:color w:val="auto"/>
                      <w:lang w:eastAsia="zh-CN"/>
                    </w:rPr>
                  </w:pPr>
                  <w:r>
                    <w:rPr>
                      <w:rFonts w:hint="eastAsia"/>
                      <w:color w:val="auto"/>
                      <w:lang w:eastAsia="zh-CN"/>
                    </w:rPr>
                    <w:t>事故应急池1个，容积</w:t>
                  </w:r>
                  <w:r>
                    <w:rPr>
                      <w:rFonts w:hint="eastAsia"/>
                      <w:color w:val="auto"/>
                      <w:lang w:val="en-US" w:eastAsia="zh-CN"/>
                    </w:rPr>
                    <w:t>100</w:t>
                  </w:r>
                  <w:r>
                    <w:rPr>
                      <w:rFonts w:hint="eastAsia"/>
                      <w:color w:val="auto"/>
                      <w:lang w:eastAsia="zh-CN"/>
                    </w:rPr>
                    <w:t>m³</w:t>
                  </w:r>
                </w:p>
              </w:tc>
              <w:tc>
                <w:tcPr>
                  <w:tcW w:w="821" w:type="pct"/>
                  <w:shd w:val="clear" w:color="auto" w:fill="auto"/>
                  <w:vAlign w:val="center"/>
                </w:tcPr>
                <w:p>
                  <w:pPr>
                    <w:pStyle w:val="68"/>
                    <w:rPr>
                      <w:rFonts w:hint="default"/>
                      <w:color w:val="auto"/>
                      <w:lang w:val="en-US" w:eastAsia="zh-CN"/>
                    </w:rPr>
                  </w:pPr>
                  <w:r>
                    <w:rPr>
                      <w:rFonts w:hint="eastAsia"/>
                      <w:color w:val="auto"/>
                      <w:lang w:val="en-US" w:eastAsia="zh-CN"/>
                    </w:rPr>
                    <w:t>10</w:t>
                  </w:r>
                </w:p>
              </w:tc>
              <w:tc>
                <w:tcPr>
                  <w:tcW w:w="687" w:type="pct"/>
                  <w:shd w:val="clear" w:color="auto" w:fill="auto"/>
                  <w:vAlign w:val="center"/>
                </w:tcPr>
                <w:p>
                  <w:pPr>
                    <w:pStyle w:val="68"/>
                    <w:rPr>
                      <w:color w:val="auto"/>
                      <w:lang w:val="en-US"/>
                    </w:rPr>
                  </w:pPr>
                  <w:r>
                    <w:rPr>
                      <w:color w:val="auto"/>
                      <w:lang w:val="en-US"/>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pct"/>
                  <w:gridSpan w:val="3"/>
                  <w:shd w:val="clear" w:color="auto" w:fill="auto"/>
                  <w:vAlign w:val="center"/>
                </w:tcPr>
                <w:p>
                  <w:pPr>
                    <w:pStyle w:val="68"/>
                    <w:rPr>
                      <w:b/>
                      <w:bCs/>
                      <w:color w:val="auto"/>
                      <w:lang w:eastAsia="zh-CN"/>
                    </w:rPr>
                  </w:pPr>
                  <w:r>
                    <w:rPr>
                      <w:rFonts w:hint="eastAsia"/>
                      <w:b/>
                      <w:bCs/>
                      <w:color w:val="auto"/>
                      <w:lang w:val="en-US" w:eastAsia="zh-CN"/>
                    </w:rPr>
                    <w:t>运营期环保投资</w:t>
                  </w:r>
                  <w:r>
                    <w:rPr>
                      <w:rFonts w:hint="eastAsia"/>
                      <w:b/>
                      <w:bCs/>
                      <w:color w:val="auto"/>
                      <w:lang w:eastAsia="zh-CN"/>
                    </w:rPr>
                    <w:t>小计</w:t>
                  </w:r>
                </w:p>
              </w:tc>
              <w:tc>
                <w:tcPr>
                  <w:tcW w:w="821" w:type="pct"/>
                  <w:shd w:val="clear" w:color="auto" w:fill="auto"/>
                  <w:vAlign w:val="center"/>
                </w:tcPr>
                <w:p>
                  <w:pPr>
                    <w:pStyle w:val="68"/>
                    <w:rPr>
                      <w:rFonts w:hint="default"/>
                      <w:b/>
                      <w:bCs/>
                      <w:color w:val="auto"/>
                      <w:lang w:val="en-US" w:eastAsia="zh-CN"/>
                    </w:rPr>
                  </w:pPr>
                  <w:r>
                    <w:rPr>
                      <w:rFonts w:hint="eastAsia"/>
                      <w:b/>
                      <w:bCs/>
                      <w:color w:val="auto"/>
                      <w:lang w:val="en-US" w:eastAsia="zh-CN"/>
                    </w:rPr>
                    <w:t>86</w:t>
                  </w:r>
                </w:p>
              </w:tc>
              <w:tc>
                <w:tcPr>
                  <w:tcW w:w="687" w:type="pct"/>
                  <w:shd w:val="clear" w:color="auto" w:fill="auto"/>
                  <w:vAlign w:val="center"/>
                </w:tcPr>
                <w:p>
                  <w:pPr>
                    <w:pStyle w:val="68"/>
                    <w:rPr>
                      <w:b/>
                      <w:bCs/>
                      <w:color w:val="auto"/>
                      <w:lang w:val="en-US" w:eastAsia="zh-CN"/>
                    </w:rPr>
                  </w:pPr>
                  <w:r>
                    <w:rPr>
                      <w:rFonts w:hint="eastAsia"/>
                      <w:b/>
                      <w:bCs/>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pct"/>
                  <w:gridSpan w:val="3"/>
                  <w:shd w:val="clear" w:color="auto" w:fill="auto"/>
                  <w:vAlign w:val="center"/>
                </w:tcPr>
                <w:p>
                  <w:pPr>
                    <w:pStyle w:val="68"/>
                    <w:rPr>
                      <w:b/>
                      <w:bCs/>
                      <w:color w:val="auto"/>
                    </w:rPr>
                  </w:pPr>
                  <w:r>
                    <w:rPr>
                      <w:b/>
                      <w:bCs/>
                      <w:color w:val="auto"/>
                    </w:rPr>
                    <w:t>合计</w:t>
                  </w:r>
                </w:p>
              </w:tc>
              <w:tc>
                <w:tcPr>
                  <w:tcW w:w="821" w:type="pct"/>
                  <w:shd w:val="clear" w:color="auto" w:fill="auto"/>
                  <w:vAlign w:val="center"/>
                </w:tcPr>
                <w:p>
                  <w:pPr>
                    <w:pStyle w:val="68"/>
                    <w:rPr>
                      <w:rFonts w:hint="default" w:eastAsia="宋体"/>
                      <w:b/>
                      <w:bCs/>
                      <w:color w:val="auto"/>
                      <w:lang w:val="en-US" w:eastAsia="zh-CN"/>
                    </w:rPr>
                  </w:pPr>
                  <w:r>
                    <w:rPr>
                      <w:rFonts w:hint="eastAsia"/>
                      <w:b/>
                      <w:bCs/>
                      <w:color w:val="auto"/>
                      <w:lang w:val="en-US" w:eastAsia="zh-CN"/>
                    </w:rPr>
                    <w:t>88.5</w:t>
                  </w:r>
                </w:p>
              </w:tc>
              <w:tc>
                <w:tcPr>
                  <w:tcW w:w="687" w:type="pct"/>
                  <w:shd w:val="clear" w:color="auto" w:fill="auto"/>
                  <w:vAlign w:val="center"/>
                </w:tcPr>
                <w:p>
                  <w:pPr>
                    <w:pStyle w:val="68"/>
                    <w:rPr>
                      <w:b/>
                      <w:bCs/>
                      <w:color w:val="auto"/>
                    </w:rPr>
                  </w:pPr>
                  <w:r>
                    <w:rPr>
                      <w:rFonts w:hint="eastAsia"/>
                      <w:b/>
                      <w:bCs/>
                      <w:color w:val="auto"/>
                    </w:rPr>
                    <w:t>/</w:t>
                  </w:r>
                </w:p>
              </w:tc>
            </w:tr>
          </w:tbl>
          <w:p>
            <w:pPr>
              <w:ind w:firstLine="480"/>
              <w:rPr>
                <w:color w:val="auto"/>
              </w:rPr>
            </w:pPr>
            <w:r>
              <w:rPr>
                <w:color w:val="auto"/>
              </w:rPr>
              <w:t>从环保投资的分配来看，该项目环保投资主要用于</w:t>
            </w:r>
            <w:r>
              <w:rPr>
                <w:rFonts w:hint="eastAsia"/>
                <w:color w:val="auto"/>
              </w:rPr>
              <w:t>大气环境、</w:t>
            </w:r>
            <w:r>
              <w:rPr>
                <w:color w:val="auto"/>
              </w:rPr>
              <w:t>地表水环境及地下水的</w:t>
            </w:r>
            <w:r>
              <w:rPr>
                <w:rFonts w:hint="eastAsia"/>
                <w:color w:val="auto"/>
              </w:rPr>
              <w:t>污染防治</w:t>
            </w:r>
            <w:r>
              <w:rPr>
                <w:color w:val="auto"/>
              </w:rPr>
              <w:t>。通过各种大量的工程措施来防治污染，同时通过采取相应的环保措施使废气达标排放，使废水全部回用，固体废弃物得到合理的处置，大幅度削减了污染物，减轻了环境污染。</w:t>
            </w:r>
          </w:p>
          <w:p>
            <w:pPr>
              <w:pStyle w:val="56"/>
              <w:spacing w:before="120" w:after="120"/>
              <w:rPr>
                <w:color w:val="auto"/>
              </w:rPr>
            </w:pPr>
            <w:r>
              <w:rPr>
                <w:rFonts w:hint="eastAsia"/>
                <w:color w:val="auto"/>
              </w:rPr>
              <w:t>4</w:t>
            </w:r>
            <w:r>
              <w:rPr>
                <w:color w:val="auto"/>
              </w:rPr>
              <w:t>.5</w:t>
            </w:r>
            <w:r>
              <w:rPr>
                <w:rFonts w:hint="eastAsia"/>
                <w:color w:val="auto"/>
              </w:rPr>
              <w:t>运营期监测计划</w:t>
            </w:r>
          </w:p>
          <w:p>
            <w:pPr>
              <w:ind w:firstLine="480"/>
              <w:rPr>
                <w:color w:val="auto"/>
              </w:rPr>
            </w:pPr>
            <w:r>
              <w:rPr>
                <w:rFonts w:hint="eastAsia"/>
                <w:color w:val="auto"/>
              </w:rPr>
              <w:t>本项目运营期监测计划见表4</w:t>
            </w:r>
            <w:r>
              <w:rPr>
                <w:color w:val="auto"/>
              </w:rPr>
              <w:t>.5-1</w:t>
            </w:r>
            <w:r>
              <w:rPr>
                <w:rFonts w:hint="eastAsia"/>
                <w:color w:val="auto"/>
              </w:rPr>
              <w:t>。</w:t>
            </w:r>
          </w:p>
          <w:p>
            <w:pPr>
              <w:pStyle w:val="71"/>
              <w:rPr>
                <w:color w:val="auto"/>
              </w:rPr>
            </w:pPr>
            <w:r>
              <w:rPr>
                <w:rFonts w:hint="eastAsia"/>
                <w:color w:val="auto"/>
              </w:rPr>
              <w:t>表4.</w:t>
            </w:r>
            <w:r>
              <w:rPr>
                <w:color w:val="auto"/>
              </w:rPr>
              <w:t xml:space="preserve">5-1 </w:t>
            </w:r>
            <w:r>
              <w:rPr>
                <w:rFonts w:hint="eastAsia"/>
                <w:color w:val="auto"/>
              </w:rPr>
              <w:t>项目运营期监测计划汇总表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593"/>
              <w:gridCol w:w="567"/>
              <w:gridCol w:w="708"/>
              <w:gridCol w:w="1605"/>
              <w:gridCol w:w="520"/>
              <w:gridCol w:w="1418"/>
              <w:gridCol w:w="235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382" w:type="pct"/>
                  <w:tcBorders>
                    <w:tl2br w:val="nil"/>
                    <w:tr2bl w:val="nil"/>
                  </w:tcBorders>
                  <w:vAlign w:val="center"/>
                </w:tcPr>
                <w:p>
                  <w:pPr>
                    <w:pStyle w:val="68"/>
                    <w:rPr>
                      <w:b/>
                      <w:bCs/>
                      <w:color w:val="auto"/>
                    </w:rPr>
                  </w:pPr>
                  <w:r>
                    <w:rPr>
                      <w:b/>
                      <w:bCs/>
                      <w:color w:val="auto"/>
                    </w:rPr>
                    <w:t>监测时段</w:t>
                  </w:r>
                </w:p>
              </w:tc>
              <w:tc>
                <w:tcPr>
                  <w:tcW w:w="365" w:type="pct"/>
                  <w:tcBorders>
                    <w:tl2br w:val="nil"/>
                    <w:tr2bl w:val="nil"/>
                  </w:tcBorders>
                  <w:vAlign w:val="center"/>
                </w:tcPr>
                <w:p>
                  <w:pPr>
                    <w:pStyle w:val="68"/>
                    <w:rPr>
                      <w:b/>
                      <w:bCs/>
                      <w:color w:val="auto"/>
                    </w:rPr>
                  </w:pPr>
                  <w:r>
                    <w:rPr>
                      <w:b/>
                      <w:bCs/>
                      <w:color w:val="auto"/>
                    </w:rPr>
                    <w:t>监测点位</w:t>
                  </w:r>
                </w:p>
              </w:tc>
              <w:tc>
                <w:tcPr>
                  <w:tcW w:w="456" w:type="pct"/>
                  <w:tcBorders>
                    <w:tl2br w:val="nil"/>
                    <w:tr2bl w:val="nil"/>
                  </w:tcBorders>
                  <w:vAlign w:val="center"/>
                </w:tcPr>
                <w:p>
                  <w:pPr>
                    <w:pStyle w:val="68"/>
                    <w:rPr>
                      <w:b/>
                      <w:bCs/>
                      <w:color w:val="auto"/>
                    </w:rPr>
                  </w:pPr>
                  <w:r>
                    <w:rPr>
                      <w:b/>
                      <w:bCs/>
                      <w:color w:val="auto"/>
                    </w:rPr>
                    <w:t>污染源</w:t>
                  </w:r>
                </w:p>
              </w:tc>
              <w:tc>
                <w:tcPr>
                  <w:tcW w:w="1034" w:type="pct"/>
                  <w:tcBorders>
                    <w:tl2br w:val="nil"/>
                    <w:tr2bl w:val="nil"/>
                  </w:tcBorders>
                  <w:vAlign w:val="center"/>
                </w:tcPr>
                <w:p>
                  <w:pPr>
                    <w:pStyle w:val="68"/>
                    <w:rPr>
                      <w:b/>
                      <w:bCs/>
                      <w:color w:val="auto"/>
                    </w:rPr>
                  </w:pPr>
                  <w:r>
                    <w:rPr>
                      <w:b/>
                      <w:bCs/>
                      <w:color w:val="auto"/>
                    </w:rPr>
                    <w:t>监测因子</w:t>
                  </w:r>
                </w:p>
              </w:tc>
              <w:tc>
                <w:tcPr>
                  <w:tcW w:w="335" w:type="pct"/>
                  <w:tcBorders>
                    <w:tl2br w:val="nil"/>
                    <w:tr2bl w:val="nil"/>
                  </w:tcBorders>
                  <w:vAlign w:val="center"/>
                </w:tcPr>
                <w:p>
                  <w:pPr>
                    <w:pStyle w:val="68"/>
                    <w:rPr>
                      <w:b/>
                      <w:bCs/>
                      <w:color w:val="auto"/>
                    </w:rPr>
                  </w:pPr>
                  <w:r>
                    <w:rPr>
                      <w:b/>
                      <w:bCs/>
                      <w:color w:val="auto"/>
                    </w:rPr>
                    <w:t>监测频率</w:t>
                  </w:r>
                </w:p>
              </w:tc>
              <w:tc>
                <w:tcPr>
                  <w:tcW w:w="913" w:type="pct"/>
                  <w:tcBorders>
                    <w:tl2br w:val="nil"/>
                    <w:tr2bl w:val="nil"/>
                  </w:tcBorders>
                  <w:vAlign w:val="center"/>
                </w:tcPr>
                <w:p>
                  <w:pPr>
                    <w:pStyle w:val="68"/>
                    <w:rPr>
                      <w:b/>
                      <w:bCs/>
                      <w:color w:val="auto"/>
                    </w:rPr>
                  </w:pPr>
                  <w:r>
                    <w:rPr>
                      <w:b/>
                      <w:bCs/>
                      <w:color w:val="auto"/>
                    </w:rPr>
                    <w:t>类型</w:t>
                  </w:r>
                </w:p>
              </w:tc>
              <w:tc>
                <w:tcPr>
                  <w:tcW w:w="1515" w:type="pct"/>
                  <w:tcBorders>
                    <w:tl2br w:val="nil"/>
                    <w:tr2bl w:val="nil"/>
                  </w:tcBorders>
                  <w:vAlign w:val="center"/>
                </w:tcPr>
                <w:p>
                  <w:pPr>
                    <w:pStyle w:val="68"/>
                    <w:rPr>
                      <w:b/>
                      <w:bCs/>
                      <w:color w:val="auto"/>
                    </w:rPr>
                  </w:pPr>
                  <w:r>
                    <w:rPr>
                      <w:rFonts w:hint="eastAsia"/>
                      <w:b/>
                      <w:bCs/>
                      <w:color w:val="auto"/>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restart"/>
                  <w:tcBorders>
                    <w:tl2br w:val="nil"/>
                    <w:tr2bl w:val="nil"/>
                  </w:tcBorders>
                  <w:vAlign w:val="center"/>
                </w:tcPr>
                <w:p>
                  <w:pPr>
                    <w:pStyle w:val="68"/>
                    <w:rPr>
                      <w:color w:val="auto"/>
                    </w:rPr>
                  </w:pPr>
                  <w:r>
                    <w:rPr>
                      <w:rFonts w:hint="eastAsia"/>
                      <w:color w:val="auto"/>
                    </w:rPr>
                    <w:t>运营期</w:t>
                  </w:r>
                </w:p>
              </w:tc>
              <w:tc>
                <w:tcPr>
                  <w:tcW w:w="365" w:type="pct"/>
                  <w:vMerge w:val="restart"/>
                  <w:tcBorders>
                    <w:tl2br w:val="nil"/>
                    <w:tr2bl w:val="nil"/>
                  </w:tcBorders>
                  <w:vAlign w:val="center"/>
                </w:tcPr>
                <w:p>
                  <w:pPr>
                    <w:pStyle w:val="68"/>
                    <w:rPr>
                      <w:color w:val="auto"/>
                    </w:rPr>
                  </w:pPr>
                  <w:r>
                    <w:rPr>
                      <w:rFonts w:hint="eastAsia"/>
                      <w:color w:val="auto"/>
                    </w:rPr>
                    <w:t>D</w:t>
                  </w:r>
                  <w:r>
                    <w:rPr>
                      <w:color w:val="auto"/>
                    </w:rPr>
                    <w:t>A001</w:t>
                  </w:r>
                </w:p>
              </w:tc>
              <w:tc>
                <w:tcPr>
                  <w:tcW w:w="456" w:type="pct"/>
                  <w:vMerge w:val="restart"/>
                  <w:tcBorders>
                    <w:tl2br w:val="nil"/>
                    <w:tr2bl w:val="nil"/>
                  </w:tcBorders>
                  <w:vAlign w:val="center"/>
                </w:tcPr>
                <w:p>
                  <w:pPr>
                    <w:pStyle w:val="68"/>
                    <w:rPr>
                      <w:color w:val="auto"/>
                    </w:rPr>
                  </w:pPr>
                  <w:r>
                    <w:rPr>
                      <w:rFonts w:hint="eastAsia"/>
                      <w:color w:val="auto"/>
                    </w:rPr>
                    <w:t>餐厨垃圾处置车间</w:t>
                  </w:r>
                </w:p>
              </w:tc>
              <w:tc>
                <w:tcPr>
                  <w:tcW w:w="1034" w:type="pct"/>
                  <w:tcBorders>
                    <w:tl2br w:val="nil"/>
                    <w:tr2bl w:val="nil"/>
                  </w:tcBorders>
                  <w:vAlign w:val="center"/>
                </w:tcPr>
                <w:p>
                  <w:pPr>
                    <w:pStyle w:val="68"/>
                    <w:rPr>
                      <w:color w:val="auto"/>
                    </w:rPr>
                  </w:pPr>
                  <w:r>
                    <w:rPr>
                      <w:rFonts w:hint="eastAsia"/>
                      <w:color w:val="auto"/>
                    </w:rPr>
                    <w:t>硫化氢</w:t>
                  </w:r>
                </w:p>
              </w:tc>
              <w:tc>
                <w:tcPr>
                  <w:tcW w:w="335" w:type="pct"/>
                  <w:tcBorders>
                    <w:tl2br w:val="nil"/>
                    <w:tr2bl w:val="nil"/>
                  </w:tcBorders>
                  <w:vAlign w:val="center"/>
                </w:tcPr>
                <w:p>
                  <w:pPr>
                    <w:pStyle w:val="68"/>
                    <w:rPr>
                      <w:color w:val="auto"/>
                    </w:rPr>
                  </w:pPr>
                  <w:r>
                    <w:rPr>
                      <w:rFonts w:hint="eastAsia"/>
                      <w:color w:val="auto"/>
                    </w:rPr>
                    <w:t>半年</w:t>
                  </w:r>
                </w:p>
              </w:tc>
              <w:tc>
                <w:tcPr>
                  <w:tcW w:w="913"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restart"/>
                  <w:tcBorders>
                    <w:tl2br w:val="nil"/>
                    <w:tr2bl w:val="nil"/>
                  </w:tcBorders>
                  <w:vAlign w:val="center"/>
                </w:tcPr>
                <w:p>
                  <w:pPr>
                    <w:pStyle w:val="68"/>
                    <w:rPr>
                      <w:color w:val="auto"/>
                    </w:rPr>
                  </w:pPr>
                  <w:r>
                    <w:rPr>
                      <w:rFonts w:hint="eastAsia"/>
                      <w:bCs/>
                      <w:color w:val="auto"/>
                      <w:lang w:val="en-US"/>
                    </w:rPr>
                    <w:t>《恶臭污染物排放标准》（GB14554-93）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continue"/>
                  <w:tcBorders>
                    <w:tl2br w:val="nil"/>
                    <w:tr2bl w:val="nil"/>
                  </w:tcBorders>
                  <w:vAlign w:val="center"/>
                </w:tcPr>
                <w:p>
                  <w:pPr>
                    <w:pStyle w:val="68"/>
                    <w:rPr>
                      <w:color w:val="auto"/>
                    </w:rPr>
                  </w:pPr>
                </w:p>
              </w:tc>
              <w:tc>
                <w:tcPr>
                  <w:tcW w:w="365" w:type="pct"/>
                  <w:vMerge w:val="continue"/>
                  <w:tcBorders>
                    <w:tl2br w:val="nil"/>
                    <w:tr2bl w:val="nil"/>
                  </w:tcBorders>
                  <w:vAlign w:val="center"/>
                </w:tcPr>
                <w:p>
                  <w:pPr>
                    <w:pStyle w:val="68"/>
                    <w:rPr>
                      <w:color w:val="auto"/>
                    </w:rPr>
                  </w:pPr>
                </w:p>
              </w:tc>
              <w:tc>
                <w:tcPr>
                  <w:tcW w:w="456" w:type="pct"/>
                  <w:vMerge w:val="continue"/>
                  <w:tcBorders>
                    <w:tl2br w:val="nil"/>
                    <w:tr2bl w:val="nil"/>
                  </w:tcBorders>
                  <w:vAlign w:val="center"/>
                </w:tcPr>
                <w:p>
                  <w:pPr>
                    <w:pStyle w:val="68"/>
                    <w:rPr>
                      <w:color w:val="auto"/>
                    </w:rPr>
                  </w:pPr>
                </w:p>
              </w:tc>
              <w:tc>
                <w:tcPr>
                  <w:tcW w:w="1034" w:type="pct"/>
                  <w:tcBorders>
                    <w:tl2br w:val="nil"/>
                    <w:tr2bl w:val="nil"/>
                  </w:tcBorders>
                  <w:vAlign w:val="center"/>
                </w:tcPr>
                <w:p>
                  <w:pPr>
                    <w:pStyle w:val="68"/>
                    <w:rPr>
                      <w:color w:val="auto"/>
                    </w:rPr>
                  </w:pPr>
                  <w:r>
                    <w:rPr>
                      <w:rFonts w:hint="eastAsia"/>
                      <w:color w:val="auto"/>
                    </w:rPr>
                    <w:t>氨</w:t>
                  </w:r>
                </w:p>
              </w:tc>
              <w:tc>
                <w:tcPr>
                  <w:tcW w:w="335" w:type="pct"/>
                  <w:tcBorders>
                    <w:tl2br w:val="nil"/>
                    <w:tr2bl w:val="nil"/>
                  </w:tcBorders>
                  <w:vAlign w:val="center"/>
                </w:tcPr>
                <w:p>
                  <w:pPr>
                    <w:pStyle w:val="68"/>
                    <w:rPr>
                      <w:color w:val="auto"/>
                    </w:rPr>
                  </w:pPr>
                  <w:r>
                    <w:rPr>
                      <w:rFonts w:hint="eastAsia"/>
                      <w:color w:val="auto"/>
                    </w:rPr>
                    <w:t>半年</w:t>
                  </w:r>
                </w:p>
              </w:tc>
              <w:tc>
                <w:tcPr>
                  <w:tcW w:w="913"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continue"/>
                  <w:tcBorders>
                    <w:tl2br w:val="nil"/>
                    <w:tr2bl w:val="nil"/>
                  </w:tcBorders>
                  <w:vAlign w:val="center"/>
                </w:tcPr>
                <w:p>
                  <w:pPr>
                    <w:pStyle w:val="68"/>
                    <w:rPr>
                      <w:color w:val="auto"/>
                    </w:rPr>
                  </w:pPr>
                </w:p>
              </w:tc>
              <w:tc>
                <w:tcPr>
                  <w:tcW w:w="365" w:type="pct"/>
                  <w:vMerge w:val="continue"/>
                  <w:tcBorders>
                    <w:tl2br w:val="nil"/>
                    <w:tr2bl w:val="nil"/>
                  </w:tcBorders>
                  <w:vAlign w:val="center"/>
                </w:tcPr>
                <w:p>
                  <w:pPr>
                    <w:pStyle w:val="68"/>
                    <w:rPr>
                      <w:color w:val="auto"/>
                    </w:rPr>
                  </w:pPr>
                </w:p>
              </w:tc>
              <w:tc>
                <w:tcPr>
                  <w:tcW w:w="456" w:type="pct"/>
                  <w:vMerge w:val="continue"/>
                  <w:tcBorders>
                    <w:tl2br w:val="nil"/>
                    <w:tr2bl w:val="nil"/>
                  </w:tcBorders>
                  <w:vAlign w:val="center"/>
                </w:tcPr>
                <w:p>
                  <w:pPr>
                    <w:pStyle w:val="68"/>
                    <w:rPr>
                      <w:color w:val="auto"/>
                    </w:rPr>
                  </w:pPr>
                </w:p>
              </w:tc>
              <w:tc>
                <w:tcPr>
                  <w:tcW w:w="1034" w:type="pct"/>
                  <w:tcBorders>
                    <w:tl2br w:val="nil"/>
                    <w:tr2bl w:val="nil"/>
                  </w:tcBorders>
                  <w:vAlign w:val="center"/>
                </w:tcPr>
                <w:p>
                  <w:pPr>
                    <w:pStyle w:val="68"/>
                    <w:rPr>
                      <w:color w:val="auto"/>
                    </w:rPr>
                  </w:pPr>
                  <w:r>
                    <w:rPr>
                      <w:rFonts w:hint="eastAsia"/>
                      <w:color w:val="auto"/>
                    </w:rPr>
                    <w:t>臭气浓度</w:t>
                  </w:r>
                </w:p>
              </w:tc>
              <w:tc>
                <w:tcPr>
                  <w:tcW w:w="335" w:type="pct"/>
                  <w:tcBorders>
                    <w:tl2br w:val="nil"/>
                    <w:tr2bl w:val="nil"/>
                  </w:tcBorders>
                  <w:vAlign w:val="center"/>
                </w:tcPr>
                <w:p>
                  <w:pPr>
                    <w:pStyle w:val="68"/>
                    <w:rPr>
                      <w:color w:val="auto"/>
                    </w:rPr>
                  </w:pPr>
                  <w:r>
                    <w:rPr>
                      <w:rFonts w:hint="eastAsia"/>
                      <w:color w:val="auto"/>
                    </w:rPr>
                    <w:t>半年</w:t>
                  </w:r>
                </w:p>
              </w:tc>
              <w:tc>
                <w:tcPr>
                  <w:tcW w:w="913"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continue"/>
                  <w:tcBorders>
                    <w:tl2br w:val="nil"/>
                    <w:tr2bl w:val="nil"/>
                  </w:tcBorders>
                  <w:vAlign w:val="center"/>
                </w:tcPr>
                <w:p>
                  <w:pPr>
                    <w:pStyle w:val="68"/>
                    <w:rPr>
                      <w:color w:val="auto"/>
                    </w:rPr>
                  </w:pPr>
                </w:p>
              </w:tc>
              <w:tc>
                <w:tcPr>
                  <w:tcW w:w="365" w:type="pct"/>
                  <w:vMerge w:val="restart"/>
                  <w:tcBorders>
                    <w:tl2br w:val="nil"/>
                    <w:tr2bl w:val="nil"/>
                  </w:tcBorders>
                  <w:vAlign w:val="center"/>
                </w:tcPr>
                <w:p>
                  <w:pPr>
                    <w:pStyle w:val="68"/>
                    <w:rPr>
                      <w:color w:val="auto"/>
                    </w:rPr>
                  </w:pPr>
                  <w:r>
                    <w:rPr>
                      <w:color w:val="auto"/>
                    </w:rPr>
                    <w:t>DA002</w:t>
                  </w:r>
                </w:p>
              </w:tc>
              <w:tc>
                <w:tcPr>
                  <w:tcW w:w="456" w:type="pct"/>
                  <w:vMerge w:val="restart"/>
                  <w:tcBorders>
                    <w:tl2br w:val="nil"/>
                    <w:tr2bl w:val="nil"/>
                  </w:tcBorders>
                  <w:vAlign w:val="center"/>
                </w:tcPr>
                <w:p>
                  <w:pPr>
                    <w:pStyle w:val="68"/>
                    <w:rPr>
                      <w:color w:val="auto"/>
                    </w:rPr>
                  </w:pPr>
                  <w:r>
                    <w:rPr>
                      <w:rFonts w:hint="eastAsia"/>
                      <w:color w:val="auto"/>
                    </w:rPr>
                    <w:t>生物质锅炉</w:t>
                  </w:r>
                </w:p>
              </w:tc>
              <w:tc>
                <w:tcPr>
                  <w:tcW w:w="1034" w:type="pct"/>
                  <w:tcBorders>
                    <w:tl2br w:val="nil"/>
                    <w:tr2bl w:val="nil"/>
                  </w:tcBorders>
                  <w:vAlign w:val="center"/>
                </w:tcPr>
                <w:p>
                  <w:pPr>
                    <w:pStyle w:val="68"/>
                    <w:rPr>
                      <w:color w:val="auto"/>
                    </w:rPr>
                  </w:pPr>
                  <w:r>
                    <w:rPr>
                      <w:rFonts w:hint="eastAsia"/>
                      <w:color w:val="auto"/>
                    </w:rPr>
                    <w:t>颗粒物</w:t>
                  </w:r>
                </w:p>
              </w:tc>
              <w:tc>
                <w:tcPr>
                  <w:tcW w:w="335" w:type="pct"/>
                  <w:tcBorders>
                    <w:tl2br w:val="nil"/>
                    <w:tr2bl w:val="nil"/>
                  </w:tcBorders>
                  <w:vAlign w:val="center"/>
                </w:tcPr>
                <w:p>
                  <w:pPr>
                    <w:pStyle w:val="68"/>
                    <w:rPr>
                      <w:color w:val="auto"/>
                      <w:lang w:eastAsia="zh-CN"/>
                    </w:rPr>
                  </w:pPr>
                  <w:r>
                    <w:rPr>
                      <w:rFonts w:hint="eastAsia"/>
                      <w:color w:val="auto"/>
                      <w:lang w:eastAsia="zh-CN"/>
                    </w:rPr>
                    <w:t>月</w:t>
                  </w:r>
                </w:p>
              </w:tc>
              <w:tc>
                <w:tcPr>
                  <w:tcW w:w="913"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restart"/>
                  <w:tcBorders>
                    <w:tl2br w:val="nil"/>
                    <w:tr2bl w:val="nil"/>
                  </w:tcBorders>
                  <w:vAlign w:val="center"/>
                </w:tcPr>
                <w:p>
                  <w:pPr>
                    <w:pStyle w:val="68"/>
                    <w:rPr>
                      <w:bCs/>
                      <w:color w:val="auto"/>
                      <w:lang w:val="en-US"/>
                    </w:rPr>
                  </w:pPr>
                  <w:r>
                    <w:rPr>
                      <w:bCs/>
                      <w:color w:val="auto"/>
                      <w:lang w:val="en-US"/>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continue"/>
                  <w:tcBorders>
                    <w:tl2br w:val="nil"/>
                    <w:tr2bl w:val="nil"/>
                  </w:tcBorders>
                  <w:vAlign w:val="center"/>
                </w:tcPr>
                <w:p>
                  <w:pPr>
                    <w:pStyle w:val="68"/>
                    <w:rPr>
                      <w:color w:val="auto"/>
                    </w:rPr>
                  </w:pPr>
                </w:p>
              </w:tc>
              <w:tc>
                <w:tcPr>
                  <w:tcW w:w="365" w:type="pct"/>
                  <w:vMerge w:val="continue"/>
                  <w:tcBorders>
                    <w:tl2br w:val="nil"/>
                    <w:tr2bl w:val="nil"/>
                  </w:tcBorders>
                  <w:vAlign w:val="center"/>
                </w:tcPr>
                <w:p>
                  <w:pPr>
                    <w:pStyle w:val="68"/>
                    <w:rPr>
                      <w:color w:val="auto"/>
                    </w:rPr>
                  </w:pPr>
                </w:p>
              </w:tc>
              <w:tc>
                <w:tcPr>
                  <w:tcW w:w="456" w:type="pct"/>
                  <w:vMerge w:val="continue"/>
                  <w:tcBorders>
                    <w:tl2br w:val="nil"/>
                    <w:tr2bl w:val="nil"/>
                  </w:tcBorders>
                  <w:vAlign w:val="center"/>
                </w:tcPr>
                <w:p>
                  <w:pPr>
                    <w:pStyle w:val="68"/>
                    <w:rPr>
                      <w:color w:val="auto"/>
                    </w:rPr>
                  </w:pPr>
                </w:p>
              </w:tc>
              <w:tc>
                <w:tcPr>
                  <w:tcW w:w="1034" w:type="pct"/>
                  <w:tcBorders>
                    <w:tl2br w:val="nil"/>
                    <w:tr2bl w:val="nil"/>
                  </w:tcBorders>
                  <w:vAlign w:val="center"/>
                </w:tcPr>
                <w:p>
                  <w:pPr>
                    <w:pStyle w:val="68"/>
                    <w:rPr>
                      <w:color w:val="auto"/>
                    </w:rPr>
                  </w:pPr>
                  <w:r>
                    <w:rPr>
                      <w:rFonts w:hint="eastAsia"/>
                      <w:color w:val="auto"/>
                    </w:rPr>
                    <w:t>二氧化硫</w:t>
                  </w:r>
                </w:p>
              </w:tc>
              <w:tc>
                <w:tcPr>
                  <w:tcW w:w="335" w:type="pct"/>
                  <w:tcBorders>
                    <w:tl2br w:val="nil"/>
                    <w:tr2bl w:val="nil"/>
                  </w:tcBorders>
                  <w:vAlign w:val="center"/>
                </w:tcPr>
                <w:p>
                  <w:pPr>
                    <w:pStyle w:val="68"/>
                    <w:rPr>
                      <w:color w:val="auto"/>
                    </w:rPr>
                  </w:pPr>
                  <w:r>
                    <w:rPr>
                      <w:rFonts w:hint="eastAsia"/>
                      <w:color w:val="auto"/>
                      <w:lang w:eastAsia="zh-CN"/>
                    </w:rPr>
                    <w:t>月</w:t>
                  </w:r>
                </w:p>
              </w:tc>
              <w:tc>
                <w:tcPr>
                  <w:tcW w:w="913" w:type="pct"/>
                  <w:tcBorders>
                    <w:tl2br w:val="nil"/>
                    <w:tr2bl w:val="nil"/>
                  </w:tcBorders>
                  <w:vAlign w:val="center"/>
                </w:tcPr>
                <w:p>
                  <w:pPr>
                    <w:pStyle w:val="68"/>
                    <w:rPr>
                      <w:color w:val="auto"/>
                      <w:lang w:val="en-US"/>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2" w:type="pct"/>
                  <w:vMerge w:val="continue"/>
                  <w:tcBorders>
                    <w:tl2br w:val="nil"/>
                    <w:tr2bl w:val="nil"/>
                  </w:tcBorders>
                  <w:vAlign w:val="center"/>
                </w:tcPr>
                <w:p>
                  <w:pPr>
                    <w:pStyle w:val="68"/>
                    <w:rPr>
                      <w:color w:val="auto"/>
                    </w:rPr>
                  </w:pPr>
                </w:p>
              </w:tc>
              <w:tc>
                <w:tcPr>
                  <w:tcW w:w="365" w:type="pct"/>
                  <w:vMerge w:val="continue"/>
                  <w:tcBorders>
                    <w:tl2br w:val="nil"/>
                    <w:tr2bl w:val="nil"/>
                  </w:tcBorders>
                  <w:vAlign w:val="center"/>
                </w:tcPr>
                <w:p>
                  <w:pPr>
                    <w:pStyle w:val="68"/>
                    <w:rPr>
                      <w:color w:val="auto"/>
                    </w:rPr>
                  </w:pPr>
                </w:p>
              </w:tc>
              <w:tc>
                <w:tcPr>
                  <w:tcW w:w="456" w:type="pct"/>
                  <w:vMerge w:val="continue"/>
                  <w:tcBorders>
                    <w:tl2br w:val="nil"/>
                    <w:tr2bl w:val="nil"/>
                  </w:tcBorders>
                  <w:vAlign w:val="center"/>
                </w:tcPr>
                <w:p>
                  <w:pPr>
                    <w:pStyle w:val="68"/>
                    <w:rPr>
                      <w:color w:val="auto"/>
                      <w:lang w:val="en-US"/>
                    </w:rPr>
                  </w:pPr>
                </w:p>
              </w:tc>
              <w:tc>
                <w:tcPr>
                  <w:tcW w:w="1034" w:type="pct"/>
                  <w:tcBorders>
                    <w:tl2br w:val="nil"/>
                    <w:tr2bl w:val="nil"/>
                  </w:tcBorders>
                  <w:vAlign w:val="center"/>
                </w:tcPr>
                <w:p>
                  <w:pPr>
                    <w:pStyle w:val="68"/>
                    <w:rPr>
                      <w:color w:val="auto"/>
                    </w:rPr>
                  </w:pPr>
                  <w:r>
                    <w:rPr>
                      <w:rFonts w:hint="eastAsia"/>
                      <w:color w:val="auto"/>
                    </w:rPr>
                    <w:t>氮氧化物</w:t>
                  </w:r>
                </w:p>
              </w:tc>
              <w:tc>
                <w:tcPr>
                  <w:tcW w:w="335" w:type="pct"/>
                  <w:tcBorders>
                    <w:tl2br w:val="nil"/>
                    <w:tr2bl w:val="nil"/>
                  </w:tcBorders>
                  <w:vAlign w:val="center"/>
                </w:tcPr>
                <w:p>
                  <w:pPr>
                    <w:pStyle w:val="68"/>
                    <w:rPr>
                      <w:color w:val="auto"/>
                    </w:rPr>
                  </w:pPr>
                  <w:r>
                    <w:rPr>
                      <w:rFonts w:hint="eastAsia"/>
                      <w:color w:val="auto"/>
                      <w:lang w:eastAsia="zh-CN"/>
                    </w:rPr>
                    <w:t>月</w:t>
                  </w:r>
                </w:p>
              </w:tc>
              <w:tc>
                <w:tcPr>
                  <w:tcW w:w="913" w:type="pct"/>
                  <w:tcBorders>
                    <w:tl2br w:val="nil"/>
                    <w:tr2bl w:val="nil"/>
                  </w:tcBorders>
                  <w:vAlign w:val="center"/>
                </w:tcPr>
                <w:p>
                  <w:pPr>
                    <w:pStyle w:val="68"/>
                    <w:rPr>
                      <w:color w:val="auto"/>
                    </w:rPr>
                  </w:pPr>
                  <w:r>
                    <w:rPr>
                      <w:color w:val="auto"/>
                      <w:lang w:val="en-US"/>
                    </w:rPr>
                    <w:sym w:font="Wingdings 2" w:char="00A3"/>
                  </w:r>
                  <w:r>
                    <w:rPr>
                      <w:color w:val="auto"/>
                      <w:lang w:val="en-US"/>
                    </w:rPr>
                    <w:t>自动</w:t>
                  </w:r>
                  <w:r>
                    <w:rPr>
                      <w:color w:val="auto"/>
                      <w:shd w:val="clear" w:fill="FFFFFF"/>
                      <w:lang w:val="en-US"/>
                    </w:rPr>
                    <w:sym w:font="Wingdings 2" w:char="0052"/>
                  </w:r>
                  <w:r>
                    <w:rPr>
                      <w:color w:val="auto"/>
                      <w:lang w:val="en-US"/>
                    </w:rPr>
                    <w:t>手工</w:t>
                  </w:r>
                </w:p>
              </w:tc>
              <w:tc>
                <w:tcPr>
                  <w:tcW w:w="1515" w:type="pct"/>
                  <w:vMerge w:val="continue"/>
                  <w:tcBorders>
                    <w:tl2br w:val="nil"/>
                    <w:tr2bl w:val="nil"/>
                  </w:tcBorders>
                  <w:vAlign w:val="center"/>
                </w:tcPr>
                <w:p>
                  <w:pPr>
                    <w:pStyle w:val="68"/>
                    <w:rPr>
                      <w:bCs/>
                      <w:color w:val="auto"/>
                      <w:lang w:val="en-US"/>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382" w:type="pct"/>
                  <w:vMerge w:val="continue"/>
                  <w:tcBorders>
                    <w:tl2br w:val="nil"/>
                    <w:tr2bl w:val="nil"/>
                  </w:tcBorders>
                  <w:vAlign w:val="center"/>
                </w:tcPr>
                <w:p>
                  <w:pPr>
                    <w:pStyle w:val="68"/>
                    <w:rPr>
                      <w:color w:val="auto"/>
                    </w:rPr>
                  </w:pPr>
                </w:p>
              </w:tc>
              <w:tc>
                <w:tcPr>
                  <w:tcW w:w="821" w:type="pct"/>
                  <w:gridSpan w:val="2"/>
                  <w:tcBorders>
                    <w:tl2br w:val="nil"/>
                    <w:tr2bl w:val="nil"/>
                  </w:tcBorders>
                  <w:vAlign w:val="center"/>
                </w:tcPr>
                <w:p>
                  <w:pPr>
                    <w:pStyle w:val="68"/>
                    <w:rPr>
                      <w:color w:val="auto"/>
                    </w:rPr>
                  </w:pPr>
                  <w:r>
                    <w:rPr>
                      <w:color w:val="auto"/>
                      <w:shd w:val="clear" w:fill="FFFFFF"/>
                    </w:rPr>
                    <w:t>厂界</w:t>
                  </w:r>
                </w:p>
              </w:tc>
              <w:tc>
                <w:tcPr>
                  <w:tcW w:w="1034" w:type="pct"/>
                  <w:tcBorders>
                    <w:tl2br w:val="nil"/>
                    <w:tr2bl w:val="nil"/>
                  </w:tcBorders>
                  <w:vAlign w:val="center"/>
                </w:tcPr>
                <w:p>
                  <w:pPr>
                    <w:pStyle w:val="68"/>
                    <w:rPr>
                      <w:color w:val="auto"/>
                    </w:rPr>
                  </w:pPr>
                  <w:r>
                    <w:rPr>
                      <w:rFonts w:hint="eastAsia"/>
                      <w:color w:val="auto"/>
                    </w:rPr>
                    <w:t>硫化氢</w:t>
                  </w:r>
                </w:p>
                <w:p>
                  <w:pPr>
                    <w:pStyle w:val="68"/>
                    <w:rPr>
                      <w:color w:val="auto"/>
                    </w:rPr>
                  </w:pPr>
                  <w:r>
                    <w:rPr>
                      <w:rFonts w:hint="eastAsia"/>
                      <w:color w:val="auto"/>
                    </w:rPr>
                    <w:t>氨</w:t>
                  </w:r>
                </w:p>
                <w:p>
                  <w:pPr>
                    <w:pStyle w:val="68"/>
                    <w:rPr>
                      <w:color w:val="auto"/>
                    </w:rPr>
                  </w:pPr>
                  <w:r>
                    <w:rPr>
                      <w:rFonts w:hint="eastAsia"/>
                      <w:color w:val="auto"/>
                    </w:rPr>
                    <w:t>臭气浓度</w:t>
                  </w:r>
                </w:p>
              </w:tc>
              <w:tc>
                <w:tcPr>
                  <w:tcW w:w="335" w:type="pct"/>
                  <w:tcBorders>
                    <w:tl2br w:val="nil"/>
                    <w:tr2bl w:val="nil"/>
                  </w:tcBorders>
                  <w:vAlign w:val="center"/>
                </w:tcPr>
                <w:p>
                  <w:pPr>
                    <w:pStyle w:val="68"/>
                    <w:rPr>
                      <w:color w:val="auto"/>
                    </w:rPr>
                  </w:pPr>
                  <w:r>
                    <w:rPr>
                      <w:rFonts w:hint="eastAsia"/>
                      <w:color w:val="auto"/>
                    </w:rPr>
                    <w:t>季度</w:t>
                  </w:r>
                </w:p>
              </w:tc>
              <w:tc>
                <w:tcPr>
                  <w:tcW w:w="913" w:type="pct"/>
                  <w:tcBorders>
                    <w:tl2br w:val="nil"/>
                    <w:tr2bl w:val="nil"/>
                  </w:tcBorders>
                  <w:vAlign w:val="center"/>
                </w:tcPr>
                <w:p>
                  <w:pPr>
                    <w:pStyle w:val="68"/>
                    <w:rPr>
                      <w:color w:val="auto"/>
                    </w:rPr>
                  </w:pPr>
                  <w:r>
                    <w:rPr>
                      <w:color w:val="auto"/>
                    </w:rPr>
                    <w:sym w:font="Wingdings 2" w:char="00A3"/>
                  </w:r>
                  <w:r>
                    <w:rPr>
                      <w:color w:val="auto"/>
                    </w:rPr>
                    <w:t>自动</w:t>
                  </w:r>
                  <w:r>
                    <w:rPr>
                      <w:color w:val="auto"/>
                      <w:shd w:val="clear" w:fill="FFFFFF"/>
                    </w:rPr>
                    <w:sym w:font="Wingdings 2" w:char="0052"/>
                  </w:r>
                  <w:r>
                    <w:rPr>
                      <w:color w:val="auto"/>
                    </w:rPr>
                    <w:t>手工</w:t>
                  </w:r>
                </w:p>
              </w:tc>
              <w:tc>
                <w:tcPr>
                  <w:tcW w:w="1515" w:type="pct"/>
                  <w:tcBorders>
                    <w:tl2br w:val="nil"/>
                    <w:tr2bl w:val="nil"/>
                  </w:tcBorders>
                  <w:vAlign w:val="center"/>
                </w:tcPr>
                <w:p>
                  <w:pPr>
                    <w:pStyle w:val="68"/>
                    <w:rPr>
                      <w:color w:val="auto"/>
                    </w:rPr>
                  </w:pPr>
                  <w:r>
                    <w:rPr>
                      <w:rFonts w:hint="eastAsia"/>
                      <w:bCs/>
                      <w:color w:val="auto"/>
                      <w:lang w:val="en-US"/>
                    </w:rPr>
                    <w:t>《恶臭污染物排放标准》（GB14554-93）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382" w:type="pct"/>
                  <w:vMerge w:val="continue"/>
                  <w:tcBorders>
                    <w:tl2br w:val="nil"/>
                    <w:tr2bl w:val="nil"/>
                  </w:tcBorders>
                  <w:vAlign w:val="center"/>
                </w:tcPr>
                <w:p>
                  <w:pPr>
                    <w:pStyle w:val="68"/>
                    <w:rPr>
                      <w:color w:val="auto"/>
                    </w:rPr>
                  </w:pPr>
                </w:p>
              </w:tc>
              <w:tc>
                <w:tcPr>
                  <w:tcW w:w="821" w:type="pct"/>
                  <w:gridSpan w:val="2"/>
                  <w:tcBorders>
                    <w:tl2br w:val="nil"/>
                    <w:tr2bl w:val="nil"/>
                  </w:tcBorders>
                  <w:vAlign w:val="center"/>
                </w:tcPr>
                <w:p>
                  <w:pPr>
                    <w:pStyle w:val="68"/>
                    <w:rPr>
                      <w:color w:val="auto"/>
                    </w:rPr>
                  </w:pPr>
                  <w:r>
                    <w:rPr>
                      <w:rFonts w:hint="eastAsia"/>
                      <w:color w:val="auto"/>
                      <w:lang w:eastAsia="zh-CN"/>
                    </w:rPr>
                    <w:t>污水池</w:t>
                  </w:r>
                </w:p>
              </w:tc>
              <w:tc>
                <w:tcPr>
                  <w:tcW w:w="1034" w:type="pct"/>
                  <w:tcBorders>
                    <w:tl2br w:val="nil"/>
                    <w:tr2bl w:val="nil"/>
                  </w:tcBorders>
                  <w:vAlign w:val="center"/>
                </w:tcPr>
                <w:p>
                  <w:pPr>
                    <w:pStyle w:val="68"/>
                    <w:rPr>
                      <w:color w:val="auto"/>
                    </w:rPr>
                  </w:pPr>
                  <w:r>
                    <w:rPr>
                      <w:rFonts w:hint="eastAsia"/>
                      <w:color w:val="auto"/>
                    </w:rPr>
                    <w:t>pH、化学需氧量、氨氮、总氮、总磷、悬浮物、五日生化需氧量、动植物油</w:t>
                  </w:r>
                </w:p>
              </w:tc>
              <w:tc>
                <w:tcPr>
                  <w:tcW w:w="335" w:type="pct"/>
                  <w:tcBorders>
                    <w:tl2br w:val="nil"/>
                    <w:tr2bl w:val="nil"/>
                  </w:tcBorders>
                  <w:vAlign w:val="center"/>
                </w:tcPr>
                <w:p>
                  <w:pPr>
                    <w:pStyle w:val="68"/>
                    <w:rPr>
                      <w:color w:val="auto"/>
                    </w:rPr>
                  </w:pPr>
                  <w:r>
                    <w:rPr>
                      <w:rFonts w:hint="eastAsia"/>
                      <w:color w:val="auto"/>
                      <w:lang w:val="en-US"/>
                    </w:rPr>
                    <w:t>年</w:t>
                  </w:r>
                </w:p>
              </w:tc>
              <w:tc>
                <w:tcPr>
                  <w:tcW w:w="913" w:type="pct"/>
                  <w:tcBorders>
                    <w:tl2br w:val="nil"/>
                    <w:tr2bl w:val="nil"/>
                  </w:tcBorders>
                  <w:vAlign w:val="center"/>
                </w:tcPr>
                <w:p>
                  <w:pPr>
                    <w:pStyle w:val="68"/>
                    <w:rPr>
                      <w:color w:val="auto"/>
                    </w:rPr>
                  </w:pPr>
                  <w:r>
                    <w:rPr>
                      <w:color w:val="auto"/>
                    </w:rPr>
                    <w:sym w:font="Wingdings 2" w:char="00A3"/>
                  </w:r>
                  <w:r>
                    <w:rPr>
                      <w:color w:val="auto"/>
                    </w:rPr>
                    <w:t>自动</w:t>
                  </w:r>
                  <w:r>
                    <w:rPr>
                      <w:color w:val="auto"/>
                      <w:shd w:val="clear" w:fill="FFFFFF"/>
                    </w:rPr>
                    <w:sym w:font="Wingdings 2" w:char="0052"/>
                  </w:r>
                  <w:r>
                    <w:rPr>
                      <w:color w:val="auto"/>
                    </w:rPr>
                    <w:t>手工</w:t>
                  </w:r>
                </w:p>
              </w:tc>
              <w:tc>
                <w:tcPr>
                  <w:tcW w:w="1515" w:type="pct"/>
                  <w:tcBorders>
                    <w:tl2br w:val="nil"/>
                    <w:tr2bl w:val="nil"/>
                  </w:tcBorders>
                  <w:vAlign w:val="center"/>
                </w:tcPr>
                <w:p>
                  <w:pPr>
                    <w:pStyle w:val="68"/>
                    <w:rPr>
                      <w:bCs/>
                      <w:color w:val="auto"/>
                      <w:lang w:val="en-US"/>
                    </w:rPr>
                  </w:pPr>
                  <w:r>
                    <w:rPr>
                      <w:rFonts w:hint="eastAsia"/>
                      <w:bCs/>
                      <w:color w:val="auto"/>
                      <w:lang w:val="en-US"/>
                    </w:rPr>
                    <w:t>《污水排入城镇下水道水质标准》（</w:t>
                  </w:r>
                  <w:r>
                    <w:rPr>
                      <w:bCs/>
                      <w:color w:val="auto"/>
                      <w:lang w:val="en-US"/>
                    </w:rPr>
                    <w:t>GB/T31962-2015</w:t>
                  </w:r>
                  <w:r>
                    <w:rPr>
                      <w:rFonts w:hint="eastAsia"/>
                      <w:bCs/>
                      <w:color w:val="auto"/>
                      <w:lang w:val="en-US"/>
                    </w:rPr>
                    <w:t>）B等级标准、《污水综合排放标准》（GB8978-1996）三级标准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382" w:type="pct"/>
                  <w:vMerge w:val="continue"/>
                  <w:tcBorders>
                    <w:tl2br w:val="nil"/>
                    <w:tr2bl w:val="nil"/>
                  </w:tcBorders>
                  <w:vAlign w:val="center"/>
                </w:tcPr>
                <w:p>
                  <w:pPr>
                    <w:pStyle w:val="68"/>
                    <w:rPr>
                      <w:color w:val="auto"/>
                    </w:rPr>
                  </w:pPr>
                </w:p>
              </w:tc>
              <w:tc>
                <w:tcPr>
                  <w:tcW w:w="821" w:type="pct"/>
                  <w:gridSpan w:val="2"/>
                  <w:tcBorders>
                    <w:tl2br w:val="nil"/>
                    <w:tr2bl w:val="nil"/>
                  </w:tcBorders>
                  <w:vAlign w:val="center"/>
                </w:tcPr>
                <w:p>
                  <w:pPr>
                    <w:pStyle w:val="68"/>
                    <w:rPr>
                      <w:color w:val="auto"/>
                    </w:rPr>
                  </w:pPr>
                  <w:r>
                    <w:rPr>
                      <w:rFonts w:hint="eastAsia"/>
                      <w:color w:val="auto"/>
                      <w:shd w:val="clear" w:fill="FFFFFF"/>
                      <w:lang w:eastAsia="zh-CN"/>
                    </w:rPr>
                    <w:t>厂界</w:t>
                  </w:r>
                </w:p>
              </w:tc>
              <w:tc>
                <w:tcPr>
                  <w:tcW w:w="1034" w:type="pct"/>
                  <w:tcBorders>
                    <w:tl2br w:val="nil"/>
                    <w:tr2bl w:val="nil"/>
                  </w:tcBorders>
                  <w:vAlign w:val="center"/>
                </w:tcPr>
                <w:p>
                  <w:pPr>
                    <w:pStyle w:val="68"/>
                    <w:rPr>
                      <w:color w:val="auto"/>
                    </w:rPr>
                  </w:pPr>
                  <w:r>
                    <w:rPr>
                      <w:rFonts w:hint="eastAsia"/>
                      <w:color w:val="auto"/>
                      <w:kern w:val="2"/>
                    </w:rPr>
                    <w:t>昼间</w:t>
                  </w:r>
                  <w:r>
                    <w:rPr>
                      <w:rFonts w:hint="eastAsia"/>
                      <w:color w:val="auto"/>
                      <w:kern w:val="2"/>
                      <w:lang w:eastAsia="zh-CN"/>
                    </w:rPr>
                    <w:t>、夜间</w:t>
                  </w:r>
                  <w:r>
                    <w:rPr>
                      <w:rFonts w:hint="eastAsia"/>
                      <w:color w:val="auto"/>
                      <w:kern w:val="2"/>
                    </w:rPr>
                    <w:t>噪声</w:t>
                  </w:r>
                </w:p>
              </w:tc>
              <w:tc>
                <w:tcPr>
                  <w:tcW w:w="335" w:type="pct"/>
                  <w:tcBorders>
                    <w:tl2br w:val="nil"/>
                    <w:tr2bl w:val="nil"/>
                  </w:tcBorders>
                  <w:vAlign w:val="center"/>
                </w:tcPr>
                <w:p>
                  <w:pPr>
                    <w:pStyle w:val="68"/>
                    <w:rPr>
                      <w:color w:val="auto"/>
                    </w:rPr>
                  </w:pPr>
                  <w:r>
                    <w:rPr>
                      <w:rFonts w:hint="eastAsia"/>
                      <w:color w:val="auto"/>
                    </w:rPr>
                    <w:t>季度</w:t>
                  </w:r>
                </w:p>
              </w:tc>
              <w:tc>
                <w:tcPr>
                  <w:tcW w:w="913" w:type="pct"/>
                  <w:tcBorders>
                    <w:tl2br w:val="nil"/>
                    <w:tr2bl w:val="nil"/>
                  </w:tcBorders>
                  <w:vAlign w:val="center"/>
                </w:tcPr>
                <w:p>
                  <w:pPr>
                    <w:pStyle w:val="68"/>
                    <w:rPr>
                      <w:color w:val="auto"/>
                    </w:rPr>
                  </w:pPr>
                  <w:r>
                    <w:rPr>
                      <w:color w:val="auto"/>
                    </w:rPr>
                    <w:sym w:font="Wingdings 2" w:char="00A3"/>
                  </w:r>
                  <w:r>
                    <w:rPr>
                      <w:color w:val="auto"/>
                    </w:rPr>
                    <w:t>自动</w:t>
                  </w:r>
                  <w:r>
                    <w:rPr>
                      <w:color w:val="auto"/>
                      <w:shd w:val="clear" w:fill="FFFFFF"/>
                    </w:rPr>
                    <w:sym w:font="Wingdings 2" w:char="0052"/>
                  </w:r>
                  <w:r>
                    <w:rPr>
                      <w:color w:val="auto"/>
                    </w:rPr>
                    <w:t>手工</w:t>
                  </w:r>
                </w:p>
              </w:tc>
              <w:tc>
                <w:tcPr>
                  <w:tcW w:w="1515" w:type="pct"/>
                  <w:tcBorders>
                    <w:tl2br w:val="nil"/>
                    <w:tr2bl w:val="nil"/>
                  </w:tcBorders>
                  <w:vAlign w:val="center"/>
                </w:tcPr>
                <w:p>
                  <w:pPr>
                    <w:pStyle w:val="68"/>
                    <w:rPr>
                      <w:bCs/>
                      <w:color w:val="auto"/>
                      <w:lang w:val="en-US"/>
                    </w:rPr>
                  </w:pPr>
                  <w:r>
                    <w:rPr>
                      <w:rFonts w:hint="eastAsia"/>
                      <w:color w:val="auto"/>
                      <w:lang w:eastAsia="zh-CN"/>
                    </w:rPr>
                    <w:t>《工业企业厂界</w:t>
                  </w:r>
                  <w:r>
                    <w:rPr>
                      <w:color w:val="auto"/>
                    </w:rPr>
                    <w:t>环境噪声排放标准》</w:t>
                  </w:r>
                  <w:r>
                    <w:rPr>
                      <w:rFonts w:hint="eastAsia"/>
                      <w:color w:val="auto"/>
                    </w:rPr>
                    <w:t>（</w:t>
                  </w:r>
                  <w:r>
                    <w:rPr>
                      <w:color w:val="auto"/>
                    </w:rPr>
                    <w:t>GB12348-2008</w:t>
                  </w:r>
                  <w:r>
                    <w:rPr>
                      <w:rFonts w:hint="eastAsia"/>
                      <w:color w:val="auto"/>
                    </w:rPr>
                    <w:t>）</w:t>
                  </w:r>
                  <w:r>
                    <w:rPr>
                      <w:color w:val="auto"/>
                      <w:lang w:eastAsia="zh-CN"/>
                    </w:rPr>
                    <w:t>2</w:t>
                  </w:r>
                  <w:r>
                    <w:rPr>
                      <w:rFonts w:hint="eastAsia"/>
                      <w:color w:val="auto"/>
                    </w:rPr>
                    <w:t>类</w:t>
                  </w:r>
                </w:p>
              </w:tc>
            </w:tr>
          </w:tbl>
          <w:p>
            <w:pPr>
              <w:ind w:firstLine="480"/>
              <w:rPr>
                <w:color w:val="auto"/>
              </w:rPr>
            </w:pPr>
          </w:p>
          <w:p>
            <w:pPr>
              <w:ind w:firstLine="480"/>
              <w:rPr>
                <w:color w:val="auto"/>
              </w:rPr>
            </w:pPr>
          </w:p>
          <w:p>
            <w:pPr>
              <w:ind w:firstLine="480"/>
              <w:rPr>
                <w:color w:val="auto"/>
              </w:rPr>
            </w:pPr>
          </w:p>
        </w:tc>
      </w:tr>
    </w:tbl>
    <w:p>
      <w:pPr>
        <w:ind w:firstLine="560"/>
        <w:rPr>
          <w:rFonts w:ascii="宋体" w:cs="宋体"/>
          <w:color w:val="auto"/>
          <w:sz w:val="28"/>
          <w:szCs w:val="28"/>
        </w:rPr>
      </w:pPr>
      <w:r>
        <w:rPr>
          <w:rFonts w:ascii="宋体" w:cs="宋体"/>
          <w:color w:val="auto"/>
          <w:sz w:val="28"/>
          <w:szCs w:val="28"/>
        </w:rPr>
        <w:br w:type="page"/>
      </w:r>
    </w:p>
    <w:p>
      <w:pPr>
        <w:ind w:firstLine="560"/>
        <w:rPr>
          <w:rFonts w:ascii="宋体" w:cs="宋体"/>
          <w:color w:val="auto"/>
          <w:sz w:val="28"/>
          <w:szCs w:val="28"/>
        </w:rPr>
        <w:sectPr>
          <w:pgSz w:w="11907" w:h="16840"/>
          <w:pgMar w:top="1440" w:right="1800" w:bottom="1440" w:left="1800" w:header="340" w:footer="850" w:gutter="0"/>
          <w:cols w:space="720" w:num="1"/>
          <w:docGrid w:linePitch="326"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olor w:val="auto"/>
        </w:rPr>
      </w:pPr>
      <w:bookmarkStart w:id="9" w:name="_Toc103860797"/>
      <w:r>
        <w:rPr>
          <w:rFonts w:hint="eastAsia"/>
          <w:color w:val="auto"/>
        </w:rPr>
        <w:t>五、</w:t>
      </w:r>
      <w:bookmarkStart w:id="10" w:name="_Hlk54167917"/>
      <w:r>
        <w:rPr>
          <w:rFonts w:hint="eastAsia"/>
          <w:color w:val="auto"/>
        </w:rPr>
        <w:t>环境保护措施监督检查清单</w:t>
      </w:r>
      <w:bookmarkEnd w:id="9"/>
      <w:bookmarkEnd w:id="10"/>
    </w:p>
    <w:tbl>
      <w:tblPr>
        <w:tblStyle w:val="29"/>
        <w:tblW w:w="52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287"/>
        <w:gridCol w:w="608"/>
        <w:gridCol w:w="1518"/>
        <w:gridCol w:w="3324"/>
        <w:gridCol w:w="19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tcBorders>
              <w:tl2br w:val="single" w:color="auto" w:sz="4" w:space="0"/>
            </w:tcBorders>
          </w:tcPr>
          <w:p>
            <w:pPr>
              <w:pStyle w:val="59"/>
              <w:jc w:val="right"/>
              <w:rPr>
                <w:b/>
                <w:bCs/>
                <w:color w:val="auto"/>
              </w:rPr>
            </w:pPr>
            <w:r>
              <w:rPr>
                <w:rFonts w:hint="eastAsia"/>
                <w:b/>
                <w:bCs/>
                <w:color w:val="auto"/>
              </w:rPr>
              <w:t>内容</w:t>
            </w:r>
          </w:p>
          <w:p>
            <w:pPr>
              <w:pStyle w:val="59"/>
              <w:ind w:right="240"/>
              <w:jc w:val="right"/>
              <w:rPr>
                <w:b/>
                <w:bCs/>
                <w:color w:val="auto"/>
              </w:rPr>
            </w:pPr>
          </w:p>
          <w:p>
            <w:pPr>
              <w:pStyle w:val="59"/>
              <w:jc w:val="left"/>
              <w:rPr>
                <w:b/>
                <w:bCs/>
                <w:color w:val="auto"/>
              </w:rPr>
            </w:pPr>
            <w:r>
              <w:rPr>
                <w:rFonts w:hint="eastAsia"/>
                <w:b/>
                <w:bCs/>
                <w:color w:val="auto"/>
              </w:rPr>
              <w:t>要素</w:t>
            </w:r>
          </w:p>
        </w:tc>
        <w:tc>
          <w:tcPr>
            <w:tcW w:w="1001" w:type="pct"/>
            <w:gridSpan w:val="2"/>
            <w:vAlign w:val="center"/>
          </w:tcPr>
          <w:p>
            <w:pPr>
              <w:pStyle w:val="59"/>
              <w:rPr>
                <w:b/>
                <w:bCs/>
                <w:color w:val="auto"/>
              </w:rPr>
            </w:pPr>
            <w:r>
              <w:rPr>
                <w:rFonts w:hint="eastAsia"/>
                <w:b/>
                <w:bCs/>
                <w:color w:val="auto"/>
              </w:rPr>
              <w:t>排放口</w:t>
            </w:r>
            <w:r>
              <w:rPr>
                <w:rFonts w:hint="eastAsia"/>
                <w:b/>
                <w:bCs/>
                <w:color w:val="auto"/>
                <w:lang w:eastAsia="zh-CN"/>
              </w:rPr>
              <w:t>（</w:t>
            </w:r>
            <w:r>
              <w:rPr>
                <w:rFonts w:hint="eastAsia"/>
                <w:b/>
                <w:bCs/>
                <w:color w:val="auto"/>
              </w:rPr>
              <w:t>编号、名称</w:t>
            </w:r>
            <w:r>
              <w:rPr>
                <w:rFonts w:hint="eastAsia"/>
                <w:b/>
                <w:bCs/>
                <w:color w:val="auto"/>
                <w:lang w:eastAsia="zh-CN"/>
              </w:rPr>
              <w:t>）</w:t>
            </w:r>
            <w:r>
              <w:rPr>
                <w:rFonts w:hint="eastAsia"/>
                <w:b/>
                <w:bCs/>
                <w:color w:val="auto"/>
              </w:rPr>
              <w:t>/污染源</w:t>
            </w:r>
          </w:p>
        </w:tc>
        <w:tc>
          <w:tcPr>
            <w:tcW w:w="802" w:type="pct"/>
            <w:vAlign w:val="center"/>
          </w:tcPr>
          <w:p>
            <w:pPr>
              <w:pStyle w:val="59"/>
              <w:rPr>
                <w:b/>
                <w:bCs/>
                <w:color w:val="auto"/>
              </w:rPr>
            </w:pPr>
            <w:r>
              <w:rPr>
                <w:rFonts w:hint="eastAsia"/>
                <w:b/>
                <w:bCs/>
                <w:color w:val="auto"/>
              </w:rPr>
              <w:t>污染物</w:t>
            </w:r>
          </w:p>
        </w:tc>
        <w:tc>
          <w:tcPr>
            <w:tcW w:w="1756" w:type="pct"/>
            <w:vAlign w:val="center"/>
          </w:tcPr>
          <w:p>
            <w:pPr>
              <w:pStyle w:val="59"/>
              <w:rPr>
                <w:b/>
                <w:bCs/>
                <w:color w:val="auto"/>
              </w:rPr>
            </w:pPr>
            <w:r>
              <w:rPr>
                <w:rFonts w:hint="eastAsia"/>
                <w:b/>
                <w:bCs/>
                <w:color w:val="auto"/>
              </w:rPr>
              <w:t>环境保护措施</w:t>
            </w:r>
          </w:p>
        </w:tc>
        <w:tc>
          <w:tcPr>
            <w:tcW w:w="1016" w:type="pct"/>
            <w:vAlign w:val="center"/>
          </w:tcPr>
          <w:p>
            <w:pPr>
              <w:pStyle w:val="59"/>
              <w:rPr>
                <w:b/>
                <w:bCs/>
                <w:color w:val="auto"/>
              </w:rPr>
            </w:pPr>
            <w:r>
              <w:rPr>
                <w:rFonts w:hint="eastAsia"/>
                <w:b/>
                <w:bCs/>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Merge w:val="restart"/>
            <w:vAlign w:val="center"/>
          </w:tcPr>
          <w:p>
            <w:pPr>
              <w:pStyle w:val="59"/>
              <w:rPr>
                <w:color w:val="auto"/>
              </w:rPr>
            </w:pPr>
            <w:r>
              <w:rPr>
                <w:rFonts w:hint="eastAsia"/>
                <w:color w:val="auto"/>
              </w:rPr>
              <w:t>大气环境</w:t>
            </w:r>
          </w:p>
        </w:tc>
        <w:tc>
          <w:tcPr>
            <w:tcW w:w="1001" w:type="pct"/>
            <w:gridSpan w:val="2"/>
            <w:vAlign w:val="center"/>
          </w:tcPr>
          <w:p>
            <w:pPr>
              <w:pStyle w:val="59"/>
              <w:rPr>
                <w:color w:val="auto"/>
              </w:rPr>
            </w:pPr>
            <w:r>
              <w:rPr>
                <w:rFonts w:hint="eastAsia"/>
                <w:color w:val="auto"/>
              </w:rPr>
              <w:t>D</w:t>
            </w:r>
            <w:r>
              <w:rPr>
                <w:color w:val="auto"/>
              </w:rPr>
              <w:t>A001</w:t>
            </w:r>
          </w:p>
        </w:tc>
        <w:tc>
          <w:tcPr>
            <w:tcW w:w="802" w:type="pct"/>
            <w:vAlign w:val="center"/>
          </w:tcPr>
          <w:p>
            <w:pPr>
              <w:pStyle w:val="59"/>
              <w:rPr>
                <w:color w:val="auto"/>
              </w:rPr>
            </w:pPr>
            <w:r>
              <w:rPr>
                <w:rFonts w:hint="eastAsia"/>
                <w:color w:val="auto"/>
              </w:rPr>
              <w:t>硫化氢</w:t>
            </w:r>
          </w:p>
          <w:p>
            <w:pPr>
              <w:pStyle w:val="59"/>
              <w:rPr>
                <w:color w:val="auto"/>
              </w:rPr>
            </w:pPr>
            <w:r>
              <w:rPr>
                <w:rFonts w:hint="eastAsia"/>
                <w:color w:val="auto"/>
              </w:rPr>
              <w:t>氨</w:t>
            </w:r>
          </w:p>
          <w:p>
            <w:pPr>
              <w:pStyle w:val="59"/>
              <w:rPr>
                <w:color w:val="auto"/>
              </w:rPr>
            </w:pPr>
            <w:r>
              <w:rPr>
                <w:rFonts w:hint="eastAsia"/>
                <w:color w:val="auto"/>
              </w:rPr>
              <w:t>臭气浓度</w:t>
            </w:r>
          </w:p>
        </w:tc>
        <w:tc>
          <w:tcPr>
            <w:tcW w:w="1756" w:type="pct"/>
            <w:vAlign w:val="center"/>
          </w:tcPr>
          <w:p>
            <w:pPr>
              <w:pStyle w:val="59"/>
              <w:rPr>
                <w:rFonts w:hint="eastAsia" w:eastAsia="宋体"/>
                <w:color w:val="auto"/>
                <w:lang w:eastAsia="zh-CN"/>
              </w:rPr>
            </w:pPr>
            <w:r>
              <w:rPr>
                <w:rFonts w:hint="eastAsia"/>
                <w:color w:val="auto"/>
              </w:rPr>
              <w:t>处置车间设置为全封闭式车间，只留车辆进出口，车辆进出口设置自动卷帘门，卸车、固液分离、三相分离、好氧发酵废气通过微负压集气罩收集，送入除臭系统进行处置，除臭采用生物洗涤工艺，恶臭经处置后通过1</w:t>
            </w:r>
            <w:r>
              <w:rPr>
                <w:color w:val="auto"/>
              </w:rPr>
              <w:t>5</w:t>
            </w:r>
            <w:r>
              <w:rPr>
                <w:rFonts w:hint="eastAsia"/>
                <w:color w:val="auto"/>
              </w:rPr>
              <w:t>m高D</w:t>
            </w:r>
            <w:r>
              <w:rPr>
                <w:color w:val="auto"/>
              </w:rPr>
              <w:t>A001</w:t>
            </w:r>
            <w:r>
              <w:rPr>
                <w:rFonts w:hint="eastAsia"/>
                <w:color w:val="auto"/>
              </w:rPr>
              <w:t>排气筒排放；微负压风机风量6</w:t>
            </w:r>
            <w:r>
              <w:rPr>
                <w:color w:val="auto"/>
              </w:rPr>
              <w:t>000</w:t>
            </w:r>
            <w:r>
              <w:rPr>
                <w:rFonts w:hint="eastAsia"/>
                <w:color w:val="auto"/>
              </w:rPr>
              <w:t>m³</w:t>
            </w:r>
            <w:r>
              <w:rPr>
                <w:color w:val="auto"/>
              </w:rPr>
              <w:t>/</w:t>
            </w:r>
            <w:r>
              <w:rPr>
                <w:rFonts w:hint="eastAsia"/>
                <w:color w:val="auto"/>
              </w:rPr>
              <w:t>h，收集效率9</w:t>
            </w:r>
            <w:r>
              <w:rPr>
                <w:color w:val="auto"/>
              </w:rPr>
              <w:t>0%</w:t>
            </w:r>
            <w:r>
              <w:rPr>
                <w:rFonts w:hint="eastAsia"/>
                <w:color w:val="auto"/>
                <w:lang w:eastAsia="zh-CN"/>
              </w:rPr>
              <w:t>。</w:t>
            </w:r>
          </w:p>
        </w:tc>
        <w:tc>
          <w:tcPr>
            <w:tcW w:w="1016" w:type="pct"/>
            <w:vAlign w:val="center"/>
          </w:tcPr>
          <w:p>
            <w:pPr>
              <w:pStyle w:val="59"/>
              <w:rPr>
                <w:color w:val="auto"/>
              </w:rPr>
            </w:pPr>
            <w:r>
              <w:rPr>
                <w:rFonts w:hint="eastAsia"/>
                <w:bCs/>
                <w:color w:val="auto"/>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rPr>
              <w:t>D</w:t>
            </w:r>
            <w:r>
              <w:rPr>
                <w:color w:val="auto"/>
              </w:rPr>
              <w:t>A002</w:t>
            </w:r>
          </w:p>
        </w:tc>
        <w:tc>
          <w:tcPr>
            <w:tcW w:w="802" w:type="pct"/>
            <w:vAlign w:val="center"/>
          </w:tcPr>
          <w:p>
            <w:pPr>
              <w:pStyle w:val="59"/>
              <w:rPr>
                <w:color w:val="auto"/>
              </w:rPr>
            </w:pPr>
            <w:r>
              <w:rPr>
                <w:rFonts w:hint="eastAsia"/>
                <w:color w:val="auto"/>
              </w:rPr>
              <w:t>颗粒物</w:t>
            </w:r>
          </w:p>
          <w:p>
            <w:pPr>
              <w:pStyle w:val="59"/>
              <w:rPr>
                <w:color w:val="auto"/>
              </w:rPr>
            </w:pPr>
            <w:r>
              <w:rPr>
                <w:rFonts w:hint="eastAsia"/>
                <w:color w:val="auto"/>
              </w:rPr>
              <w:t>二氧化硫</w:t>
            </w:r>
          </w:p>
          <w:p>
            <w:pPr>
              <w:pStyle w:val="59"/>
              <w:rPr>
                <w:color w:val="auto"/>
              </w:rPr>
            </w:pPr>
            <w:r>
              <w:rPr>
                <w:rFonts w:hint="eastAsia"/>
                <w:color w:val="auto"/>
              </w:rPr>
              <w:t>氮氧化物</w:t>
            </w:r>
          </w:p>
        </w:tc>
        <w:tc>
          <w:tcPr>
            <w:tcW w:w="1756" w:type="pct"/>
            <w:vAlign w:val="center"/>
          </w:tcPr>
          <w:p>
            <w:pPr>
              <w:pStyle w:val="59"/>
              <w:rPr>
                <w:rFonts w:hint="eastAsia" w:eastAsia="宋体"/>
                <w:color w:val="auto"/>
                <w:lang w:eastAsia="zh-CN"/>
              </w:rPr>
            </w:pPr>
            <w:r>
              <w:rPr>
                <w:rFonts w:hint="eastAsia"/>
                <w:color w:val="auto"/>
              </w:rPr>
              <w:t>生物质锅炉采用低氮燃烧工艺，燃烧废气通过</w:t>
            </w:r>
            <w:r>
              <w:rPr>
                <w:rFonts w:hint="eastAsia"/>
                <w:color w:val="auto"/>
                <w:lang w:val="en-US" w:eastAsia="zh-CN"/>
              </w:rPr>
              <w:t>布袋</w:t>
            </w:r>
            <w:r>
              <w:rPr>
                <w:rFonts w:hint="eastAsia"/>
                <w:color w:val="auto"/>
              </w:rPr>
              <w:t>除尘器后，经</w:t>
            </w:r>
            <w:r>
              <w:rPr>
                <w:rFonts w:hint="eastAsia"/>
                <w:color w:val="auto"/>
                <w:lang w:val="en-US" w:eastAsia="zh-CN"/>
              </w:rPr>
              <w:t>30</w:t>
            </w:r>
            <w:r>
              <w:rPr>
                <w:rFonts w:hint="eastAsia"/>
                <w:color w:val="auto"/>
              </w:rPr>
              <w:t>m高D</w:t>
            </w:r>
            <w:r>
              <w:rPr>
                <w:color w:val="auto"/>
              </w:rPr>
              <w:t>A002</w:t>
            </w:r>
            <w:r>
              <w:rPr>
                <w:rFonts w:hint="eastAsia"/>
                <w:color w:val="auto"/>
              </w:rPr>
              <w:t>排气筒排放</w:t>
            </w:r>
            <w:r>
              <w:rPr>
                <w:rFonts w:hint="eastAsia"/>
                <w:color w:val="auto"/>
                <w:lang w:eastAsia="zh-CN"/>
              </w:rPr>
              <w:t>。</w:t>
            </w:r>
          </w:p>
        </w:tc>
        <w:tc>
          <w:tcPr>
            <w:tcW w:w="1016" w:type="pct"/>
            <w:vAlign w:val="center"/>
          </w:tcPr>
          <w:p>
            <w:pPr>
              <w:pStyle w:val="59"/>
              <w:rPr>
                <w:color w:val="auto"/>
              </w:rPr>
            </w:pPr>
            <w:r>
              <w:rPr>
                <w:bCs/>
                <w:color w:val="auto"/>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Merge w:val="continue"/>
            <w:vAlign w:val="center"/>
          </w:tcPr>
          <w:p>
            <w:pPr>
              <w:pStyle w:val="59"/>
              <w:rPr>
                <w:color w:val="auto"/>
              </w:rPr>
            </w:pPr>
          </w:p>
        </w:tc>
        <w:tc>
          <w:tcPr>
            <w:tcW w:w="680" w:type="pct"/>
            <w:vAlign w:val="center"/>
          </w:tcPr>
          <w:p>
            <w:pPr>
              <w:pStyle w:val="59"/>
              <w:rPr>
                <w:color w:val="auto"/>
              </w:rPr>
            </w:pPr>
            <w:r>
              <w:rPr>
                <w:rFonts w:hint="eastAsia"/>
                <w:color w:val="auto"/>
              </w:rPr>
              <w:t>餐厨垃圾处置车间</w:t>
            </w:r>
          </w:p>
        </w:tc>
        <w:tc>
          <w:tcPr>
            <w:tcW w:w="321" w:type="pct"/>
            <w:vAlign w:val="center"/>
          </w:tcPr>
          <w:p>
            <w:pPr>
              <w:pStyle w:val="59"/>
              <w:rPr>
                <w:color w:val="auto"/>
              </w:rPr>
            </w:pPr>
            <w:r>
              <w:rPr>
                <w:rFonts w:hint="eastAsia"/>
                <w:color w:val="auto"/>
              </w:rPr>
              <w:t>无组织</w:t>
            </w:r>
          </w:p>
        </w:tc>
        <w:tc>
          <w:tcPr>
            <w:tcW w:w="802" w:type="pct"/>
            <w:vAlign w:val="center"/>
          </w:tcPr>
          <w:p>
            <w:pPr>
              <w:pStyle w:val="59"/>
              <w:rPr>
                <w:color w:val="auto"/>
              </w:rPr>
            </w:pPr>
            <w:r>
              <w:rPr>
                <w:rFonts w:hint="eastAsia"/>
                <w:color w:val="auto"/>
              </w:rPr>
              <w:t>硫化氢</w:t>
            </w:r>
          </w:p>
          <w:p>
            <w:pPr>
              <w:pStyle w:val="59"/>
              <w:rPr>
                <w:color w:val="auto"/>
              </w:rPr>
            </w:pPr>
            <w:r>
              <w:rPr>
                <w:rFonts w:hint="eastAsia"/>
                <w:color w:val="auto"/>
              </w:rPr>
              <w:t>氨</w:t>
            </w:r>
          </w:p>
          <w:p>
            <w:pPr>
              <w:pStyle w:val="59"/>
              <w:rPr>
                <w:color w:val="auto"/>
              </w:rPr>
            </w:pPr>
            <w:r>
              <w:rPr>
                <w:rFonts w:hint="eastAsia"/>
                <w:color w:val="auto"/>
              </w:rPr>
              <w:t>臭气浓度</w:t>
            </w:r>
          </w:p>
        </w:tc>
        <w:tc>
          <w:tcPr>
            <w:tcW w:w="1756" w:type="pct"/>
            <w:vAlign w:val="center"/>
          </w:tcPr>
          <w:p>
            <w:pPr>
              <w:pStyle w:val="59"/>
              <w:rPr>
                <w:rFonts w:hint="eastAsia" w:eastAsia="宋体"/>
                <w:color w:val="auto"/>
                <w:lang w:eastAsia="zh-CN"/>
              </w:rPr>
            </w:pPr>
            <w:r>
              <w:rPr>
                <w:rFonts w:hint="eastAsia"/>
                <w:color w:val="auto"/>
              </w:rPr>
              <w:t>处置车间设置为全封闭式车间，只留车辆进出口，车辆进出口设置自动卷帘门，定期喷洒生物除臭剂</w:t>
            </w:r>
            <w:r>
              <w:rPr>
                <w:rFonts w:hint="eastAsia"/>
                <w:color w:val="auto"/>
                <w:lang w:eastAsia="zh-CN"/>
              </w:rPr>
              <w:t>。</w:t>
            </w:r>
          </w:p>
        </w:tc>
        <w:tc>
          <w:tcPr>
            <w:tcW w:w="1016" w:type="pct"/>
            <w:vAlign w:val="center"/>
          </w:tcPr>
          <w:p>
            <w:pPr>
              <w:pStyle w:val="59"/>
              <w:rPr>
                <w:color w:val="auto"/>
              </w:rPr>
            </w:pPr>
            <w:r>
              <w:rPr>
                <w:rFonts w:hint="eastAsia"/>
                <w:bCs/>
                <w:color w:val="auto"/>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3" w:hRule="atLeast"/>
          <w:jc w:val="center"/>
        </w:trPr>
        <w:tc>
          <w:tcPr>
            <w:tcW w:w="425" w:type="pct"/>
            <w:vMerge w:val="restart"/>
            <w:tcBorders>
              <w:bottom w:val="single" w:color="auto" w:sz="4" w:space="0"/>
            </w:tcBorders>
            <w:vAlign w:val="center"/>
          </w:tcPr>
          <w:p>
            <w:pPr>
              <w:pStyle w:val="59"/>
              <w:rPr>
                <w:color w:val="auto"/>
              </w:rPr>
            </w:pPr>
            <w:r>
              <w:rPr>
                <w:rFonts w:hint="eastAsia"/>
                <w:color w:val="auto"/>
              </w:rPr>
              <w:t>地表水环境</w:t>
            </w:r>
          </w:p>
        </w:tc>
        <w:tc>
          <w:tcPr>
            <w:tcW w:w="1001" w:type="pct"/>
            <w:gridSpan w:val="2"/>
            <w:tcBorders>
              <w:bottom w:val="single" w:color="auto" w:sz="4" w:space="0"/>
            </w:tcBorders>
            <w:vAlign w:val="center"/>
          </w:tcPr>
          <w:p>
            <w:pPr>
              <w:pStyle w:val="59"/>
              <w:rPr>
                <w:color w:val="auto"/>
              </w:rPr>
            </w:pPr>
            <w:r>
              <w:rPr>
                <w:rFonts w:hint="eastAsia"/>
                <w:color w:val="auto"/>
                <w:lang w:val="zh-CN"/>
              </w:rPr>
              <w:t>分离废水</w:t>
            </w:r>
          </w:p>
        </w:tc>
        <w:tc>
          <w:tcPr>
            <w:tcW w:w="802" w:type="pct"/>
            <w:tcBorders>
              <w:bottom w:val="single" w:color="auto" w:sz="4" w:space="0"/>
            </w:tcBorders>
            <w:vAlign w:val="center"/>
          </w:tcPr>
          <w:p>
            <w:pPr>
              <w:pStyle w:val="59"/>
              <w:rPr>
                <w:color w:val="auto"/>
              </w:rPr>
            </w:pPr>
            <w:r>
              <w:rPr>
                <w:color w:val="auto"/>
                <w:shd w:val="clear" w:fill="FFFFFF"/>
              </w:rPr>
              <w:t>COD</w:t>
            </w:r>
            <w:r>
              <w:rPr>
                <w:rFonts w:hint="eastAsia"/>
                <w:color w:val="auto"/>
                <w:shd w:val="clear" w:fill="FFFFFF"/>
              </w:rPr>
              <w:t>cr</w:t>
            </w:r>
            <w:r>
              <w:rPr>
                <w:rFonts w:hint="eastAsia"/>
                <w:color w:val="auto"/>
              </w:rPr>
              <w:t>、B</w:t>
            </w:r>
            <w:r>
              <w:rPr>
                <w:color w:val="auto"/>
              </w:rPr>
              <w:t>OD</w:t>
            </w:r>
            <w:r>
              <w:rPr>
                <w:color w:val="auto"/>
                <w:vertAlign w:val="subscript"/>
              </w:rPr>
              <w:t>5</w:t>
            </w:r>
            <w:r>
              <w:rPr>
                <w:color w:val="auto"/>
              </w:rPr>
              <w:t>、</w:t>
            </w:r>
            <w:r>
              <w:rPr>
                <w:rFonts w:hint="eastAsia"/>
                <w:color w:val="auto"/>
              </w:rPr>
              <w:t>S</w:t>
            </w:r>
            <w:r>
              <w:rPr>
                <w:color w:val="auto"/>
              </w:rPr>
              <w:t>S、氨氮、</w:t>
            </w:r>
            <w:r>
              <w:rPr>
                <w:rFonts w:hint="eastAsia"/>
                <w:color w:val="auto"/>
              </w:rPr>
              <w:t>T</w:t>
            </w:r>
            <w:r>
              <w:rPr>
                <w:color w:val="auto"/>
              </w:rPr>
              <w:t>P、动植物油等</w:t>
            </w:r>
          </w:p>
        </w:tc>
        <w:tc>
          <w:tcPr>
            <w:tcW w:w="1756" w:type="pct"/>
            <w:tcBorders>
              <w:bottom w:val="single" w:color="auto" w:sz="4" w:space="0"/>
            </w:tcBorders>
            <w:vAlign w:val="center"/>
          </w:tcPr>
          <w:p>
            <w:pPr>
              <w:pStyle w:val="59"/>
              <w:rPr>
                <w:color w:val="auto"/>
              </w:rPr>
            </w:pPr>
            <w:r>
              <w:rPr>
                <w:rFonts w:hint="eastAsia"/>
                <w:color w:val="auto"/>
                <w:lang w:val="zh-CN"/>
              </w:rPr>
              <w:t>废水</w:t>
            </w:r>
            <w:r>
              <w:rPr>
                <w:rFonts w:hint="eastAsia"/>
                <w:color w:val="auto"/>
                <w:shd w:val="clear" w:fill="FFFFFF"/>
                <w:lang w:val="zh-CN"/>
              </w:rPr>
              <w:t>经</w:t>
            </w:r>
            <w:r>
              <w:rPr>
                <w:rFonts w:hint="eastAsia"/>
                <w:color w:val="auto"/>
                <w:lang w:val="zh-CN"/>
              </w:rPr>
              <w:t>污水管接入一体化污水处理站进行处置，采用“格栅+调节池+气浮沉淀预处理+UASB厌氧处理+两级AO+MBR膜处理”的工艺，处理规模</w:t>
            </w:r>
            <w:r>
              <w:rPr>
                <w:rFonts w:hint="eastAsia"/>
                <w:color w:val="auto"/>
                <w:lang w:val="en-US" w:eastAsia="zh-CN"/>
              </w:rPr>
              <w:t>31</w:t>
            </w:r>
            <w:r>
              <w:rPr>
                <w:rFonts w:hint="eastAsia"/>
                <w:color w:val="auto"/>
                <w:lang w:val="zh-CN"/>
              </w:rPr>
              <w:t>m³</w:t>
            </w:r>
            <w:r>
              <w:rPr>
                <w:color w:val="auto"/>
                <w:lang w:val="zh-CN"/>
              </w:rPr>
              <w:t>/</w:t>
            </w:r>
            <w:r>
              <w:rPr>
                <w:rFonts w:hint="eastAsia"/>
                <w:color w:val="auto"/>
                <w:lang w:val="zh-CN"/>
              </w:rPr>
              <w:t>d，处理达标后暂存在污水池（1个，容积</w:t>
            </w:r>
            <w:r>
              <w:rPr>
                <w:rFonts w:hint="eastAsia"/>
                <w:color w:val="auto"/>
                <w:lang w:val="en-US" w:eastAsia="zh-CN"/>
              </w:rPr>
              <w:t>100</w:t>
            </w:r>
            <w:r>
              <w:rPr>
                <w:rFonts w:hint="eastAsia"/>
                <w:color w:val="auto"/>
                <w:lang w:val="zh-CN"/>
              </w:rPr>
              <w:t>m³）内，采用1辆容积1</w:t>
            </w:r>
            <w:r>
              <w:rPr>
                <w:color w:val="auto"/>
                <w:lang w:val="zh-CN"/>
              </w:rPr>
              <w:t>5</w:t>
            </w:r>
            <w:r>
              <w:rPr>
                <w:rFonts w:hint="eastAsia"/>
                <w:color w:val="auto"/>
                <w:lang w:val="zh-CN"/>
              </w:rPr>
              <w:t>m³的专用罐车运送至彩云镇生活污水处理站进行处理。</w:t>
            </w:r>
          </w:p>
        </w:tc>
        <w:tc>
          <w:tcPr>
            <w:tcW w:w="1016" w:type="pct"/>
            <w:vMerge w:val="restart"/>
            <w:tcBorders>
              <w:bottom w:val="single" w:color="auto" w:sz="4" w:space="0"/>
            </w:tcBorders>
            <w:vAlign w:val="center"/>
          </w:tcPr>
          <w:p>
            <w:pPr>
              <w:pStyle w:val="59"/>
              <w:rPr>
                <w:color w:val="auto"/>
              </w:rPr>
            </w:pPr>
            <w:r>
              <w:rPr>
                <w:rFonts w:hint="eastAsia"/>
                <w:bCs/>
                <w:color w:val="auto"/>
              </w:rPr>
              <w:t>《污水排入城镇下水道水质标准》（</w:t>
            </w:r>
            <w:r>
              <w:rPr>
                <w:bCs/>
                <w:color w:val="auto"/>
              </w:rPr>
              <w:t>GB/T31962-2015</w:t>
            </w:r>
            <w:r>
              <w:rPr>
                <w:rFonts w:hint="eastAsia"/>
                <w:bCs/>
                <w:color w:val="auto"/>
              </w:rPr>
              <w:t>）B等级标准、《污水综合排放标准》（GB8978-1996）三级标准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lang w:val="zh-CN"/>
              </w:rPr>
              <w:t>清洗废水</w:t>
            </w:r>
          </w:p>
        </w:tc>
        <w:tc>
          <w:tcPr>
            <w:tcW w:w="802" w:type="pct"/>
            <w:vAlign w:val="center"/>
          </w:tcPr>
          <w:p>
            <w:pPr>
              <w:pStyle w:val="59"/>
              <w:rPr>
                <w:color w:val="auto"/>
              </w:rPr>
            </w:pPr>
            <w:r>
              <w:rPr>
                <w:color w:val="auto"/>
                <w:shd w:val="clear" w:fill="FFFFFF"/>
              </w:rPr>
              <w:t>COD</w:t>
            </w:r>
            <w:r>
              <w:rPr>
                <w:rFonts w:hint="eastAsia"/>
                <w:color w:val="auto"/>
                <w:shd w:val="clear" w:fill="FFFFFF"/>
              </w:rPr>
              <w:t>cr</w:t>
            </w:r>
            <w:r>
              <w:rPr>
                <w:rFonts w:hint="eastAsia"/>
                <w:color w:val="auto"/>
              </w:rPr>
              <w:t>、B</w:t>
            </w:r>
            <w:r>
              <w:rPr>
                <w:color w:val="auto"/>
              </w:rPr>
              <w:t>OD</w:t>
            </w:r>
            <w:r>
              <w:rPr>
                <w:color w:val="auto"/>
                <w:vertAlign w:val="subscript"/>
              </w:rPr>
              <w:t>5</w:t>
            </w:r>
            <w:r>
              <w:rPr>
                <w:color w:val="auto"/>
              </w:rPr>
              <w:t>、</w:t>
            </w:r>
            <w:r>
              <w:rPr>
                <w:rFonts w:hint="eastAsia"/>
                <w:color w:val="auto"/>
              </w:rPr>
              <w:t>S</w:t>
            </w:r>
            <w:r>
              <w:rPr>
                <w:color w:val="auto"/>
              </w:rPr>
              <w:t>S、氨氮、</w:t>
            </w:r>
            <w:r>
              <w:rPr>
                <w:rFonts w:hint="eastAsia"/>
                <w:color w:val="auto"/>
              </w:rPr>
              <w:t>T</w:t>
            </w:r>
            <w:r>
              <w:rPr>
                <w:color w:val="auto"/>
              </w:rPr>
              <w:t>P、动植物油等</w:t>
            </w:r>
          </w:p>
        </w:tc>
        <w:tc>
          <w:tcPr>
            <w:tcW w:w="1756" w:type="pct"/>
            <w:vAlign w:val="center"/>
          </w:tcPr>
          <w:p>
            <w:pPr>
              <w:pStyle w:val="59"/>
              <w:rPr>
                <w:color w:val="auto"/>
              </w:rPr>
            </w:pPr>
            <w:r>
              <w:rPr>
                <w:rFonts w:hint="eastAsia"/>
                <w:color w:val="auto"/>
                <w:lang w:val="zh-CN"/>
              </w:rPr>
              <w:t>车辆清洗废水、设备清洗废水、地面清洗废水收集后经污水管接入一体化污水处理站进行处置，采用“格栅+调节池+气浮沉淀预处理+UASB厌氧处理+两级AO+MBR膜处理”的工艺，处理规模</w:t>
            </w:r>
            <w:r>
              <w:rPr>
                <w:rFonts w:hint="eastAsia"/>
                <w:color w:val="auto"/>
                <w:lang w:val="en-US" w:eastAsia="zh-CN"/>
              </w:rPr>
              <w:t>31</w:t>
            </w:r>
            <w:r>
              <w:rPr>
                <w:rFonts w:hint="eastAsia"/>
                <w:color w:val="auto"/>
                <w:lang w:val="zh-CN"/>
              </w:rPr>
              <w:t>m³</w:t>
            </w:r>
            <w:r>
              <w:rPr>
                <w:color w:val="auto"/>
                <w:lang w:val="zh-CN"/>
              </w:rPr>
              <w:t>/</w:t>
            </w:r>
            <w:r>
              <w:rPr>
                <w:rFonts w:hint="eastAsia"/>
                <w:color w:val="auto"/>
                <w:lang w:val="zh-CN"/>
              </w:rPr>
              <w:t>d处理达标后暂存在污水池（1个，容积</w:t>
            </w:r>
            <w:r>
              <w:rPr>
                <w:rFonts w:hint="eastAsia"/>
                <w:color w:val="auto"/>
                <w:lang w:val="en-US" w:eastAsia="zh-CN"/>
              </w:rPr>
              <w:t>100</w:t>
            </w:r>
            <w:r>
              <w:rPr>
                <w:rFonts w:hint="eastAsia"/>
                <w:color w:val="auto"/>
                <w:lang w:val="zh-CN"/>
              </w:rPr>
              <w:t>m³）内，采用1辆容积1</w:t>
            </w:r>
            <w:r>
              <w:rPr>
                <w:color w:val="auto"/>
                <w:lang w:val="zh-CN"/>
              </w:rPr>
              <w:t>5</w:t>
            </w:r>
            <w:r>
              <w:rPr>
                <w:rFonts w:hint="eastAsia"/>
                <w:color w:val="auto"/>
                <w:lang w:val="zh-CN"/>
              </w:rPr>
              <w:t>m³的专用罐车运送至彩云镇生活污水处理站进行处理。</w:t>
            </w:r>
          </w:p>
        </w:tc>
        <w:tc>
          <w:tcPr>
            <w:tcW w:w="1016" w:type="pct"/>
            <w:vMerge w:val="continue"/>
            <w:vAlign w:val="center"/>
          </w:tcPr>
          <w:p>
            <w:pPr>
              <w:pStyle w:val="59"/>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lang w:val="zh-CN"/>
              </w:rPr>
              <w:t>洗涤废水</w:t>
            </w:r>
          </w:p>
        </w:tc>
        <w:tc>
          <w:tcPr>
            <w:tcW w:w="802" w:type="pct"/>
            <w:vAlign w:val="center"/>
          </w:tcPr>
          <w:p>
            <w:pPr>
              <w:pStyle w:val="59"/>
              <w:rPr>
                <w:color w:val="auto"/>
              </w:rPr>
            </w:pPr>
            <w:r>
              <w:rPr>
                <w:color w:val="auto"/>
                <w:shd w:val="clear" w:fill="FFFFFF"/>
              </w:rPr>
              <w:t>COD</w:t>
            </w:r>
            <w:r>
              <w:rPr>
                <w:rFonts w:hint="eastAsia"/>
                <w:color w:val="auto"/>
                <w:shd w:val="clear" w:fill="FFFFFF"/>
              </w:rPr>
              <w:t>cr</w:t>
            </w:r>
            <w:r>
              <w:rPr>
                <w:rFonts w:hint="eastAsia"/>
                <w:color w:val="auto"/>
              </w:rPr>
              <w:t>、B</w:t>
            </w:r>
            <w:r>
              <w:rPr>
                <w:color w:val="auto"/>
              </w:rPr>
              <w:t>OD</w:t>
            </w:r>
            <w:r>
              <w:rPr>
                <w:color w:val="auto"/>
                <w:vertAlign w:val="subscript"/>
              </w:rPr>
              <w:t>5</w:t>
            </w:r>
            <w:r>
              <w:rPr>
                <w:color w:val="auto"/>
              </w:rPr>
              <w:t>、</w:t>
            </w:r>
            <w:r>
              <w:rPr>
                <w:rFonts w:hint="eastAsia"/>
                <w:color w:val="auto"/>
              </w:rPr>
              <w:t>S</w:t>
            </w:r>
            <w:r>
              <w:rPr>
                <w:color w:val="auto"/>
              </w:rPr>
              <w:t>S、氨氮、</w:t>
            </w:r>
            <w:r>
              <w:rPr>
                <w:rFonts w:hint="eastAsia"/>
                <w:color w:val="auto"/>
              </w:rPr>
              <w:t>T</w:t>
            </w:r>
            <w:r>
              <w:rPr>
                <w:color w:val="auto"/>
              </w:rPr>
              <w:t>P、动植物油等</w:t>
            </w:r>
          </w:p>
        </w:tc>
        <w:tc>
          <w:tcPr>
            <w:tcW w:w="1756" w:type="pct"/>
            <w:vAlign w:val="center"/>
          </w:tcPr>
          <w:p>
            <w:pPr>
              <w:pStyle w:val="59"/>
              <w:rPr>
                <w:color w:val="auto"/>
              </w:rPr>
            </w:pPr>
            <w:r>
              <w:rPr>
                <w:rFonts w:hint="eastAsia"/>
                <w:color w:val="auto"/>
                <w:lang w:val="zh-CN"/>
              </w:rPr>
              <w:t>洗涤废水</w:t>
            </w:r>
            <w:r>
              <w:rPr>
                <w:rFonts w:hint="eastAsia"/>
                <w:color w:val="auto"/>
                <w:shd w:val="clear" w:fill="FFFFFF"/>
                <w:lang w:val="zh-CN"/>
              </w:rPr>
              <w:t>经</w:t>
            </w:r>
            <w:r>
              <w:rPr>
                <w:rFonts w:hint="eastAsia"/>
                <w:color w:val="auto"/>
                <w:lang w:val="zh-CN"/>
              </w:rPr>
              <w:t>污水管接入一体化污水处理站进行</w:t>
            </w:r>
            <w:r>
              <w:rPr>
                <w:rFonts w:hint="eastAsia"/>
                <w:color w:val="auto"/>
                <w:lang w:val="en-US" w:eastAsia="zh-CN"/>
              </w:rPr>
              <w:t>处理</w:t>
            </w:r>
            <w:r>
              <w:rPr>
                <w:rFonts w:hint="eastAsia"/>
                <w:color w:val="auto"/>
                <w:lang w:val="zh-CN"/>
              </w:rPr>
              <w:t>，采用“格栅+调节池+气浮沉淀预处理+UASB厌氧处理+两级AO+MBR膜处理”的工艺，处理规模</w:t>
            </w:r>
            <w:r>
              <w:rPr>
                <w:rFonts w:hint="eastAsia"/>
                <w:color w:val="auto"/>
                <w:lang w:val="en-US" w:eastAsia="zh-CN"/>
              </w:rPr>
              <w:t>31</w:t>
            </w:r>
            <w:r>
              <w:rPr>
                <w:rFonts w:hint="eastAsia"/>
                <w:color w:val="auto"/>
                <w:lang w:val="zh-CN"/>
              </w:rPr>
              <w:t>m³</w:t>
            </w:r>
            <w:r>
              <w:rPr>
                <w:color w:val="auto"/>
                <w:lang w:val="zh-CN"/>
              </w:rPr>
              <w:t>/</w:t>
            </w:r>
            <w:r>
              <w:rPr>
                <w:rFonts w:hint="eastAsia"/>
                <w:color w:val="auto"/>
                <w:lang w:val="zh-CN"/>
              </w:rPr>
              <w:t>d，处置处理达标后暂存在污水池（1个，容积</w:t>
            </w:r>
            <w:r>
              <w:rPr>
                <w:rFonts w:hint="eastAsia"/>
                <w:color w:val="auto"/>
                <w:lang w:val="en-US" w:eastAsia="zh-CN"/>
              </w:rPr>
              <w:t>100</w:t>
            </w:r>
            <w:r>
              <w:rPr>
                <w:rFonts w:hint="eastAsia"/>
                <w:color w:val="auto"/>
                <w:lang w:val="zh-CN"/>
              </w:rPr>
              <w:t>m³）内，采用1辆容积1</w:t>
            </w:r>
            <w:r>
              <w:rPr>
                <w:color w:val="auto"/>
                <w:lang w:val="zh-CN"/>
              </w:rPr>
              <w:t>5</w:t>
            </w:r>
            <w:r>
              <w:rPr>
                <w:rFonts w:hint="eastAsia"/>
                <w:color w:val="auto"/>
                <w:lang w:val="zh-CN"/>
              </w:rPr>
              <w:t>m³的专用罐车运送至彩云镇生活污水处理站进行处理。</w:t>
            </w:r>
          </w:p>
        </w:tc>
        <w:tc>
          <w:tcPr>
            <w:tcW w:w="1016" w:type="pct"/>
            <w:vMerge w:val="continue"/>
            <w:vAlign w:val="center"/>
          </w:tcPr>
          <w:p>
            <w:pPr>
              <w:pStyle w:val="59"/>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lang w:val="zh-CN"/>
              </w:rPr>
              <w:t>锅炉废水</w:t>
            </w:r>
          </w:p>
        </w:tc>
        <w:tc>
          <w:tcPr>
            <w:tcW w:w="802" w:type="pct"/>
            <w:vAlign w:val="center"/>
          </w:tcPr>
          <w:p>
            <w:pPr>
              <w:pStyle w:val="59"/>
              <w:rPr>
                <w:color w:val="auto"/>
              </w:rPr>
            </w:pPr>
            <w:r>
              <w:rPr>
                <w:rFonts w:hint="eastAsia"/>
                <w:color w:val="auto"/>
              </w:rPr>
              <w:t>T</w:t>
            </w:r>
            <w:r>
              <w:rPr>
                <w:color w:val="auto"/>
              </w:rPr>
              <w:t>DS</w:t>
            </w:r>
          </w:p>
        </w:tc>
        <w:tc>
          <w:tcPr>
            <w:tcW w:w="1756" w:type="pct"/>
            <w:vAlign w:val="center"/>
          </w:tcPr>
          <w:p>
            <w:pPr>
              <w:pStyle w:val="59"/>
              <w:rPr>
                <w:color w:val="auto"/>
              </w:rPr>
            </w:pPr>
            <w:r>
              <w:rPr>
                <w:rFonts w:hint="eastAsia"/>
                <w:color w:val="auto"/>
                <w:lang w:val="zh-CN"/>
              </w:rPr>
              <w:t>锅炉排污水产生后用锅炉废水收集塑料桶（</w:t>
            </w:r>
            <w:r>
              <w:rPr>
                <w:rFonts w:hint="eastAsia"/>
                <w:color w:val="auto"/>
                <w:lang w:val="en-US" w:eastAsia="zh-CN"/>
              </w:rPr>
              <w:t>1个，容积300L</w:t>
            </w:r>
            <w:r>
              <w:rPr>
                <w:rFonts w:hint="eastAsia"/>
                <w:color w:val="auto"/>
                <w:lang w:val="zh-CN"/>
              </w:rPr>
              <w:t>）收集，用于餐厨垃圾处置车间地面清洗。</w:t>
            </w:r>
          </w:p>
        </w:tc>
        <w:tc>
          <w:tcPr>
            <w:tcW w:w="1016" w:type="pct"/>
            <w:vAlign w:val="center"/>
          </w:tcPr>
          <w:p>
            <w:pPr>
              <w:pStyle w:val="59"/>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lang w:val="zh-CN"/>
              </w:rPr>
              <w:t>生活污水</w:t>
            </w:r>
          </w:p>
        </w:tc>
        <w:tc>
          <w:tcPr>
            <w:tcW w:w="802" w:type="pct"/>
            <w:vAlign w:val="center"/>
          </w:tcPr>
          <w:p>
            <w:pPr>
              <w:pStyle w:val="59"/>
              <w:rPr>
                <w:color w:val="auto"/>
              </w:rPr>
            </w:pPr>
            <w:r>
              <w:rPr>
                <w:color w:val="auto"/>
                <w:shd w:val="clear" w:fill="FFFFFF"/>
              </w:rPr>
              <w:t>COD</w:t>
            </w:r>
            <w:r>
              <w:rPr>
                <w:rFonts w:hint="eastAsia"/>
                <w:color w:val="auto"/>
                <w:shd w:val="clear" w:fill="FFFFFF"/>
              </w:rPr>
              <w:t>cr</w:t>
            </w:r>
            <w:r>
              <w:rPr>
                <w:rFonts w:hint="eastAsia"/>
                <w:color w:val="auto"/>
              </w:rPr>
              <w:t>、B</w:t>
            </w:r>
            <w:r>
              <w:rPr>
                <w:color w:val="auto"/>
              </w:rPr>
              <w:t>OD</w:t>
            </w:r>
            <w:r>
              <w:rPr>
                <w:color w:val="auto"/>
                <w:vertAlign w:val="subscript"/>
              </w:rPr>
              <w:t>5</w:t>
            </w:r>
            <w:r>
              <w:rPr>
                <w:color w:val="auto"/>
              </w:rPr>
              <w:t>、</w:t>
            </w:r>
            <w:r>
              <w:rPr>
                <w:rFonts w:hint="eastAsia"/>
                <w:color w:val="auto"/>
              </w:rPr>
              <w:t>S</w:t>
            </w:r>
            <w:r>
              <w:rPr>
                <w:color w:val="auto"/>
              </w:rPr>
              <w:t>S、氨氮、</w:t>
            </w:r>
            <w:r>
              <w:rPr>
                <w:rFonts w:hint="eastAsia"/>
                <w:color w:val="auto"/>
              </w:rPr>
              <w:t>T</w:t>
            </w:r>
            <w:r>
              <w:rPr>
                <w:color w:val="auto"/>
              </w:rPr>
              <w:t>P</w:t>
            </w:r>
          </w:p>
        </w:tc>
        <w:tc>
          <w:tcPr>
            <w:tcW w:w="1756" w:type="pct"/>
            <w:vAlign w:val="center"/>
          </w:tcPr>
          <w:p>
            <w:pPr>
              <w:pStyle w:val="59"/>
              <w:rPr>
                <w:color w:val="auto"/>
              </w:rPr>
            </w:pPr>
            <w:r>
              <w:rPr>
                <w:rFonts w:hint="eastAsia"/>
                <w:color w:val="auto"/>
                <w:lang w:val="zh-CN"/>
              </w:rPr>
              <w:t>生活污水排入新建化粪池（</w:t>
            </w:r>
            <w:r>
              <w:rPr>
                <w:color w:val="auto"/>
                <w:lang w:val="zh-CN"/>
              </w:rPr>
              <w:t>1</w:t>
            </w:r>
            <w:r>
              <w:rPr>
                <w:rFonts w:hint="eastAsia"/>
                <w:color w:val="auto"/>
                <w:lang w:val="zh-CN"/>
              </w:rPr>
              <w:t>个，</w:t>
            </w:r>
            <w:r>
              <w:rPr>
                <w:color w:val="auto"/>
                <w:lang w:val="zh-CN"/>
              </w:rPr>
              <w:t>5</w:t>
            </w:r>
            <w:r>
              <w:rPr>
                <w:rFonts w:hint="eastAsia"/>
                <w:color w:val="auto"/>
                <w:lang w:val="zh-CN"/>
              </w:rPr>
              <w:t>m³）处理后定期清掏用于周边农田施肥。</w:t>
            </w:r>
          </w:p>
        </w:tc>
        <w:tc>
          <w:tcPr>
            <w:tcW w:w="1016" w:type="pct"/>
            <w:vAlign w:val="center"/>
          </w:tcPr>
          <w:p>
            <w:pPr>
              <w:pStyle w:val="59"/>
              <w:rPr>
                <w:color w:val="auto"/>
              </w:rPr>
            </w:pPr>
            <w:r>
              <w:rPr>
                <w:rFonts w:hint="eastAsia"/>
                <w:color w:val="auto"/>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25" w:type="pct"/>
            <w:vMerge w:val="continue"/>
            <w:vAlign w:val="center"/>
          </w:tcPr>
          <w:p>
            <w:pPr>
              <w:pStyle w:val="59"/>
              <w:rPr>
                <w:color w:val="auto"/>
              </w:rPr>
            </w:pPr>
          </w:p>
        </w:tc>
        <w:tc>
          <w:tcPr>
            <w:tcW w:w="1001" w:type="pct"/>
            <w:gridSpan w:val="2"/>
            <w:vAlign w:val="center"/>
          </w:tcPr>
          <w:p>
            <w:pPr>
              <w:pStyle w:val="59"/>
              <w:rPr>
                <w:color w:val="auto"/>
              </w:rPr>
            </w:pPr>
            <w:r>
              <w:rPr>
                <w:rFonts w:hint="eastAsia"/>
                <w:color w:val="auto"/>
                <w:lang w:val="zh-CN"/>
              </w:rPr>
              <w:t>初期雨水</w:t>
            </w:r>
          </w:p>
        </w:tc>
        <w:tc>
          <w:tcPr>
            <w:tcW w:w="802" w:type="pct"/>
            <w:vAlign w:val="center"/>
          </w:tcPr>
          <w:p>
            <w:pPr>
              <w:pStyle w:val="59"/>
              <w:rPr>
                <w:color w:val="auto"/>
              </w:rPr>
            </w:pPr>
            <w:r>
              <w:rPr>
                <w:color w:val="auto"/>
                <w:shd w:val="clear" w:fill="FFFFFF"/>
              </w:rPr>
              <w:t>COD</w:t>
            </w:r>
            <w:r>
              <w:rPr>
                <w:rFonts w:hint="eastAsia"/>
                <w:color w:val="auto"/>
                <w:shd w:val="clear" w:fill="FFFFFF"/>
              </w:rPr>
              <w:t>cr</w:t>
            </w:r>
            <w:r>
              <w:rPr>
                <w:color w:val="auto"/>
              </w:rPr>
              <w:t>、</w:t>
            </w:r>
            <w:r>
              <w:rPr>
                <w:rFonts w:hint="eastAsia"/>
                <w:color w:val="auto"/>
              </w:rPr>
              <w:t>S</w:t>
            </w:r>
            <w:r>
              <w:rPr>
                <w:color w:val="auto"/>
              </w:rPr>
              <w:t>S</w:t>
            </w:r>
          </w:p>
        </w:tc>
        <w:tc>
          <w:tcPr>
            <w:tcW w:w="1756" w:type="pct"/>
            <w:vAlign w:val="center"/>
          </w:tcPr>
          <w:p>
            <w:pPr>
              <w:pStyle w:val="59"/>
              <w:rPr>
                <w:color w:val="auto"/>
              </w:rPr>
            </w:pPr>
            <w:r>
              <w:rPr>
                <w:color w:val="auto"/>
                <w:lang w:val="zh-CN"/>
              </w:rPr>
              <w:t>在事故应急池</w:t>
            </w:r>
            <w:r>
              <w:rPr>
                <w:rFonts w:hint="eastAsia"/>
                <w:color w:val="auto"/>
                <w:lang w:val="zh-CN"/>
              </w:rPr>
              <w:t>1侧设置1个容积</w:t>
            </w:r>
            <w:r>
              <w:rPr>
                <w:rFonts w:hint="eastAsia"/>
                <w:color w:val="auto"/>
                <w:lang w:val="en-US" w:eastAsia="zh-CN"/>
              </w:rPr>
              <w:t>30</w:t>
            </w:r>
            <w:r>
              <w:rPr>
                <w:rFonts w:hint="eastAsia"/>
                <w:color w:val="auto"/>
                <w:lang w:val="zh-CN"/>
              </w:rPr>
              <w:t>m³的初期雨水池，初期雨水收集后进入一体化污水处理站处理，采用“格栅+调节池+气浮沉淀预处理+UASB厌氧处理+两级AO+MBR膜处理”的工艺，处理规模</w:t>
            </w:r>
            <w:r>
              <w:rPr>
                <w:rFonts w:hint="eastAsia"/>
                <w:color w:val="auto"/>
                <w:lang w:val="en-US" w:eastAsia="zh-CN"/>
              </w:rPr>
              <w:t>31</w:t>
            </w:r>
            <w:r>
              <w:rPr>
                <w:rFonts w:hint="eastAsia"/>
                <w:color w:val="auto"/>
                <w:lang w:val="zh-CN"/>
              </w:rPr>
              <w:t>m³</w:t>
            </w:r>
            <w:r>
              <w:rPr>
                <w:color w:val="auto"/>
                <w:lang w:val="zh-CN"/>
              </w:rPr>
              <w:t>/</w:t>
            </w:r>
            <w:r>
              <w:rPr>
                <w:rFonts w:hint="eastAsia"/>
                <w:color w:val="auto"/>
                <w:lang w:val="zh-CN"/>
              </w:rPr>
              <w:t>d，达标后暂存在污水池（1个，容积</w:t>
            </w:r>
            <w:r>
              <w:rPr>
                <w:rFonts w:hint="eastAsia"/>
                <w:color w:val="auto"/>
                <w:lang w:val="en-US" w:eastAsia="zh-CN"/>
              </w:rPr>
              <w:t>100</w:t>
            </w:r>
            <w:r>
              <w:rPr>
                <w:rFonts w:hint="eastAsia"/>
                <w:color w:val="auto"/>
                <w:lang w:val="zh-CN"/>
              </w:rPr>
              <w:t>m³）内，采用1辆容积1</w:t>
            </w:r>
            <w:r>
              <w:rPr>
                <w:color w:val="auto"/>
                <w:lang w:val="zh-CN"/>
              </w:rPr>
              <w:t>5</w:t>
            </w:r>
            <w:r>
              <w:rPr>
                <w:rFonts w:hint="eastAsia"/>
                <w:color w:val="auto"/>
                <w:lang w:val="zh-CN"/>
              </w:rPr>
              <w:t>m³的专用罐车运送至彩云镇生活污水处理站进行处理。</w:t>
            </w:r>
          </w:p>
        </w:tc>
        <w:tc>
          <w:tcPr>
            <w:tcW w:w="1016" w:type="pct"/>
            <w:vAlign w:val="center"/>
          </w:tcPr>
          <w:p>
            <w:pPr>
              <w:pStyle w:val="59"/>
              <w:rPr>
                <w:color w:val="auto"/>
              </w:rPr>
            </w:pPr>
            <w:r>
              <w:rPr>
                <w:rFonts w:hint="eastAsia"/>
                <w:bCs/>
                <w:color w:val="auto"/>
              </w:rPr>
              <w:t>《污水排入城镇下水道水质标准》（</w:t>
            </w:r>
            <w:r>
              <w:rPr>
                <w:bCs/>
                <w:color w:val="auto"/>
              </w:rPr>
              <w:t>GB/T31962-2015</w:t>
            </w:r>
            <w:r>
              <w:rPr>
                <w:rFonts w:hint="eastAsia"/>
                <w:bCs/>
                <w:color w:val="auto"/>
              </w:rPr>
              <w:t>）B等级标准、《污水综合排放标准》（GB8978-1996）三级标准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Align w:val="center"/>
          </w:tcPr>
          <w:p>
            <w:pPr>
              <w:pStyle w:val="59"/>
              <w:rPr>
                <w:color w:val="auto"/>
              </w:rPr>
            </w:pPr>
            <w:r>
              <w:rPr>
                <w:rFonts w:hint="eastAsia"/>
                <w:color w:val="auto"/>
              </w:rPr>
              <w:t>声环境</w:t>
            </w:r>
          </w:p>
        </w:tc>
        <w:tc>
          <w:tcPr>
            <w:tcW w:w="1001" w:type="pct"/>
            <w:gridSpan w:val="2"/>
            <w:vAlign w:val="center"/>
          </w:tcPr>
          <w:p>
            <w:pPr>
              <w:pStyle w:val="59"/>
              <w:rPr>
                <w:color w:val="auto"/>
              </w:rPr>
            </w:pPr>
            <w:r>
              <w:rPr>
                <w:rFonts w:hint="eastAsia"/>
                <w:color w:val="auto"/>
                <w:shd w:val="clear" w:fill="FFFFFF"/>
              </w:rPr>
              <w:t>厂界</w:t>
            </w:r>
            <w:r>
              <w:rPr>
                <w:rFonts w:hint="eastAsia"/>
                <w:color w:val="auto"/>
              </w:rPr>
              <w:t>/设备运行</w:t>
            </w:r>
          </w:p>
        </w:tc>
        <w:tc>
          <w:tcPr>
            <w:tcW w:w="802" w:type="pct"/>
            <w:vAlign w:val="center"/>
          </w:tcPr>
          <w:p>
            <w:pPr>
              <w:pStyle w:val="59"/>
              <w:rPr>
                <w:color w:val="auto"/>
              </w:rPr>
            </w:pPr>
            <w:r>
              <w:rPr>
                <w:rFonts w:hint="eastAsia"/>
                <w:color w:val="auto"/>
              </w:rPr>
              <w:t>噪声</w:t>
            </w:r>
          </w:p>
        </w:tc>
        <w:tc>
          <w:tcPr>
            <w:tcW w:w="1756" w:type="pct"/>
            <w:vAlign w:val="center"/>
          </w:tcPr>
          <w:p>
            <w:pPr>
              <w:pStyle w:val="59"/>
              <w:rPr>
                <w:color w:val="auto"/>
              </w:rPr>
            </w:pPr>
            <w:r>
              <w:rPr>
                <w:rFonts w:hint="eastAsia"/>
                <w:color w:val="auto"/>
              </w:rPr>
              <w:t>隔声和基础减震</w:t>
            </w:r>
          </w:p>
        </w:tc>
        <w:tc>
          <w:tcPr>
            <w:tcW w:w="1016" w:type="pct"/>
            <w:vAlign w:val="center"/>
          </w:tcPr>
          <w:p>
            <w:pPr>
              <w:pStyle w:val="59"/>
              <w:rPr>
                <w:color w:val="auto"/>
              </w:rPr>
            </w:pPr>
            <w:r>
              <w:rPr>
                <w:color w:val="auto"/>
              </w:rPr>
              <w:t>《工业企业厂界环境噪声排放标准》</w:t>
            </w:r>
            <w:r>
              <w:rPr>
                <w:rFonts w:hint="eastAsia"/>
                <w:color w:val="auto"/>
                <w:lang w:eastAsia="zh-CN"/>
              </w:rPr>
              <w:t>（</w:t>
            </w:r>
            <w:r>
              <w:rPr>
                <w:color w:val="auto"/>
              </w:rPr>
              <w:t>GB12348-2008</w:t>
            </w:r>
            <w:r>
              <w:rPr>
                <w:rFonts w:hint="eastAsia"/>
                <w:color w:val="auto"/>
                <w:lang w:eastAsia="zh-CN"/>
              </w:rPr>
              <w:t>）</w:t>
            </w:r>
            <w:r>
              <w:rPr>
                <w:color w:val="auto"/>
              </w:rPr>
              <w:t>2</w:t>
            </w:r>
            <w:r>
              <w:rPr>
                <w:rFonts w:hint="eastAsia"/>
                <w:color w:val="auto"/>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 w:type="pct"/>
            <w:vAlign w:val="center"/>
          </w:tcPr>
          <w:p>
            <w:pPr>
              <w:pStyle w:val="59"/>
              <w:rPr>
                <w:color w:val="auto"/>
              </w:rPr>
            </w:pPr>
            <w:r>
              <w:rPr>
                <w:rFonts w:hint="eastAsia"/>
                <w:color w:val="auto"/>
              </w:rPr>
              <w:t>电磁辐射</w:t>
            </w:r>
          </w:p>
        </w:tc>
        <w:tc>
          <w:tcPr>
            <w:tcW w:w="1001" w:type="pct"/>
            <w:gridSpan w:val="2"/>
            <w:vAlign w:val="center"/>
          </w:tcPr>
          <w:p>
            <w:pPr>
              <w:pStyle w:val="59"/>
              <w:rPr>
                <w:color w:val="auto"/>
              </w:rPr>
            </w:pPr>
            <w:r>
              <w:rPr>
                <w:rFonts w:hint="eastAsia"/>
                <w:color w:val="auto"/>
              </w:rPr>
              <w:t>/</w:t>
            </w:r>
          </w:p>
        </w:tc>
        <w:tc>
          <w:tcPr>
            <w:tcW w:w="802" w:type="pct"/>
            <w:vAlign w:val="center"/>
          </w:tcPr>
          <w:p>
            <w:pPr>
              <w:pStyle w:val="59"/>
              <w:rPr>
                <w:color w:val="auto"/>
              </w:rPr>
            </w:pPr>
            <w:r>
              <w:rPr>
                <w:rFonts w:hint="eastAsia"/>
                <w:color w:val="auto"/>
              </w:rPr>
              <w:t>/</w:t>
            </w:r>
          </w:p>
        </w:tc>
        <w:tc>
          <w:tcPr>
            <w:tcW w:w="1756" w:type="pct"/>
            <w:vAlign w:val="center"/>
          </w:tcPr>
          <w:p>
            <w:pPr>
              <w:pStyle w:val="59"/>
              <w:rPr>
                <w:color w:val="auto"/>
              </w:rPr>
            </w:pPr>
            <w:r>
              <w:rPr>
                <w:rFonts w:hint="eastAsia"/>
                <w:color w:val="auto"/>
              </w:rPr>
              <w:t>/</w:t>
            </w:r>
          </w:p>
        </w:tc>
        <w:tc>
          <w:tcPr>
            <w:tcW w:w="1016" w:type="pct"/>
            <w:vAlign w:val="center"/>
          </w:tcPr>
          <w:p>
            <w:pPr>
              <w:pStyle w:val="59"/>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25" w:type="pct"/>
            <w:vAlign w:val="center"/>
          </w:tcPr>
          <w:p>
            <w:pPr>
              <w:pStyle w:val="59"/>
              <w:rPr>
                <w:color w:val="auto"/>
              </w:rPr>
            </w:pPr>
            <w:r>
              <w:rPr>
                <w:rFonts w:hint="eastAsia"/>
                <w:color w:val="auto"/>
              </w:rPr>
              <w:t>固体废物</w:t>
            </w:r>
          </w:p>
        </w:tc>
        <w:tc>
          <w:tcPr>
            <w:tcW w:w="4575" w:type="pct"/>
            <w:gridSpan w:val="5"/>
            <w:vAlign w:val="center"/>
          </w:tcPr>
          <w:p>
            <w:pPr>
              <w:ind w:firstLine="480"/>
              <w:rPr>
                <w:color w:val="auto"/>
              </w:rPr>
            </w:pPr>
            <w:r>
              <w:rPr>
                <w:rFonts w:hint="eastAsia"/>
                <w:color w:val="auto"/>
              </w:rPr>
              <w:t>1</w:t>
            </w:r>
            <w:r>
              <w:rPr>
                <w:color w:val="auto"/>
              </w:rPr>
              <w:t>.</w:t>
            </w:r>
            <w:r>
              <w:rPr>
                <w:rFonts w:hint="eastAsia"/>
                <w:color w:val="auto"/>
              </w:rPr>
              <w:t>建设一般固废临时贮存场所，贮存过程满足防渗漏、防雨淋、防扬尘等环境保护要求。</w:t>
            </w:r>
          </w:p>
          <w:p>
            <w:pPr>
              <w:ind w:firstLine="480"/>
              <w:rPr>
                <w:color w:val="auto"/>
              </w:rPr>
            </w:pPr>
            <w:r>
              <w:rPr>
                <w:rFonts w:hint="eastAsia"/>
                <w:color w:val="auto"/>
              </w:rPr>
              <w:t>2</w:t>
            </w:r>
            <w:r>
              <w:rPr>
                <w:color w:val="auto"/>
              </w:rPr>
              <w:t>.</w:t>
            </w:r>
            <w:r>
              <w:rPr>
                <w:rFonts w:hint="eastAsia"/>
                <w:color w:val="auto"/>
              </w:rPr>
              <w:t>建设危废暂存间时，做到“四</w:t>
            </w:r>
            <w:r>
              <w:rPr>
                <w:rFonts w:hint="eastAsia"/>
                <w:color w:val="auto"/>
                <w:shd w:val="clear" w:fill="FFFFFF"/>
              </w:rPr>
              <w:t>防</w:t>
            </w:r>
            <w:r>
              <w:rPr>
                <w:rFonts w:hint="eastAsia"/>
                <w:color w:val="auto"/>
              </w:rPr>
              <w:t>”（防风、防雨、防晒、防渗漏），地面采用防腐处理，保留隐蔽工程相关资料、影像记录。不同种类危险废物分类堆放，做好标牌、标识，与有资质单位签订委托处置合同，做好台账记录。具体按《危险废物贮存污染控制标准》（</w:t>
            </w:r>
            <w:r>
              <w:rPr>
                <w:color w:val="auto"/>
              </w:rPr>
              <w:t>GB18597-2023</w:t>
            </w:r>
            <w:r>
              <w:rPr>
                <w:rFonts w:hint="eastAsia"/>
                <w:color w:val="auto"/>
              </w:rPr>
              <w:t>）的要求设计。</w:t>
            </w:r>
          </w:p>
          <w:p>
            <w:pPr>
              <w:ind w:firstLine="480"/>
              <w:rPr>
                <w:color w:val="auto"/>
              </w:rPr>
            </w:pPr>
            <w:r>
              <w:rPr>
                <w:color w:val="auto"/>
              </w:rPr>
              <w:t>3.</w:t>
            </w:r>
            <w:r>
              <w:rPr>
                <w:rFonts w:hint="eastAsia"/>
                <w:color w:val="auto"/>
              </w:rPr>
              <w:t>湿式除尘污泥主要成分为草木灰，委托周边农户清运作农家肥使用；炉渣</w:t>
            </w:r>
            <w:r>
              <w:rPr>
                <w:color w:val="auto"/>
              </w:rPr>
              <w:t>主要成分为无机盐，收集后放置于一般固废储存间的灰渣槽中，</w:t>
            </w:r>
            <w:r>
              <w:rPr>
                <w:rFonts w:hint="eastAsia"/>
                <w:color w:val="auto"/>
              </w:rPr>
              <w:t>主要成分为草木灰，委托周边农户清运作农家肥使用；污泥在污水处理站经浓缩脱水、板框压滤机脱水处理后，污泥含水率降至60%以下暂存于污泥干化池，脱水后污泥与三相分离后的餐厨垃圾一并发酵</w:t>
            </w:r>
            <w:r>
              <w:rPr>
                <w:rFonts w:hint="eastAsia"/>
                <w:color w:val="auto"/>
                <w:shd w:val="clear" w:fill="FFFFFF"/>
              </w:rPr>
              <w:t>外售</w:t>
            </w:r>
            <w:r>
              <w:rPr>
                <w:rFonts w:hint="eastAsia"/>
                <w:color w:val="auto"/>
              </w:rPr>
              <w:t>做有机肥原料；</w:t>
            </w:r>
            <w:r>
              <w:rPr>
                <w:rFonts w:hint="eastAsia"/>
                <w:color w:val="auto"/>
                <w:shd w:val="clear" w:fill="FFFFFF"/>
              </w:rPr>
              <w:t>废</w:t>
            </w:r>
            <w:r>
              <w:rPr>
                <w:rFonts w:hint="eastAsia"/>
                <w:color w:val="auto"/>
              </w:rPr>
              <w:t>填料由设备厂家负责更换，更换后立即带走，不在项目区内存储；</w:t>
            </w:r>
            <w:r>
              <w:rPr>
                <w:color w:val="auto"/>
              </w:rPr>
              <w:t>生活垃圾经垃圾桶收集</w:t>
            </w:r>
            <w:r>
              <w:rPr>
                <w:rFonts w:hint="eastAsia"/>
                <w:color w:val="auto"/>
              </w:rPr>
              <w:t>，</w:t>
            </w:r>
            <w:r>
              <w:rPr>
                <w:color w:val="auto"/>
              </w:rPr>
              <w:t>定期</w:t>
            </w:r>
            <w:r>
              <w:rPr>
                <w:rFonts w:hint="eastAsia"/>
                <w:color w:val="auto"/>
              </w:rPr>
              <w:t>交由彩云集镇</w:t>
            </w:r>
            <w:r>
              <w:rPr>
                <w:color w:val="auto"/>
              </w:rPr>
              <w:t>环卫部门清运处置</w:t>
            </w:r>
            <w:r>
              <w:rPr>
                <w:rFonts w:hint="eastAsia"/>
                <w:color w:val="auto"/>
              </w:rPr>
              <w:t>；废矿物油</w:t>
            </w:r>
            <w:r>
              <w:rPr>
                <w:rFonts w:hint="eastAsia"/>
                <w:color w:val="auto"/>
                <w:lang w:eastAsia="zh-CN"/>
              </w:rPr>
              <w:t>、含油</w:t>
            </w:r>
            <w:r>
              <w:rPr>
                <w:rFonts w:hint="eastAsia"/>
                <w:color w:val="auto"/>
                <w:shd w:val="clear" w:fill="FFFFFF"/>
                <w:lang w:eastAsia="zh-CN"/>
              </w:rPr>
              <w:t>废</w:t>
            </w:r>
            <w:r>
              <w:rPr>
                <w:rFonts w:hint="eastAsia"/>
                <w:color w:val="auto"/>
                <w:lang w:eastAsia="zh-CN"/>
              </w:rPr>
              <w:t>抹布、手套</w:t>
            </w:r>
            <w:r>
              <w:rPr>
                <w:rFonts w:hint="eastAsia"/>
                <w:color w:val="auto"/>
              </w:rPr>
              <w:t>产生后暂存于危废暂存间，委托有资质单位定期清运处置。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25" w:type="pct"/>
            <w:vAlign w:val="center"/>
          </w:tcPr>
          <w:p>
            <w:pPr>
              <w:pStyle w:val="59"/>
              <w:rPr>
                <w:color w:val="auto"/>
              </w:rPr>
            </w:pPr>
            <w:r>
              <w:rPr>
                <w:rFonts w:hint="eastAsia"/>
                <w:color w:val="auto"/>
              </w:rPr>
              <w:t>土壤及地下水</w:t>
            </w:r>
          </w:p>
          <w:p>
            <w:pPr>
              <w:pStyle w:val="59"/>
              <w:rPr>
                <w:color w:val="auto"/>
              </w:rPr>
            </w:pPr>
            <w:r>
              <w:rPr>
                <w:rFonts w:hint="eastAsia"/>
                <w:color w:val="auto"/>
              </w:rPr>
              <w:t>污染防治措施</w:t>
            </w:r>
          </w:p>
        </w:tc>
        <w:tc>
          <w:tcPr>
            <w:tcW w:w="4575" w:type="pct"/>
            <w:gridSpan w:val="5"/>
            <w:vAlign w:val="center"/>
          </w:tcPr>
          <w:p>
            <w:pPr>
              <w:ind w:firstLine="480"/>
              <w:rPr>
                <w:color w:val="auto"/>
              </w:rPr>
            </w:pPr>
            <w:r>
              <w:rPr>
                <w:rFonts w:hint="eastAsia"/>
                <w:color w:val="auto"/>
              </w:rPr>
              <w:t>1.本项目危废暂存间、餐厨垃圾处置车间、污水处理站地</w:t>
            </w:r>
            <w:r>
              <w:rPr>
                <w:rFonts w:hint="eastAsia"/>
                <w:color w:val="auto"/>
                <w:lang w:eastAsia="zh-CN"/>
              </w:rPr>
              <w:t>、</w:t>
            </w:r>
            <w:r>
              <w:rPr>
                <w:rFonts w:hint="eastAsia"/>
                <w:color w:val="auto"/>
                <w:lang w:val="en-US" w:eastAsia="zh-CN"/>
              </w:rPr>
              <w:t>应急事故池</w:t>
            </w:r>
            <w:r>
              <w:rPr>
                <w:rFonts w:hint="eastAsia"/>
                <w:color w:val="auto"/>
              </w:rPr>
              <w:t>面进行重点防渗处理，需采用</w:t>
            </w:r>
            <w:r>
              <w:rPr>
                <w:color w:val="auto"/>
              </w:rPr>
              <w:t>15</w:t>
            </w:r>
            <w:r>
              <w:rPr>
                <w:rFonts w:hint="eastAsia"/>
                <w:color w:val="auto"/>
              </w:rPr>
              <w:t>cm</w:t>
            </w:r>
            <w:r>
              <w:rPr>
                <w:rFonts w:hint="eastAsia"/>
                <w:color w:val="auto"/>
                <w:lang w:eastAsia="zh-CN"/>
              </w:rPr>
              <w:t>抗渗混凝土</w:t>
            </w:r>
            <w:r>
              <w:rPr>
                <w:rFonts w:hint="eastAsia"/>
                <w:color w:val="auto"/>
              </w:rPr>
              <w:t>硬化+</w:t>
            </w:r>
            <w:r>
              <w:rPr>
                <w:color w:val="auto"/>
              </w:rPr>
              <w:t>1.5</w:t>
            </w:r>
            <w:r>
              <w:rPr>
                <w:rFonts w:hint="eastAsia"/>
                <w:color w:val="auto"/>
              </w:rPr>
              <w:t>mm土工布</w:t>
            </w:r>
            <w:r>
              <w:rPr>
                <w:rFonts w:hint="eastAsia"/>
                <w:color w:val="auto"/>
                <w:shd w:val="clear" w:fill="FFFFFF"/>
              </w:rPr>
              <w:t>膜</w:t>
            </w:r>
            <w:r>
              <w:rPr>
                <w:rFonts w:hint="eastAsia"/>
                <w:color w:val="auto"/>
              </w:rPr>
              <w:t>，表面涂有环氧树脂漆面，危废暂存间设置围堰、导流沟和收集池；</w:t>
            </w:r>
          </w:p>
          <w:p>
            <w:pPr>
              <w:ind w:firstLine="480"/>
              <w:rPr>
                <w:color w:val="auto"/>
              </w:rPr>
            </w:pPr>
            <w:r>
              <w:rPr>
                <w:color w:val="auto"/>
              </w:rPr>
              <w:t>2.</w:t>
            </w:r>
            <w:r>
              <w:rPr>
                <w:rFonts w:hint="eastAsia"/>
                <w:color w:val="auto"/>
              </w:rPr>
              <w:t>本项目成品油罐、临时暂存库、一般固废</w:t>
            </w:r>
            <w:r>
              <w:rPr>
                <w:rFonts w:hint="eastAsia"/>
                <w:color w:val="auto"/>
                <w:shd w:val="clear" w:fill="FFFFFF"/>
              </w:rPr>
              <w:t>间</w:t>
            </w:r>
            <w:r>
              <w:rPr>
                <w:rFonts w:hint="eastAsia"/>
                <w:color w:val="auto"/>
              </w:rPr>
              <w:t>等采取一般防渗，采用</w:t>
            </w:r>
            <w:r>
              <w:rPr>
                <w:color w:val="auto"/>
              </w:rPr>
              <w:t>15</w:t>
            </w:r>
            <w:r>
              <w:rPr>
                <w:rFonts w:hint="eastAsia"/>
                <w:color w:val="auto"/>
              </w:rPr>
              <w:t>cm抗渗混凝</w:t>
            </w:r>
            <w:r>
              <w:rPr>
                <w:rFonts w:hint="eastAsia"/>
                <w:color w:val="auto"/>
                <w:shd w:val="clear" w:fill="FFFFFF"/>
              </w:rPr>
              <w:t>砼</w:t>
            </w:r>
            <w:r>
              <w:rPr>
                <w:rFonts w:hint="eastAsia"/>
                <w:color w:val="auto"/>
              </w:rPr>
              <w:t>硬化地面；</w:t>
            </w:r>
          </w:p>
          <w:p>
            <w:pPr>
              <w:ind w:firstLine="480"/>
              <w:rPr>
                <w:color w:val="auto"/>
              </w:rPr>
            </w:pPr>
            <w:r>
              <w:rPr>
                <w:color w:val="auto"/>
              </w:rPr>
              <w:t>3.</w:t>
            </w:r>
            <w:r>
              <w:rPr>
                <w:rFonts w:hint="eastAsia"/>
                <w:color w:val="auto"/>
              </w:rPr>
              <w:t>厂区道路、办公休息区等区域采取一般防渗措施，对地面进行硬化。</w:t>
            </w:r>
          </w:p>
          <w:p>
            <w:pPr>
              <w:ind w:firstLine="480"/>
              <w:rPr>
                <w:color w:val="auto"/>
              </w:rPr>
            </w:pPr>
            <w:r>
              <w:rPr>
                <w:rFonts w:hint="eastAsia"/>
                <w:color w:val="auto"/>
              </w:rPr>
              <w:t>4.隐蔽工程如一体化污水处理站、污水池、事故应急池、污水收集管网施工时，应保留防渗工程施工影像，防渗材料购买合同、发票等佐证材料。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425" w:type="pct"/>
            <w:vAlign w:val="center"/>
          </w:tcPr>
          <w:p>
            <w:pPr>
              <w:pStyle w:val="59"/>
              <w:rPr>
                <w:color w:val="auto"/>
              </w:rPr>
            </w:pPr>
            <w:r>
              <w:rPr>
                <w:rFonts w:hint="eastAsia"/>
                <w:color w:val="auto"/>
              </w:rPr>
              <w:t>生态保护措施</w:t>
            </w:r>
          </w:p>
        </w:tc>
        <w:tc>
          <w:tcPr>
            <w:tcW w:w="4575" w:type="pct"/>
            <w:gridSpan w:val="5"/>
            <w:vAlign w:val="center"/>
          </w:tcPr>
          <w:p>
            <w:pPr>
              <w:pStyle w:val="59"/>
              <w:rPr>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5" w:type="pct"/>
            <w:vAlign w:val="center"/>
          </w:tcPr>
          <w:p>
            <w:pPr>
              <w:pStyle w:val="59"/>
              <w:rPr>
                <w:color w:val="auto"/>
                <w:spacing w:val="-8"/>
              </w:rPr>
            </w:pPr>
            <w:r>
              <w:rPr>
                <w:rFonts w:hint="eastAsia"/>
                <w:color w:val="auto"/>
                <w:spacing w:val="-8"/>
              </w:rPr>
              <w:t>环境风险防范措施</w:t>
            </w:r>
          </w:p>
        </w:tc>
        <w:tc>
          <w:tcPr>
            <w:tcW w:w="4575" w:type="pct"/>
            <w:gridSpan w:val="5"/>
            <w:vAlign w:val="center"/>
          </w:tcPr>
          <w:p>
            <w:pPr>
              <w:ind w:firstLine="480"/>
              <w:rPr>
                <w:color w:val="auto"/>
              </w:rPr>
            </w:pPr>
            <w:r>
              <w:rPr>
                <w:rFonts w:hint="eastAsia"/>
                <w:color w:val="auto"/>
              </w:rPr>
              <w:t>1</w:t>
            </w:r>
            <w:r>
              <w:rPr>
                <w:color w:val="auto"/>
              </w:rPr>
              <w:t>.</w:t>
            </w:r>
            <w:r>
              <w:rPr>
                <w:rFonts w:hint="eastAsia"/>
                <w:color w:val="auto"/>
              </w:rPr>
              <w:t>危险废物暂存间需按《危险废物贮存污染控制标准》（</w:t>
            </w:r>
            <w:r>
              <w:rPr>
                <w:color w:val="auto"/>
              </w:rPr>
              <w:t>GB18597-2023</w:t>
            </w:r>
            <w:r>
              <w:rPr>
                <w:rFonts w:hint="eastAsia"/>
                <w:color w:val="auto"/>
              </w:rPr>
              <w:t>）等有关要求设置，各类危险物质按要求分类贮存，要设置独立的台账；</w:t>
            </w:r>
          </w:p>
          <w:p>
            <w:pPr>
              <w:ind w:firstLine="480"/>
              <w:rPr>
                <w:color w:val="auto"/>
              </w:rPr>
            </w:pPr>
            <w:r>
              <w:rPr>
                <w:rFonts w:hint="eastAsia"/>
                <w:color w:val="auto"/>
              </w:rPr>
              <w:t>2</w:t>
            </w:r>
            <w:r>
              <w:rPr>
                <w:color w:val="auto"/>
              </w:rPr>
              <w:t>.</w:t>
            </w:r>
            <w:r>
              <w:rPr>
                <w:rFonts w:hint="eastAsia"/>
                <w:color w:val="auto"/>
              </w:rPr>
              <w:t>定期检查危废暂存间及容器密封情况，防止危险废物</w:t>
            </w:r>
            <w:r>
              <w:rPr>
                <w:rFonts w:hint="eastAsia"/>
                <w:color w:val="auto"/>
                <w:lang w:eastAsia="zh-CN"/>
              </w:rPr>
              <w:t>泄漏</w:t>
            </w:r>
            <w:r>
              <w:rPr>
                <w:rFonts w:hint="eastAsia"/>
                <w:color w:val="auto"/>
              </w:rPr>
              <w:t>；</w:t>
            </w:r>
          </w:p>
          <w:p>
            <w:pPr>
              <w:ind w:firstLine="480"/>
              <w:rPr>
                <w:color w:val="auto"/>
              </w:rPr>
            </w:pPr>
            <w:r>
              <w:rPr>
                <w:rFonts w:hint="eastAsia"/>
                <w:color w:val="auto"/>
              </w:rPr>
              <w:t>3</w:t>
            </w:r>
            <w:r>
              <w:rPr>
                <w:color w:val="auto"/>
              </w:rPr>
              <w:t>.</w:t>
            </w:r>
            <w:r>
              <w:rPr>
                <w:rFonts w:hint="eastAsia"/>
                <w:color w:val="auto"/>
              </w:rPr>
              <w:t>厂区内需实行清污分流、雨污分流；</w:t>
            </w:r>
          </w:p>
          <w:p>
            <w:pPr>
              <w:ind w:firstLine="480"/>
              <w:rPr>
                <w:color w:val="auto"/>
              </w:rPr>
            </w:pPr>
            <w:r>
              <w:rPr>
                <w:color w:val="auto"/>
              </w:rPr>
              <w:t>4.</w:t>
            </w:r>
            <w:r>
              <w:rPr>
                <w:rFonts w:hint="eastAsia"/>
                <w:color w:val="auto"/>
              </w:rPr>
              <w:t>根据</w:t>
            </w:r>
            <w:r>
              <w:rPr>
                <w:color w:val="auto"/>
              </w:rPr>
              <w:t>《企业事业单位突发环境事件应急预案备案管理办法（试行）》</w:t>
            </w:r>
            <w:r>
              <w:rPr>
                <w:rFonts w:hint="eastAsia"/>
                <w:color w:val="auto"/>
              </w:rPr>
              <w:t>要求，本项目投产前，必须根据存在的风险源情况，编制突发环境事件应急预案报曲靖市生态环境局师宗分局备案。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25" w:type="pct"/>
            <w:vAlign w:val="center"/>
          </w:tcPr>
          <w:p>
            <w:pPr>
              <w:pStyle w:val="59"/>
              <w:rPr>
                <w:color w:val="auto"/>
                <w:spacing w:val="-8"/>
              </w:rPr>
            </w:pPr>
            <w:r>
              <w:rPr>
                <w:rFonts w:hint="eastAsia"/>
                <w:color w:val="auto"/>
                <w:spacing w:val="-8"/>
              </w:rPr>
              <w:t>其他环境管理要求</w:t>
            </w:r>
          </w:p>
        </w:tc>
        <w:tc>
          <w:tcPr>
            <w:tcW w:w="4575" w:type="pct"/>
            <w:gridSpan w:val="5"/>
            <w:vAlign w:val="center"/>
          </w:tcPr>
          <w:p>
            <w:pPr>
              <w:ind w:firstLine="480"/>
              <w:rPr>
                <w:color w:val="auto"/>
              </w:rPr>
            </w:pPr>
            <w:r>
              <w:rPr>
                <w:rFonts w:hint="eastAsia"/>
                <w:color w:val="auto"/>
              </w:rPr>
              <w:t>1.认真执行“三同时”原则，确保各项污染防治措施的实施；</w:t>
            </w:r>
          </w:p>
          <w:p>
            <w:pPr>
              <w:ind w:firstLine="480"/>
              <w:rPr>
                <w:color w:val="auto"/>
              </w:rPr>
            </w:pPr>
            <w:r>
              <w:rPr>
                <w:rFonts w:hint="eastAsia"/>
                <w:color w:val="auto"/>
              </w:rPr>
              <w:t>2.项目取得环评批复后，根据《固定污染源排污许可分类管理名录（2019年版）》</w:t>
            </w:r>
            <w:r>
              <w:rPr>
                <w:rFonts w:hint="eastAsia"/>
                <w:color w:val="auto"/>
                <w:lang w:eastAsia="zh-CN"/>
              </w:rPr>
              <w:t>－</w:t>
            </w:r>
            <w:r>
              <w:rPr>
                <w:rFonts w:hint="eastAsia"/>
                <w:color w:val="auto"/>
              </w:rPr>
              <w:t>四十六、公共设施管理业</w:t>
            </w:r>
            <w:r>
              <w:rPr>
                <w:rFonts w:hint="eastAsia"/>
                <w:color w:val="auto"/>
                <w:lang w:eastAsia="zh-CN"/>
              </w:rPr>
              <w:t>－</w:t>
            </w:r>
            <w:r>
              <w:rPr>
                <w:rFonts w:hint="eastAsia"/>
                <w:color w:val="auto"/>
              </w:rPr>
              <w:t>环境卫生管理782</w:t>
            </w:r>
            <w:r>
              <w:rPr>
                <w:rFonts w:hint="eastAsia"/>
                <w:color w:val="auto"/>
                <w:lang w:eastAsia="zh-CN"/>
              </w:rPr>
              <w:t>－</w:t>
            </w:r>
            <w:r>
              <w:rPr>
                <w:rFonts w:hint="eastAsia"/>
                <w:b/>
                <w:color w:val="auto"/>
              </w:rPr>
              <w:t>生活垃圾（含餐厨废弃物）</w:t>
            </w:r>
            <w:r>
              <w:rPr>
                <w:rFonts w:hint="eastAsia"/>
                <w:color w:val="auto"/>
              </w:rPr>
              <w:t>、生活污水处理污泥集中处理（除焚烧、填埋以外的），日处理能力50吨及以上的城镇粪便集中处理，日转运能力150吨及以上的垃圾转运站，本项目应该按照</w:t>
            </w:r>
            <w:r>
              <w:rPr>
                <w:rFonts w:hint="eastAsia"/>
                <w:b/>
                <w:color w:val="auto"/>
              </w:rPr>
              <w:t>简化管理级别</w:t>
            </w:r>
            <w:r>
              <w:rPr>
                <w:rFonts w:hint="eastAsia"/>
                <w:color w:val="auto"/>
              </w:rPr>
              <w:t>申请排污许可证，建设单位按排污许可证管理要求向曲靖市生态环境局申请排污许可证；</w:t>
            </w:r>
          </w:p>
          <w:p>
            <w:pPr>
              <w:ind w:firstLine="480"/>
              <w:rPr>
                <w:color w:val="auto"/>
              </w:rPr>
            </w:pPr>
            <w:r>
              <w:rPr>
                <w:rFonts w:hint="eastAsia"/>
                <w:color w:val="auto"/>
              </w:rPr>
              <w:t>3.做好突发环境事件应急工作，制定突发环境事件应急预案，完善落实应急物资及设备，定期进行环境事故应急演练；</w:t>
            </w:r>
          </w:p>
          <w:p>
            <w:pPr>
              <w:ind w:firstLine="480"/>
              <w:rPr>
                <w:color w:val="auto"/>
              </w:rPr>
            </w:pPr>
            <w:r>
              <w:rPr>
                <w:rFonts w:hint="eastAsia"/>
                <w:color w:val="auto"/>
              </w:rPr>
              <w:t>4.</w:t>
            </w:r>
            <w:r>
              <w:rPr>
                <w:color w:val="auto"/>
              </w:rPr>
              <w:t>要求企业加强环境管理，建立环境管理体系，完善相关原料台账、设施运行台账</w:t>
            </w:r>
            <w:r>
              <w:rPr>
                <w:rFonts w:hint="eastAsia"/>
                <w:color w:val="auto"/>
              </w:rPr>
              <w:t>、危险废物台账</w:t>
            </w:r>
            <w:r>
              <w:rPr>
                <w:color w:val="auto"/>
              </w:rPr>
              <w:t>等，</w:t>
            </w:r>
            <w:r>
              <w:rPr>
                <w:rFonts w:hint="eastAsia"/>
                <w:color w:val="auto"/>
              </w:rPr>
              <w:t>相关</w:t>
            </w:r>
            <w:r>
              <w:rPr>
                <w:color w:val="auto"/>
              </w:rPr>
              <w:t>管理信息制度</w:t>
            </w:r>
            <w:r>
              <w:rPr>
                <w:color w:val="auto"/>
                <w:shd w:val="clear" w:fill="FFFFFF"/>
              </w:rPr>
              <w:t>需</w:t>
            </w:r>
            <w:r>
              <w:rPr>
                <w:color w:val="auto"/>
              </w:rPr>
              <w:t>上墙</w:t>
            </w:r>
            <w:r>
              <w:rPr>
                <w:rFonts w:hint="eastAsia"/>
                <w:color w:val="auto"/>
              </w:rPr>
              <w:t>；</w:t>
            </w:r>
          </w:p>
          <w:p>
            <w:pPr>
              <w:ind w:firstLine="480"/>
              <w:rPr>
                <w:color w:val="auto"/>
              </w:rPr>
            </w:pPr>
            <w:r>
              <w:rPr>
                <w:rFonts w:hint="eastAsia"/>
                <w:color w:val="auto"/>
              </w:rPr>
              <w:t>5.按照《排污许可证申请与核发技术规范 工业固体废物（试行）》（HJ 1200-2021）有关要求，完善一般工业固体废物自行贮存设施信息，建立环境管理台账；</w:t>
            </w:r>
          </w:p>
          <w:p>
            <w:pPr>
              <w:ind w:firstLine="480"/>
              <w:rPr>
                <w:color w:val="auto"/>
              </w:rPr>
            </w:pPr>
            <w:r>
              <w:rPr>
                <w:rFonts w:hint="eastAsia"/>
                <w:color w:val="auto"/>
              </w:rPr>
              <w:t>6</w:t>
            </w:r>
            <w:r>
              <w:rPr>
                <w:color w:val="auto"/>
              </w:rPr>
              <w:t>.</w:t>
            </w:r>
            <w:r>
              <w:rPr>
                <w:rFonts w:hint="eastAsia"/>
                <w:color w:val="auto"/>
              </w:rPr>
              <w:t>建设单位拟设置1辆废水运输罐车，容积为1</w:t>
            </w:r>
            <w:r>
              <w:rPr>
                <w:color w:val="auto"/>
              </w:rPr>
              <w:t>5</w:t>
            </w:r>
            <w:r>
              <w:rPr>
                <w:rFonts w:hint="eastAsia"/>
                <w:color w:val="auto"/>
              </w:rPr>
              <w:t>m³，将废水运至彩云镇污水处理站，企业应建立罐车运输台账和交接台账，制定明确的清运流程和操作规范；按照每日、每周、每月等不同的时间框架，制定相应的污水清运计划和排污计划；清运过程中应进行必要的防护措施，确保清运过程中不会对环境造成二次污染；污水清运完成后，应对清运的污水进行必要的记录和报告，包括清运数量、清运时间、清运去向等内容；应配备符合要求的污水清运设备，确保清运过程的安全和高效；清运设备应定期进行检修和维护，确保设备的正常运行；清运人员应按照相关规定进行培训，具备清运操作技能和安全意识。</w:t>
            </w:r>
          </w:p>
          <w:p>
            <w:pPr>
              <w:ind w:firstLine="480"/>
              <w:rPr>
                <w:color w:val="auto"/>
              </w:rPr>
            </w:pPr>
            <w:r>
              <w:rPr>
                <w:color w:val="auto"/>
              </w:rPr>
              <w:t>7.</w:t>
            </w:r>
            <w:r>
              <w:rPr>
                <w:rFonts w:hint="eastAsia"/>
                <w:color w:val="auto"/>
              </w:rPr>
              <w:t>项目建成后，按照《建设项目竣工环境保护验收技术指南 污染影响类》等要求开展项目自主验收工作。</w:t>
            </w:r>
          </w:p>
          <w:p>
            <w:pPr>
              <w:ind w:firstLine="480"/>
              <w:rPr>
                <w:color w:val="auto"/>
              </w:rPr>
            </w:pPr>
            <w:r>
              <w:rPr>
                <w:color w:val="auto"/>
              </w:rPr>
              <w:t>8.</w:t>
            </w:r>
            <w:r>
              <w:rPr>
                <w:rFonts w:hint="eastAsia"/>
                <w:color w:val="auto"/>
              </w:rPr>
              <w:t>项目运营后按照《排污许可证申请与核发技术规范-环境卫生管理业》（H</w:t>
            </w:r>
            <w:r>
              <w:rPr>
                <w:color w:val="auto"/>
              </w:rPr>
              <w:t>J</w:t>
            </w:r>
            <w:r>
              <w:rPr>
                <w:rFonts w:hint="eastAsia"/>
                <w:color w:val="auto"/>
              </w:rPr>
              <w:t>11</w:t>
            </w:r>
            <w:r>
              <w:rPr>
                <w:color w:val="auto"/>
              </w:rPr>
              <w:t>06</w:t>
            </w:r>
            <w:r>
              <w:rPr>
                <w:rFonts w:hint="eastAsia"/>
                <w:color w:val="auto"/>
              </w:rPr>
              <w:t>-</w:t>
            </w:r>
            <w:r>
              <w:rPr>
                <w:color w:val="auto"/>
              </w:rPr>
              <w:t>2</w:t>
            </w:r>
            <w:r>
              <w:rPr>
                <w:rFonts w:hint="eastAsia"/>
                <w:color w:val="auto"/>
              </w:rPr>
              <w:t>020）、《排污许可证申请与核发技术规范-锅炉》（H</w:t>
            </w:r>
            <w:r>
              <w:rPr>
                <w:color w:val="auto"/>
              </w:rPr>
              <w:t>J953</w:t>
            </w:r>
            <w:r>
              <w:rPr>
                <w:rFonts w:hint="eastAsia"/>
                <w:color w:val="auto"/>
              </w:rPr>
              <w:t>-</w:t>
            </w:r>
            <w:r>
              <w:rPr>
                <w:color w:val="auto"/>
              </w:rPr>
              <w:t>2</w:t>
            </w:r>
            <w:r>
              <w:rPr>
                <w:rFonts w:hint="eastAsia"/>
                <w:color w:val="auto"/>
              </w:rPr>
              <w:t>0</w:t>
            </w:r>
            <w:r>
              <w:rPr>
                <w:color w:val="auto"/>
              </w:rPr>
              <w:t>18</w:t>
            </w:r>
            <w:r>
              <w:rPr>
                <w:rFonts w:hint="eastAsia"/>
                <w:color w:val="auto"/>
              </w:rPr>
              <w:t>）、《排污许可证申请与核发技术规范 工业噪声》（HJ1301-2023）要求开展自行监测。</w:t>
            </w:r>
          </w:p>
          <w:p>
            <w:pPr>
              <w:ind w:left="0" w:leftChars="0" w:firstLine="0" w:firstLineChars="0"/>
              <w:rPr>
                <w:color w:val="auto"/>
              </w:rPr>
            </w:pPr>
          </w:p>
        </w:tc>
      </w:tr>
    </w:tbl>
    <w:p>
      <w:pPr>
        <w:ind w:firstLine="480"/>
        <w:rPr>
          <w:color w:val="auto"/>
        </w:rPr>
        <w:sectPr>
          <w:pgSz w:w="11906" w:h="16838"/>
          <w:pgMar w:top="1701" w:right="1531" w:bottom="1701" w:left="1531" w:header="624" w:footer="851" w:gutter="0"/>
          <w:cols w:space="720" w:num="1"/>
          <w:docGrid w:linePitch="326" w:charSpace="0"/>
        </w:sectPr>
      </w:pPr>
      <w:r>
        <w:rPr>
          <w:color w:val="auto"/>
        </w:rPr>
        <w:t xml:space="preserve"> </w:t>
      </w: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olor w:val="auto"/>
        </w:rPr>
      </w:pPr>
      <w:bookmarkStart w:id="11" w:name="_Toc103860798"/>
      <w:bookmarkStart w:id="12" w:name="_Toc79005383"/>
      <w:r>
        <w:rPr>
          <w:rFonts w:hint="eastAsia"/>
          <w:color w:val="auto"/>
        </w:rPr>
        <w:t>六、结论</w:t>
      </w:r>
      <w:bookmarkEnd w:id="11"/>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969" w:type="dxa"/>
          </w:tcPr>
          <w:p>
            <w:pPr>
              <w:ind w:firstLine="480"/>
              <w:rPr>
                <w:color w:val="auto"/>
              </w:rPr>
            </w:pPr>
            <w:r>
              <w:rPr>
                <w:rFonts w:hint="eastAsia"/>
                <w:color w:val="auto"/>
              </w:rPr>
              <w:t>项目排放的污染物符合国家、云南省规定的污染物排放标准和主要污染物排放总量控制指标；项目运营符合建设项目所在地环境功能区划确定的环境质量要求。</w:t>
            </w:r>
          </w:p>
          <w:p>
            <w:pPr>
              <w:ind w:firstLine="480"/>
              <w:rPr>
                <w:color w:val="auto"/>
              </w:rPr>
            </w:pPr>
            <w:r>
              <w:rPr>
                <w:rFonts w:hint="eastAsia"/>
                <w:color w:val="auto"/>
              </w:rPr>
              <w:t>项目实施过程中，企业应加强环境质量管理，认真落实环境保护措施，采取相应的污染防治措施，能使废气、噪声达标排放，废水全部回用，</w:t>
            </w:r>
            <w:r>
              <w:rPr>
                <w:rFonts w:hint="eastAsia"/>
                <w:color w:val="auto"/>
                <w:shd w:val="clear" w:fill="FFFFFF"/>
              </w:rPr>
              <w:t>固废</w:t>
            </w:r>
            <w:r>
              <w:rPr>
                <w:rFonts w:hint="eastAsia"/>
                <w:color w:val="auto"/>
              </w:rPr>
              <w:t>得到安全处置，在采取环评提出的各项措施后，本项目的建设对环境影响较小，不会改变当地环境质量现状。</w:t>
            </w:r>
          </w:p>
          <w:p>
            <w:pPr>
              <w:ind w:firstLine="480"/>
              <w:rPr>
                <w:color w:val="auto"/>
              </w:rPr>
            </w:pPr>
            <w:r>
              <w:rPr>
                <w:rFonts w:hint="eastAsia"/>
                <w:color w:val="auto"/>
              </w:rPr>
              <w:t>从环境保护角度看，采取本次环评提出的各项措施后，本项目的建设是可行的。</w:t>
            </w:r>
          </w:p>
          <w:p>
            <w:pPr>
              <w:ind w:firstLine="480"/>
              <w:rPr>
                <w:color w:val="auto"/>
              </w:rPr>
            </w:pPr>
          </w:p>
          <w:p>
            <w:pPr>
              <w:ind w:firstLine="480"/>
              <w:rPr>
                <w:color w:val="auto"/>
              </w:rPr>
            </w:pPr>
          </w:p>
          <w:p>
            <w:pPr>
              <w:ind w:left="0" w:leftChars="0" w:firstLine="0" w:firstLineChars="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0" w:firstLineChars="0"/>
              <w:rPr>
                <w:rFonts w:ascii="宋体" w:cs="宋体"/>
                <w:color w:val="auto"/>
              </w:rPr>
            </w:pPr>
            <w:r>
              <w:rPr>
                <w:rFonts w:hint="eastAsia" w:ascii="宋体" w:cs="宋体"/>
                <w:color w:val="auto"/>
              </w:rPr>
              <w:t xml:space="preserve">   </w:t>
            </w:r>
          </w:p>
        </w:tc>
      </w:tr>
    </w:tbl>
    <w:p>
      <w:pPr>
        <w:ind w:firstLine="480"/>
        <w:rPr>
          <w:rFonts w:ascii="宋体"/>
          <w:color w:val="auto"/>
        </w:rPr>
        <w:sectPr>
          <w:pgSz w:w="11906" w:h="16838"/>
          <w:pgMar w:top="1701" w:right="1531" w:bottom="1701" w:left="1531" w:header="624" w:footer="851" w:gutter="0"/>
          <w:cols w:space="720" w:num="1"/>
          <w:docGrid w:linePitch="326" w:charSpace="0"/>
        </w:sectPr>
      </w:pPr>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jc w:val="left"/>
        <w:textAlignment w:val="auto"/>
        <w:rPr>
          <w:rFonts w:hint="eastAsia"/>
          <w:color w:val="auto"/>
        </w:rPr>
      </w:pPr>
      <w:bookmarkStart w:id="13" w:name="_Toc103860799"/>
      <w:r>
        <w:rPr>
          <w:rFonts w:hint="eastAsia"/>
          <w:color w:val="auto"/>
        </w:rPr>
        <w:t>附表</w:t>
      </w:r>
      <w:bookmarkEnd w:id="12"/>
      <w:bookmarkEnd w:id="13"/>
    </w:p>
    <w:p>
      <w:pPr>
        <w:pStyle w:val="121"/>
        <w:keepNext w:val="0"/>
        <w:keepLines w:val="0"/>
        <w:pageBreakBefore w:val="0"/>
        <w:widowControl/>
        <w:kinsoku/>
        <w:wordWrap w:val="0"/>
        <w:overflowPunct/>
        <w:topLinePunct w:val="0"/>
        <w:autoSpaceDE/>
        <w:autoSpaceDN w:val="0"/>
        <w:bidi w:val="0"/>
        <w:adjustRightInd/>
        <w:snapToGrid/>
        <w:spacing w:before="0" w:beforeAutospacing="0" w:after="0" w:afterAutospacing="0"/>
        <w:textAlignment w:val="auto"/>
        <w:rPr>
          <w:color w:val="auto"/>
        </w:rPr>
      </w:pPr>
      <w:bookmarkStart w:id="14" w:name="_Toc103860800"/>
      <w:r>
        <w:rPr>
          <w:rFonts w:hint="eastAsia"/>
          <w:color w:val="auto"/>
        </w:rPr>
        <w:t>建设项目污染物排放量汇总表</w:t>
      </w:r>
      <w:bookmarkEnd w:id="14"/>
    </w:p>
    <w:p>
      <w:pPr>
        <w:pStyle w:val="71"/>
        <w:jc w:val="right"/>
        <w:rPr>
          <w:color w:val="auto"/>
        </w:rPr>
      </w:pPr>
      <w:r>
        <w:rPr>
          <w:color w:val="auto"/>
        </w:rPr>
        <w:t>单位</w:t>
      </w:r>
      <w:r>
        <w:rPr>
          <w:rFonts w:hint="eastAsia"/>
          <w:color w:val="auto"/>
        </w:rPr>
        <w:t>：</w:t>
      </w:r>
      <w:r>
        <w:rPr>
          <w:color w:val="auto"/>
        </w:rPr>
        <w:t>t/a</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973"/>
        <w:gridCol w:w="1872"/>
        <w:gridCol w:w="1358"/>
        <w:gridCol w:w="1656"/>
        <w:gridCol w:w="1656"/>
        <w:gridCol w:w="1482"/>
        <w:gridCol w:w="1588"/>
        <w:gridCol w:w="16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95" w:type="pct"/>
            <w:tcBorders>
              <w:tl2br w:val="single" w:color="auto" w:sz="4" w:space="0"/>
            </w:tcBorders>
            <w:tcMar>
              <w:left w:w="28" w:type="dxa"/>
              <w:right w:w="28" w:type="dxa"/>
            </w:tcMar>
            <w:vAlign w:val="center"/>
          </w:tcPr>
          <w:p>
            <w:pPr>
              <w:pStyle w:val="68"/>
              <w:jc w:val="right"/>
              <w:rPr>
                <w:b/>
                <w:bCs/>
                <w:snapToGrid w:val="0"/>
                <w:color w:val="auto"/>
                <w:sz w:val="24"/>
                <w:szCs w:val="24"/>
              </w:rPr>
            </w:pPr>
            <w:r>
              <w:rPr>
                <w:rFonts w:hint="eastAsia"/>
                <w:b/>
                <w:bCs/>
                <w:snapToGrid w:val="0"/>
                <w:color w:val="auto"/>
                <w:sz w:val="24"/>
                <w:szCs w:val="24"/>
              </w:rPr>
              <w:t>项目</w:t>
            </w:r>
          </w:p>
          <w:p>
            <w:pPr>
              <w:pStyle w:val="68"/>
              <w:rPr>
                <w:b/>
                <w:bCs/>
                <w:snapToGrid w:val="0"/>
                <w:color w:val="auto"/>
                <w:sz w:val="24"/>
                <w:szCs w:val="24"/>
              </w:rPr>
            </w:pPr>
          </w:p>
          <w:p>
            <w:pPr>
              <w:pStyle w:val="68"/>
              <w:rPr>
                <w:b/>
                <w:bCs/>
                <w:snapToGrid w:val="0"/>
                <w:color w:val="auto"/>
                <w:sz w:val="24"/>
                <w:szCs w:val="24"/>
              </w:rPr>
            </w:pPr>
          </w:p>
          <w:p>
            <w:pPr>
              <w:pStyle w:val="68"/>
              <w:jc w:val="left"/>
              <w:rPr>
                <w:snapToGrid w:val="0"/>
                <w:color w:val="auto"/>
                <w:sz w:val="24"/>
                <w:szCs w:val="24"/>
              </w:rPr>
            </w:pPr>
            <w:r>
              <w:rPr>
                <w:rFonts w:hint="eastAsia"/>
                <w:b/>
                <w:bCs/>
                <w:snapToGrid w:val="0"/>
                <w:color w:val="auto"/>
                <w:sz w:val="24"/>
                <w:szCs w:val="24"/>
              </w:rPr>
              <w:t>分类</w:t>
            </w:r>
          </w:p>
        </w:tc>
        <w:tc>
          <w:tcPr>
            <w:tcW w:w="703" w:type="pct"/>
            <w:tcMar>
              <w:left w:w="28" w:type="dxa"/>
              <w:right w:w="28" w:type="dxa"/>
            </w:tcMar>
            <w:vAlign w:val="center"/>
          </w:tcPr>
          <w:p>
            <w:pPr>
              <w:pStyle w:val="68"/>
              <w:rPr>
                <w:b/>
                <w:bCs/>
                <w:snapToGrid w:val="0"/>
                <w:color w:val="auto"/>
                <w:sz w:val="24"/>
                <w:szCs w:val="24"/>
              </w:rPr>
            </w:pPr>
            <w:r>
              <w:rPr>
                <w:rFonts w:hint="eastAsia"/>
                <w:b/>
                <w:bCs/>
                <w:snapToGrid w:val="0"/>
                <w:color w:val="auto"/>
                <w:sz w:val="24"/>
                <w:szCs w:val="24"/>
              </w:rPr>
              <w:t>污染物名称</w:t>
            </w:r>
          </w:p>
        </w:tc>
        <w:tc>
          <w:tcPr>
            <w:tcW w:w="667" w:type="pct"/>
            <w:tcMar>
              <w:left w:w="28" w:type="dxa"/>
              <w:right w:w="28" w:type="dxa"/>
            </w:tcMar>
            <w:vAlign w:val="center"/>
          </w:tcPr>
          <w:p>
            <w:pPr>
              <w:pStyle w:val="68"/>
              <w:rPr>
                <w:b/>
                <w:bCs/>
                <w:snapToGrid w:val="0"/>
                <w:color w:val="auto"/>
                <w:sz w:val="24"/>
                <w:szCs w:val="24"/>
              </w:rPr>
            </w:pPr>
            <w:r>
              <w:rPr>
                <w:b/>
                <w:bCs/>
                <w:snapToGrid w:val="0"/>
                <w:color w:val="auto"/>
                <w:sz w:val="24"/>
                <w:szCs w:val="24"/>
              </w:rPr>
              <w:t>现有工程排放量（固</w:t>
            </w:r>
            <w:r>
              <w:rPr>
                <w:rFonts w:hint="eastAsia"/>
                <w:b/>
                <w:bCs/>
                <w:snapToGrid w:val="0"/>
                <w:color w:val="auto"/>
                <w:sz w:val="24"/>
                <w:szCs w:val="24"/>
              </w:rPr>
              <w:t>体</w:t>
            </w:r>
            <w:r>
              <w:rPr>
                <w:b/>
                <w:bCs/>
                <w:snapToGrid w:val="0"/>
                <w:color w:val="auto"/>
                <w:sz w:val="24"/>
                <w:szCs w:val="24"/>
              </w:rPr>
              <w:t>废</w:t>
            </w:r>
            <w:r>
              <w:rPr>
                <w:rFonts w:hint="eastAsia"/>
                <w:b/>
                <w:bCs/>
                <w:snapToGrid w:val="0"/>
                <w:color w:val="auto"/>
                <w:sz w:val="24"/>
                <w:szCs w:val="24"/>
              </w:rPr>
              <w:t>物</w:t>
            </w:r>
            <w:r>
              <w:rPr>
                <w:b/>
                <w:bCs/>
                <w:snapToGrid w:val="0"/>
                <w:color w:val="auto"/>
                <w:sz w:val="24"/>
                <w:szCs w:val="24"/>
              </w:rPr>
              <w:t>产生量）</w:t>
            </w:r>
            <w:r>
              <w:rPr>
                <w:b/>
                <w:bCs/>
                <w:snapToGrid w:val="0"/>
                <w:color w:val="auto"/>
                <w:sz w:val="24"/>
                <w:szCs w:val="24"/>
              </w:rPr>
              <w:fldChar w:fldCharType="begin"/>
            </w:r>
            <w:r>
              <w:rPr>
                <w:b/>
                <w:bCs/>
                <w:snapToGrid w:val="0"/>
                <w:color w:val="auto"/>
                <w:sz w:val="24"/>
                <w:szCs w:val="24"/>
              </w:rPr>
              <w:instrText xml:space="preserve"> = 1 \* GB3 \* MERGEFORMAT </w:instrText>
            </w:r>
            <w:r>
              <w:rPr>
                <w:b/>
                <w:bCs/>
                <w:snapToGrid w:val="0"/>
                <w:color w:val="auto"/>
                <w:sz w:val="24"/>
                <w:szCs w:val="24"/>
              </w:rPr>
              <w:fldChar w:fldCharType="separate"/>
            </w:r>
            <w:r>
              <w:rPr>
                <w:rFonts w:hint="eastAsia"/>
                <w:b/>
                <w:bCs/>
                <w:color w:val="auto"/>
                <w:sz w:val="24"/>
                <w:szCs w:val="24"/>
              </w:rPr>
              <w:t>①</w:t>
            </w:r>
            <w:r>
              <w:rPr>
                <w:b/>
                <w:bCs/>
                <w:snapToGrid w:val="0"/>
                <w:color w:val="auto"/>
                <w:sz w:val="24"/>
                <w:szCs w:val="24"/>
              </w:rPr>
              <w:fldChar w:fldCharType="end"/>
            </w:r>
          </w:p>
        </w:tc>
        <w:tc>
          <w:tcPr>
            <w:tcW w:w="484" w:type="pct"/>
            <w:tcMar>
              <w:left w:w="28" w:type="dxa"/>
              <w:right w:w="28" w:type="dxa"/>
            </w:tcMar>
            <w:vAlign w:val="center"/>
          </w:tcPr>
          <w:p>
            <w:pPr>
              <w:pStyle w:val="68"/>
              <w:rPr>
                <w:b/>
                <w:bCs/>
                <w:snapToGrid w:val="0"/>
                <w:color w:val="auto"/>
                <w:sz w:val="24"/>
                <w:szCs w:val="24"/>
              </w:rPr>
            </w:pPr>
            <w:r>
              <w:rPr>
                <w:b/>
                <w:bCs/>
                <w:snapToGrid w:val="0"/>
                <w:color w:val="auto"/>
                <w:sz w:val="24"/>
                <w:szCs w:val="24"/>
              </w:rPr>
              <w:t>现有工程</w:t>
            </w:r>
          </w:p>
          <w:p>
            <w:pPr>
              <w:pStyle w:val="68"/>
              <w:rPr>
                <w:b/>
                <w:bCs/>
                <w:snapToGrid w:val="0"/>
                <w:color w:val="auto"/>
                <w:sz w:val="24"/>
                <w:szCs w:val="24"/>
              </w:rPr>
            </w:pPr>
            <w:r>
              <w:rPr>
                <w:b/>
                <w:bCs/>
                <w:snapToGrid w:val="0"/>
                <w:color w:val="auto"/>
                <w:sz w:val="24"/>
                <w:szCs w:val="24"/>
              </w:rPr>
              <w:t>许可排放量</w:t>
            </w:r>
          </w:p>
          <w:p>
            <w:pPr>
              <w:pStyle w:val="68"/>
              <w:rPr>
                <w:b/>
                <w:bCs/>
                <w:snapToGrid w:val="0"/>
                <w:color w:val="auto"/>
                <w:sz w:val="24"/>
                <w:szCs w:val="24"/>
              </w:rPr>
            </w:pPr>
            <w:r>
              <w:rPr>
                <w:b/>
                <w:bCs/>
                <w:snapToGrid w:val="0"/>
                <w:color w:val="auto"/>
                <w:sz w:val="24"/>
                <w:szCs w:val="24"/>
              </w:rPr>
              <w:fldChar w:fldCharType="begin"/>
            </w:r>
            <w:r>
              <w:rPr>
                <w:b/>
                <w:bCs/>
                <w:snapToGrid w:val="0"/>
                <w:color w:val="auto"/>
                <w:sz w:val="24"/>
                <w:szCs w:val="24"/>
              </w:rPr>
              <w:instrText xml:space="preserve"> = 2 \* GB3 \* MERGEFORMAT </w:instrText>
            </w:r>
            <w:r>
              <w:rPr>
                <w:b/>
                <w:bCs/>
                <w:snapToGrid w:val="0"/>
                <w:color w:val="auto"/>
                <w:sz w:val="24"/>
                <w:szCs w:val="24"/>
              </w:rPr>
              <w:fldChar w:fldCharType="separate"/>
            </w:r>
            <w:r>
              <w:rPr>
                <w:rFonts w:hint="eastAsia"/>
                <w:b/>
                <w:bCs/>
                <w:snapToGrid w:val="0"/>
                <w:color w:val="auto"/>
                <w:sz w:val="24"/>
                <w:szCs w:val="24"/>
              </w:rPr>
              <w:t>②</w:t>
            </w:r>
            <w:r>
              <w:rPr>
                <w:b/>
                <w:bCs/>
                <w:snapToGrid w:val="0"/>
                <w:color w:val="auto"/>
                <w:sz w:val="24"/>
                <w:szCs w:val="24"/>
              </w:rPr>
              <w:fldChar w:fldCharType="end"/>
            </w:r>
          </w:p>
        </w:tc>
        <w:tc>
          <w:tcPr>
            <w:tcW w:w="590" w:type="pct"/>
            <w:tcMar>
              <w:left w:w="28" w:type="dxa"/>
              <w:right w:w="28" w:type="dxa"/>
            </w:tcMar>
            <w:vAlign w:val="center"/>
          </w:tcPr>
          <w:p>
            <w:pPr>
              <w:pStyle w:val="68"/>
              <w:rPr>
                <w:b/>
                <w:bCs/>
                <w:snapToGrid w:val="0"/>
                <w:color w:val="auto"/>
                <w:sz w:val="24"/>
                <w:szCs w:val="24"/>
              </w:rPr>
            </w:pPr>
            <w:r>
              <w:rPr>
                <w:b/>
                <w:bCs/>
                <w:snapToGrid w:val="0"/>
                <w:color w:val="auto"/>
                <w:sz w:val="24"/>
                <w:szCs w:val="24"/>
              </w:rPr>
              <w:t>在建工程排放量（固</w:t>
            </w:r>
            <w:r>
              <w:rPr>
                <w:rFonts w:hint="eastAsia"/>
                <w:b/>
                <w:bCs/>
                <w:snapToGrid w:val="0"/>
                <w:color w:val="auto"/>
                <w:sz w:val="24"/>
                <w:szCs w:val="24"/>
              </w:rPr>
              <w:t>体</w:t>
            </w:r>
            <w:r>
              <w:rPr>
                <w:b/>
                <w:bCs/>
                <w:snapToGrid w:val="0"/>
                <w:color w:val="auto"/>
                <w:sz w:val="24"/>
                <w:szCs w:val="24"/>
              </w:rPr>
              <w:t>废</w:t>
            </w:r>
            <w:r>
              <w:rPr>
                <w:rFonts w:hint="eastAsia"/>
                <w:b/>
                <w:bCs/>
                <w:snapToGrid w:val="0"/>
                <w:color w:val="auto"/>
                <w:sz w:val="24"/>
                <w:szCs w:val="24"/>
              </w:rPr>
              <w:t>物</w:t>
            </w:r>
            <w:r>
              <w:rPr>
                <w:b/>
                <w:bCs/>
                <w:snapToGrid w:val="0"/>
                <w:color w:val="auto"/>
                <w:sz w:val="24"/>
                <w:szCs w:val="24"/>
              </w:rPr>
              <w:t>产生量）</w:t>
            </w:r>
            <w:r>
              <w:rPr>
                <w:b/>
                <w:bCs/>
                <w:snapToGrid w:val="0"/>
                <w:color w:val="auto"/>
                <w:sz w:val="24"/>
                <w:szCs w:val="24"/>
              </w:rPr>
              <w:fldChar w:fldCharType="begin"/>
            </w:r>
            <w:r>
              <w:rPr>
                <w:b/>
                <w:bCs/>
                <w:snapToGrid w:val="0"/>
                <w:color w:val="auto"/>
                <w:sz w:val="24"/>
                <w:szCs w:val="24"/>
              </w:rPr>
              <w:instrText xml:space="preserve"> = 3 \* GB3 \* MERGEFORMAT </w:instrText>
            </w:r>
            <w:r>
              <w:rPr>
                <w:b/>
                <w:bCs/>
                <w:snapToGrid w:val="0"/>
                <w:color w:val="auto"/>
                <w:sz w:val="24"/>
                <w:szCs w:val="24"/>
              </w:rPr>
              <w:fldChar w:fldCharType="separate"/>
            </w:r>
            <w:r>
              <w:rPr>
                <w:rFonts w:hint="eastAsia"/>
                <w:b/>
                <w:bCs/>
                <w:color w:val="auto"/>
                <w:sz w:val="24"/>
                <w:szCs w:val="24"/>
              </w:rPr>
              <w:t>③</w:t>
            </w:r>
            <w:r>
              <w:rPr>
                <w:b/>
                <w:bCs/>
                <w:snapToGrid w:val="0"/>
                <w:color w:val="auto"/>
                <w:sz w:val="24"/>
                <w:szCs w:val="24"/>
              </w:rPr>
              <w:fldChar w:fldCharType="end"/>
            </w:r>
          </w:p>
        </w:tc>
        <w:tc>
          <w:tcPr>
            <w:tcW w:w="590" w:type="pct"/>
            <w:tcMar>
              <w:left w:w="28" w:type="dxa"/>
              <w:right w:w="28" w:type="dxa"/>
            </w:tcMar>
            <w:vAlign w:val="center"/>
          </w:tcPr>
          <w:p>
            <w:pPr>
              <w:pStyle w:val="68"/>
              <w:rPr>
                <w:b/>
                <w:bCs/>
                <w:snapToGrid w:val="0"/>
                <w:color w:val="auto"/>
                <w:sz w:val="24"/>
                <w:szCs w:val="24"/>
              </w:rPr>
            </w:pPr>
            <w:r>
              <w:rPr>
                <w:b/>
                <w:bCs/>
                <w:snapToGrid w:val="0"/>
                <w:color w:val="auto"/>
                <w:sz w:val="24"/>
                <w:szCs w:val="24"/>
              </w:rPr>
              <w:t>本项目排放量（固</w:t>
            </w:r>
            <w:r>
              <w:rPr>
                <w:rFonts w:hint="eastAsia"/>
                <w:b/>
                <w:bCs/>
                <w:snapToGrid w:val="0"/>
                <w:color w:val="auto"/>
                <w:sz w:val="24"/>
                <w:szCs w:val="24"/>
              </w:rPr>
              <w:t>体</w:t>
            </w:r>
            <w:r>
              <w:rPr>
                <w:b/>
                <w:bCs/>
                <w:snapToGrid w:val="0"/>
                <w:color w:val="auto"/>
                <w:sz w:val="24"/>
                <w:szCs w:val="24"/>
              </w:rPr>
              <w:t>废</w:t>
            </w:r>
            <w:r>
              <w:rPr>
                <w:rFonts w:hint="eastAsia"/>
                <w:b/>
                <w:bCs/>
                <w:snapToGrid w:val="0"/>
                <w:color w:val="auto"/>
                <w:sz w:val="24"/>
                <w:szCs w:val="24"/>
              </w:rPr>
              <w:t>物</w:t>
            </w:r>
            <w:r>
              <w:rPr>
                <w:b/>
                <w:bCs/>
                <w:snapToGrid w:val="0"/>
                <w:color w:val="auto"/>
                <w:sz w:val="24"/>
                <w:szCs w:val="24"/>
              </w:rPr>
              <w:t>产生量）</w:t>
            </w:r>
            <w:r>
              <w:rPr>
                <w:b/>
                <w:bCs/>
                <w:snapToGrid w:val="0"/>
                <w:color w:val="auto"/>
                <w:sz w:val="24"/>
                <w:szCs w:val="24"/>
              </w:rPr>
              <w:fldChar w:fldCharType="begin"/>
            </w:r>
            <w:r>
              <w:rPr>
                <w:b/>
                <w:bCs/>
                <w:snapToGrid w:val="0"/>
                <w:color w:val="auto"/>
                <w:sz w:val="24"/>
                <w:szCs w:val="24"/>
              </w:rPr>
              <w:instrText xml:space="preserve"> = 4 \* GB3 \* MERGEFORMAT </w:instrText>
            </w:r>
            <w:r>
              <w:rPr>
                <w:b/>
                <w:bCs/>
                <w:snapToGrid w:val="0"/>
                <w:color w:val="auto"/>
                <w:sz w:val="24"/>
                <w:szCs w:val="24"/>
              </w:rPr>
              <w:fldChar w:fldCharType="separate"/>
            </w:r>
            <w:r>
              <w:rPr>
                <w:rFonts w:hint="eastAsia"/>
                <w:b/>
                <w:bCs/>
                <w:color w:val="auto"/>
                <w:sz w:val="24"/>
                <w:szCs w:val="24"/>
              </w:rPr>
              <w:t>④</w:t>
            </w:r>
            <w:r>
              <w:rPr>
                <w:b/>
                <w:bCs/>
                <w:snapToGrid w:val="0"/>
                <w:color w:val="auto"/>
                <w:sz w:val="24"/>
                <w:szCs w:val="24"/>
              </w:rPr>
              <w:fldChar w:fldCharType="end"/>
            </w:r>
          </w:p>
        </w:tc>
        <w:tc>
          <w:tcPr>
            <w:tcW w:w="528" w:type="pct"/>
            <w:tcMar>
              <w:left w:w="28" w:type="dxa"/>
              <w:right w:w="28" w:type="dxa"/>
            </w:tcMar>
            <w:vAlign w:val="center"/>
          </w:tcPr>
          <w:p>
            <w:pPr>
              <w:pStyle w:val="68"/>
              <w:rPr>
                <w:b/>
                <w:bCs/>
                <w:snapToGrid w:val="0"/>
                <w:color w:val="auto"/>
                <w:spacing w:val="-16"/>
                <w:sz w:val="24"/>
                <w:szCs w:val="24"/>
              </w:rPr>
            </w:pPr>
            <w:r>
              <w:rPr>
                <w:b/>
                <w:bCs/>
                <w:snapToGrid w:val="0"/>
                <w:color w:val="auto"/>
                <w:spacing w:val="-16"/>
                <w:sz w:val="24"/>
                <w:szCs w:val="24"/>
              </w:rPr>
              <w:t>以新带老削减量</w:t>
            </w:r>
          </w:p>
          <w:p>
            <w:pPr>
              <w:pStyle w:val="68"/>
              <w:rPr>
                <w:b/>
                <w:bCs/>
                <w:snapToGrid w:val="0"/>
                <w:color w:val="auto"/>
                <w:spacing w:val="-16"/>
                <w:sz w:val="24"/>
                <w:szCs w:val="24"/>
              </w:rPr>
            </w:pPr>
            <w:r>
              <w:rPr>
                <w:b/>
                <w:bCs/>
                <w:snapToGrid w:val="0"/>
                <w:color w:val="auto"/>
                <w:spacing w:val="-16"/>
                <w:sz w:val="24"/>
                <w:szCs w:val="24"/>
              </w:rPr>
              <w:t>（新建项目不填）</w:t>
            </w:r>
            <w:r>
              <w:rPr>
                <w:b/>
                <w:bCs/>
                <w:snapToGrid w:val="0"/>
                <w:color w:val="auto"/>
                <w:spacing w:val="-16"/>
                <w:sz w:val="24"/>
                <w:szCs w:val="24"/>
              </w:rPr>
              <w:fldChar w:fldCharType="begin"/>
            </w:r>
            <w:r>
              <w:rPr>
                <w:b/>
                <w:bCs/>
                <w:snapToGrid w:val="0"/>
                <w:color w:val="auto"/>
                <w:spacing w:val="-16"/>
                <w:sz w:val="24"/>
                <w:szCs w:val="24"/>
              </w:rPr>
              <w:instrText xml:space="preserve"> = 5 \* GB3 \* MERGEFORMAT </w:instrText>
            </w:r>
            <w:r>
              <w:rPr>
                <w:b/>
                <w:bCs/>
                <w:snapToGrid w:val="0"/>
                <w:color w:val="auto"/>
                <w:spacing w:val="-16"/>
                <w:sz w:val="24"/>
                <w:szCs w:val="24"/>
              </w:rPr>
              <w:fldChar w:fldCharType="separate"/>
            </w:r>
            <w:r>
              <w:rPr>
                <w:rFonts w:hint="eastAsia"/>
                <w:b/>
                <w:bCs/>
                <w:color w:val="auto"/>
                <w:sz w:val="24"/>
                <w:szCs w:val="24"/>
              </w:rPr>
              <w:t>⑤</w:t>
            </w:r>
            <w:r>
              <w:rPr>
                <w:b/>
                <w:bCs/>
                <w:snapToGrid w:val="0"/>
                <w:color w:val="auto"/>
                <w:spacing w:val="-16"/>
                <w:sz w:val="24"/>
                <w:szCs w:val="24"/>
              </w:rPr>
              <w:fldChar w:fldCharType="end"/>
            </w:r>
          </w:p>
        </w:tc>
        <w:tc>
          <w:tcPr>
            <w:tcW w:w="566" w:type="pct"/>
            <w:tcMar>
              <w:left w:w="28" w:type="dxa"/>
              <w:right w:w="28" w:type="dxa"/>
            </w:tcMar>
            <w:vAlign w:val="center"/>
          </w:tcPr>
          <w:p>
            <w:pPr>
              <w:pStyle w:val="68"/>
              <w:rPr>
                <w:b/>
                <w:bCs/>
                <w:snapToGrid w:val="0"/>
                <w:color w:val="auto"/>
                <w:spacing w:val="-16"/>
                <w:sz w:val="24"/>
                <w:szCs w:val="24"/>
              </w:rPr>
            </w:pPr>
            <w:r>
              <w:rPr>
                <w:b/>
                <w:bCs/>
                <w:snapToGrid w:val="0"/>
                <w:color w:val="auto"/>
                <w:spacing w:val="-16"/>
                <w:sz w:val="24"/>
                <w:szCs w:val="24"/>
              </w:rPr>
              <w:t>本项目建成后</w:t>
            </w:r>
            <w:r>
              <w:rPr>
                <w:rFonts w:hint="eastAsia"/>
                <w:b/>
                <w:bCs/>
                <w:snapToGrid w:val="0"/>
                <w:color w:val="auto"/>
                <w:spacing w:val="-16"/>
                <w:sz w:val="24"/>
                <w:szCs w:val="24"/>
              </w:rPr>
              <w:t>全厂</w:t>
            </w:r>
            <w:r>
              <w:rPr>
                <w:b/>
                <w:bCs/>
                <w:snapToGrid w:val="0"/>
                <w:color w:val="auto"/>
                <w:spacing w:val="-16"/>
                <w:sz w:val="24"/>
                <w:szCs w:val="24"/>
              </w:rPr>
              <w:t>排放量（固</w:t>
            </w:r>
            <w:r>
              <w:rPr>
                <w:rFonts w:hint="eastAsia"/>
                <w:b/>
                <w:bCs/>
                <w:snapToGrid w:val="0"/>
                <w:color w:val="auto"/>
                <w:spacing w:val="-16"/>
                <w:sz w:val="24"/>
                <w:szCs w:val="24"/>
              </w:rPr>
              <w:t>体</w:t>
            </w:r>
            <w:r>
              <w:rPr>
                <w:b/>
                <w:bCs/>
                <w:snapToGrid w:val="0"/>
                <w:color w:val="auto"/>
                <w:spacing w:val="-16"/>
                <w:sz w:val="24"/>
                <w:szCs w:val="24"/>
              </w:rPr>
              <w:t>废</w:t>
            </w:r>
            <w:r>
              <w:rPr>
                <w:rFonts w:hint="eastAsia"/>
                <w:b/>
                <w:bCs/>
                <w:snapToGrid w:val="0"/>
                <w:color w:val="auto"/>
                <w:spacing w:val="-16"/>
                <w:sz w:val="24"/>
                <w:szCs w:val="24"/>
              </w:rPr>
              <w:t>物</w:t>
            </w:r>
            <w:r>
              <w:rPr>
                <w:b/>
                <w:bCs/>
                <w:snapToGrid w:val="0"/>
                <w:color w:val="auto"/>
                <w:spacing w:val="-16"/>
                <w:sz w:val="24"/>
                <w:szCs w:val="24"/>
              </w:rPr>
              <w:t>产生量）</w:t>
            </w:r>
            <w:r>
              <w:rPr>
                <w:b/>
                <w:bCs/>
                <w:snapToGrid w:val="0"/>
                <w:color w:val="auto"/>
                <w:spacing w:val="-16"/>
                <w:sz w:val="24"/>
                <w:szCs w:val="24"/>
              </w:rPr>
              <w:fldChar w:fldCharType="begin"/>
            </w:r>
            <w:r>
              <w:rPr>
                <w:b/>
                <w:bCs/>
                <w:snapToGrid w:val="0"/>
                <w:color w:val="auto"/>
                <w:spacing w:val="-16"/>
                <w:sz w:val="24"/>
                <w:szCs w:val="24"/>
              </w:rPr>
              <w:instrText xml:space="preserve"> = 6 \* GB3 \* MERGEFORMAT </w:instrText>
            </w:r>
            <w:r>
              <w:rPr>
                <w:b/>
                <w:bCs/>
                <w:snapToGrid w:val="0"/>
                <w:color w:val="auto"/>
                <w:spacing w:val="-16"/>
                <w:sz w:val="24"/>
                <w:szCs w:val="24"/>
              </w:rPr>
              <w:fldChar w:fldCharType="separate"/>
            </w:r>
            <w:r>
              <w:rPr>
                <w:rFonts w:hint="eastAsia"/>
                <w:b/>
                <w:bCs/>
                <w:color w:val="auto"/>
                <w:sz w:val="24"/>
                <w:szCs w:val="24"/>
              </w:rPr>
              <w:t>⑥</w:t>
            </w:r>
            <w:r>
              <w:rPr>
                <w:b/>
                <w:bCs/>
                <w:snapToGrid w:val="0"/>
                <w:color w:val="auto"/>
                <w:spacing w:val="-16"/>
                <w:sz w:val="24"/>
                <w:szCs w:val="24"/>
              </w:rPr>
              <w:fldChar w:fldCharType="end"/>
            </w:r>
          </w:p>
        </w:tc>
        <w:tc>
          <w:tcPr>
            <w:tcW w:w="571" w:type="pct"/>
            <w:tcMar>
              <w:left w:w="28" w:type="dxa"/>
              <w:right w:w="28" w:type="dxa"/>
            </w:tcMar>
            <w:vAlign w:val="center"/>
          </w:tcPr>
          <w:p>
            <w:pPr>
              <w:pStyle w:val="68"/>
              <w:rPr>
                <w:b/>
                <w:bCs/>
                <w:snapToGrid w:val="0"/>
                <w:color w:val="auto"/>
                <w:sz w:val="24"/>
                <w:szCs w:val="24"/>
              </w:rPr>
            </w:pPr>
            <w:r>
              <w:rPr>
                <w:b/>
                <w:bCs/>
                <w:snapToGrid w:val="0"/>
                <w:color w:val="auto"/>
                <w:sz w:val="24"/>
                <w:szCs w:val="24"/>
              </w:rPr>
              <w:t>变化量</w:t>
            </w:r>
            <w:r>
              <w:rPr>
                <w:b/>
                <w:bCs/>
                <w:snapToGrid w:val="0"/>
                <w:color w:val="auto"/>
                <w:sz w:val="24"/>
                <w:szCs w:val="24"/>
              </w:rPr>
              <w:fldChar w:fldCharType="begin"/>
            </w:r>
            <w:r>
              <w:rPr>
                <w:b/>
                <w:bCs/>
                <w:snapToGrid w:val="0"/>
                <w:color w:val="auto"/>
                <w:sz w:val="24"/>
                <w:szCs w:val="24"/>
              </w:rPr>
              <w:instrText xml:space="preserve"> = 7 \* GB3 \* MERGEFORMAT </w:instrText>
            </w:r>
            <w:r>
              <w:rPr>
                <w:b/>
                <w:bCs/>
                <w:snapToGrid w:val="0"/>
                <w:color w:val="auto"/>
                <w:sz w:val="24"/>
                <w:szCs w:val="24"/>
              </w:rPr>
              <w:fldChar w:fldCharType="separate"/>
            </w:r>
            <w:r>
              <w:rPr>
                <w:rFonts w:hint="eastAsia"/>
                <w:b/>
                <w:bCs/>
                <w:color w:val="auto"/>
                <w:sz w:val="24"/>
                <w:szCs w:val="24"/>
              </w:rPr>
              <w:t>⑦</w:t>
            </w:r>
            <w:r>
              <w:rPr>
                <w:b/>
                <w:bCs/>
                <w:snapToGrid w:val="0"/>
                <w:color w:val="auto"/>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pPr>
              <w:pStyle w:val="68"/>
              <w:rPr>
                <w:color w:val="auto"/>
                <w:sz w:val="24"/>
                <w:szCs w:val="24"/>
              </w:rPr>
            </w:pPr>
            <w:r>
              <w:rPr>
                <w:rFonts w:hint="eastAsia"/>
                <w:color w:val="auto"/>
                <w:sz w:val="24"/>
                <w:szCs w:val="24"/>
              </w:rPr>
              <w:t>废气</w:t>
            </w:r>
          </w:p>
        </w:tc>
        <w:tc>
          <w:tcPr>
            <w:tcW w:w="703" w:type="pct"/>
            <w:vAlign w:val="center"/>
          </w:tcPr>
          <w:p>
            <w:pPr>
              <w:pStyle w:val="68"/>
              <w:rPr>
                <w:rFonts w:hAnsi="宋体"/>
                <w:snapToGrid w:val="0"/>
                <w:color w:val="auto"/>
                <w:sz w:val="24"/>
                <w:szCs w:val="24"/>
              </w:rPr>
            </w:pPr>
            <w:r>
              <w:rPr>
                <w:rFonts w:hint="eastAsia" w:hAnsi="宋体"/>
                <w:snapToGrid w:val="0"/>
                <w:color w:val="auto"/>
                <w:sz w:val="24"/>
                <w:szCs w:val="24"/>
                <w:lang w:eastAsia="zh-CN"/>
              </w:rPr>
              <w:t>N</w:t>
            </w:r>
            <w:r>
              <w:rPr>
                <w:rFonts w:hAnsi="宋体"/>
                <w:snapToGrid w:val="0"/>
                <w:color w:val="auto"/>
                <w:sz w:val="24"/>
                <w:szCs w:val="24"/>
                <w:lang w:eastAsia="zh-CN"/>
              </w:rPr>
              <w:t>H</w:t>
            </w:r>
            <w:r>
              <w:rPr>
                <w:rFonts w:hAnsi="宋体"/>
                <w:snapToGrid w:val="0"/>
                <w:color w:val="auto"/>
                <w:sz w:val="24"/>
                <w:szCs w:val="24"/>
                <w:vertAlign w:val="subscript"/>
                <w:lang w:eastAsia="zh-CN"/>
              </w:rPr>
              <w:t>3</w:t>
            </w:r>
          </w:p>
        </w:tc>
        <w:tc>
          <w:tcPr>
            <w:tcW w:w="667" w:type="pct"/>
            <w:vAlign w:val="center"/>
          </w:tcPr>
          <w:p>
            <w:pPr>
              <w:pStyle w:val="68"/>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eastAsia="zh-CN"/>
              </w:rPr>
              <w:t>0</w:t>
            </w:r>
            <w:r>
              <w:rPr>
                <w:rFonts w:hAnsi="宋体"/>
                <w:snapToGrid w:val="0"/>
                <w:color w:val="auto"/>
                <w:sz w:val="24"/>
                <w:szCs w:val="24"/>
                <w:lang w:eastAsia="zh-CN"/>
              </w:rPr>
              <w:t>.0</w:t>
            </w:r>
            <w:r>
              <w:rPr>
                <w:rFonts w:hint="eastAsia" w:hAnsi="宋体"/>
                <w:snapToGrid w:val="0"/>
                <w:color w:val="auto"/>
                <w:sz w:val="24"/>
                <w:szCs w:val="24"/>
                <w:lang w:val="en-US" w:eastAsia="zh-CN"/>
              </w:rPr>
              <w:t>031</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eastAsia="zh-CN"/>
              </w:rPr>
              <w:t>0</w:t>
            </w:r>
            <w:r>
              <w:rPr>
                <w:rFonts w:hAnsi="宋体"/>
                <w:snapToGrid w:val="0"/>
                <w:color w:val="auto"/>
                <w:sz w:val="24"/>
                <w:szCs w:val="24"/>
                <w:lang w:eastAsia="zh-CN"/>
              </w:rPr>
              <w:t>.0</w:t>
            </w:r>
            <w:r>
              <w:rPr>
                <w:rFonts w:hint="eastAsia" w:hAnsi="宋体"/>
                <w:snapToGrid w:val="0"/>
                <w:color w:val="auto"/>
                <w:sz w:val="24"/>
                <w:szCs w:val="24"/>
                <w:lang w:val="en-US" w:eastAsia="zh-CN"/>
              </w:rPr>
              <w:t>031</w:t>
            </w:r>
          </w:p>
        </w:tc>
        <w:tc>
          <w:tcPr>
            <w:tcW w:w="571"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w:t>
            </w:r>
            <w:r>
              <w:rPr>
                <w:rFonts w:hint="eastAsia" w:hAnsi="宋体"/>
                <w:snapToGrid w:val="0"/>
                <w:color w:val="auto"/>
                <w:sz w:val="24"/>
                <w:szCs w:val="24"/>
                <w:lang w:eastAsia="zh-CN"/>
              </w:rPr>
              <w:t>0</w:t>
            </w:r>
            <w:r>
              <w:rPr>
                <w:rFonts w:hAnsi="宋体"/>
                <w:snapToGrid w:val="0"/>
                <w:color w:val="auto"/>
                <w:sz w:val="24"/>
                <w:szCs w:val="24"/>
                <w:lang w:eastAsia="zh-CN"/>
              </w:rPr>
              <w:t>.0</w:t>
            </w:r>
            <w:r>
              <w:rPr>
                <w:rFonts w:hint="eastAsia" w:hAnsi="宋体"/>
                <w:snapToGrid w:val="0"/>
                <w:color w:val="auto"/>
                <w:sz w:val="24"/>
                <w:szCs w:val="24"/>
                <w:lang w:val="en-US" w:eastAsia="zh-CN"/>
              </w:rPr>
              <w:t>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rFonts w:hAnsi="宋体"/>
                <w:snapToGrid w:val="0"/>
                <w:color w:val="auto"/>
                <w:sz w:val="24"/>
                <w:szCs w:val="24"/>
              </w:rPr>
            </w:pPr>
            <w:r>
              <w:rPr>
                <w:rFonts w:hint="eastAsia" w:hAnsi="宋体"/>
                <w:snapToGrid w:val="0"/>
                <w:color w:val="auto"/>
                <w:sz w:val="24"/>
                <w:szCs w:val="24"/>
                <w:lang w:eastAsia="zh-CN"/>
              </w:rPr>
              <w:t>H</w:t>
            </w:r>
            <w:r>
              <w:rPr>
                <w:rFonts w:hAnsi="宋体"/>
                <w:snapToGrid w:val="0"/>
                <w:color w:val="auto"/>
                <w:sz w:val="24"/>
                <w:szCs w:val="24"/>
                <w:vertAlign w:val="subscript"/>
                <w:lang w:eastAsia="zh-CN"/>
              </w:rPr>
              <w:t>2</w:t>
            </w:r>
            <w:r>
              <w:rPr>
                <w:rFonts w:hAnsi="宋体"/>
                <w:snapToGrid w:val="0"/>
                <w:color w:val="auto"/>
                <w:sz w:val="24"/>
                <w:szCs w:val="24"/>
                <w:lang w:eastAsia="zh-CN"/>
              </w:rPr>
              <w:t>S</w:t>
            </w:r>
          </w:p>
        </w:tc>
        <w:tc>
          <w:tcPr>
            <w:tcW w:w="667" w:type="pct"/>
            <w:vAlign w:val="center"/>
          </w:tcPr>
          <w:p>
            <w:pPr>
              <w:pStyle w:val="68"/>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eastAsia="zh-CN"/>
              </w:rPr>
              <w:t>0</w:t>
            </w:r>
            <w:r>
              <w:rPr>
                <w:rFonts w:hAnsi="宋体"/>
                <w:snapToGrid w:val="0"/>
                <w:color w:val="auto"/>
                <w:sz w:val="24"/>
                <w:szCs w:val="24"/>
                <w:lang w:eastAsia="zh-CN"/>
              </w:rPr>
              <w:t>.00</w:t>
            </w:r>
            <w:r>
              <w:rPr>
                <w:rFonts w:hint="eastAsia" w:hAnsi="宋体"/>
                <w:snapToGrid w:val="0"/>
                <w:color w:val="auto"/>
                <w:sz w:val="24"/>
                <w:szCs w:val="24"/>
                <w:lang w:val="en-US" w:eastAsia="zh-CN"/>
              </w:rPr>
              <w:t>82</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rFonts w:hAnsi="宋体"/>
                <w:snapToGrid w:val="0"/>
                <w:color w:val="auto"/>
                <w:sz w:val="24"/>
                <w:szCs w:val="24"/>
                <w:lang w:eastAsia="zh-CN"/>
              </w:rPr>
            </w:pPr>
            <w:r>
              <w:rPr>
                <w:rFonts w:hint="eastAsia" w:hAnsi="宋体"/>
                <w:snapToGrid w:val="0"/>
                <w:color w:val="auto"/>
                <w:sz w:val="24"/>
                <w:szCs w:val="24"/>
                <w:lang w:eastAsia="zh-CN"/>
              </w:rPr>
              <w:t>0</w:t>
            </w:r>
            <w:r>
              <w:rPr>
                <w:rFonts w:hAnsi="宋体"/>
                <w:snapToGrid w:val="0"/>
                <w:color w:val="auto"/>
                <w:sz w:val="24"/>
                <w:szCs w:val="24"/>
                <w:lang w:eastAsia="zh-CN"/>
              </w:rPr>
              <w:t>.00</w:t>
            </w:r>
            <w:r>
              <w:rPr>
                <w:rFonts w:hint="eastAsia" w:hAnsi="宋体"/>
                <w:snapToGrid w:val="0"/>
                <w:color w:val="auto"/>
                <w:sz w:val="24"/>
                <w:szCs w:val="24"/>
                <w:lang w:val="en-US" w:eastAsia="zh-CN"/>
              </w:rPr>
              <w:t>82</w:t>
            </w:r>
          </w:p>
        </w:tc>
        <w:tc>
          <w:tcPr>
            <w:tcW w:w="571"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w:t>
            </w:r>
            <w:r>
              <w:rPr>
                <w:rFonts w:hint="eastAsia" w:hAnsi="宋体"/>
                <w:snapToGrid w:val="0"/>
                <w:color w:val="auto"/>
                <w:sz w:val="24"/>
                <w:szCs w:val="24"/>
                <w:lang w:eastAsia="zh-CN"/>
              </w:rPr>
              <w:t>0</w:t>
            </w:r>
            <w:r>
              <w:rPr>
                <w:rFonts w:hAnsi="宋体"/>
                <w:snapToGrid w:val="0"/>
                <w:color w:val="auto"/>
                <w:sz w:val="24"/>
                <w:szCs w:val="24"/>
                <w:lang w:eastAsia="zh-CN"/>
              </w:rPr>
              <w:t>.00</w:t>
            </w:r>
            <w:r>
              <w:rPr>
                <w:rFonts w:hint="eastAsia" w:hAnsi="宋体"/>
                <w:snapToGrid w:val="0"/>
                <w:color w:val="auto"/>
                <w:sz w:val="24"/>
                <w:szCs w:val="24"/>
                <w:lang w:val="en-US" w:eastAsia="zh-CN"/>
              </w:rPr>
              <w:t>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rFonts w:hAnsi="宋体"/>
                <w:snapToGrid w:val="0"/>
                <w:color w:val="auto"/>
                <w:sz w:val="24"/>
                <w:szCs w:val="24"/>
                <w:lang w:eastAsia="zh-CN"/>
              </w:rPr>
            </w:pPr>
            <w:r>
              <w:rPr>
                <w:rFonts w:hint="eastAsia" w:hAnsi="宋体"/>
                <w:snapToGrid w:val="0"/>
                <w:color w:val="auto"/>
                <w:sz w:val="24"/>
                <w:szCs w:val="24"/>
                <w:lang w:eastAsia="zh-CN"/>
              </w:rPr>
              <w:t>颗粒物</w:t>
            </w:r>
          </w:p>
        </w:tc>
        <w:tc>
          <w:tcPr>
            <w:tcW w:w="667" w:type="pct"/>
            <w:vAlign w:val="center"/>
          </w:tcPr>
          <w:p>
            <w:pPr>
              <w:pStyle w:val="68"/>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val="en-US" w:eastAsia="zh-CN"/>
              </w:rPr>
              <w:t>0.001</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0.001</w:t>
            </w:r>
          </w:p>
        </w:tc>
        <w:tc>
          <w:tcPr>
            <w:tcW w:w="571"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rFonts w:hAnsi="宋体"/>
                <w:snapToGrid w:val="0"/>
                <w:color w:val="auto"/>
                <w:sz w:val="24"/>
                <w:szCs w:val="24"/>
                <w:lang w:eastAsia="zh-CN"/>
              </w:rPr>
            </w:pPr>
            <w:r>
              <w:rPr>
                <w:rFonts w:hint="eastAsia" w:hAnsi="宋体"/>
                <w:snapToGrid w:val="0"/>
                <w:color w:val="auto"/>
                <w:sz w:val="24"/>
                <w:szCs w:val="24"/>
                <w:lang w:eastAsia="zh-CN"/>
              </w:rPr>
              <w:t>S</w:t>
            </w:r>
            <w:r>
              <w:rPr>
                <w:rFonts w:hAnsi="宋体"/>
                <w:snapToGrid w:val="0"/>
                <w:color w:val="auto"/>
                <w:sz w:val="24"/>
                <w:szCs w:val="24"/>
                <w:lang w:eastAsia="zh-CN"/>
              </w:rPr>
              <w:t>O</w:t>
            </w:r>
            <w:r>
              <w:rPr>
                <w:rFonts w:hAnsi="宋体"/>
                <w:snapToGrid w:val="0"/>
                <w:color w:val="auto"/>
                <w:sz w:val="24"/>
                <w:szCs w:val="24"/>
                <w:vertAlign w:val="subscript"/>
                <w:lang w:eastAsia="zh-CN"/>
              </w:rPr>
              <w:t>2</w:t>
            </w:r>
          </w:p>
        </w:tc>
        <w:tc>
          <w:tcPr>
            <w:tcW w:w="667" w:type="pct"/>
            <w:vAlign w:val="center"/>
          </w:tcPr>
          <w:p>
            <w:pPr>
              <w:pStyle w:val="68"/>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val="en-US" w:eastAsia="zh-CN"/>
              </w:rPr>
              <w:t>0.55</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0.55</w:t>
            </w:r>
          </w:p>
        </w:tc>
        <w:tc>
          <w:tcPr>
            <w:tcW w:w="571"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rFonts w:hAnsi="宋体"/>
                <w:snapToGrid w:val="0"/>
                <w:color w:val="auto"/>
                <w:sz w:val="24"/>
                <w:szCs w:val="24"/>
                <w:lang w:eastAsia="zh-CN"/>
              </w:rPr>
            </w:pPr>
            <w:r>
              <w:rPr>
                <w:rFonts w:hint="eastAsia" w:hAnsi="宋体"/>
                <w:snapToGrid w:val="0"/>
                <w:color w:val="auto"/>
                <w:sz w:val="24"/>
                <w:szCs w:val="24"/>
                <w:lang w:eastAsia="zh-CN"/>
              </w:rPr>
              <w:t>N</w:t>
            </w:r>
            <w:r>
              <w:rPr>
                <w:rFonts w:hAnsi="宋体"/>
                <w:snapToGrid w:val="0"/>
                <w:color w:val="auto"/>
                <w:sz w:val="24"/>
                <w:szCs w:val="24"/>
                <w:lang w:eastAsia="zh-CN"/>
              </w:rPr>
              <w:t>O</w:t>
            </w:r>
            <w:r>
              <w:rPr>
                <w:rFonts w:hAnsi="宋体"/>
                <w:snapToGrid w:val="0"/>
                <w:color w:val="auto"/>
                <w:sz w:val="24"/>
                <w:szCs w:val="24"/>
                <w:vertAlign w:val="subscript"/>
                <w:lang w:eastAsia="zh-CN"/>
              </w:rPr>
              <w:t>X</w:t>
            </w:r>
          </w:p>
        </w:tc>
        <w:tc>
          <w:tcPr>
            <w:tcW w:w="667" w:type="pct"/>
            <w:vAlign w:val="center"/>
          </w:tcPr>
          <w:p>
            <w:pPr>
              <w:pStyle w:val="68"/>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val="en-US" w:eastAsia="zh-CN"/>
              </w:rPr>
              <w:t>0.7</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0.7</w:t>
            </w:r>
          </w:p>
        </w:tc>
        <w:tc>
          <w:tcPr>
            <w:tcW w:w="571" w:type="pct"/>
            <w:shd w:val="clear" w:color="auto" w:fill="auto"/>
            <w:vAlign w:val="center"/>
          </w:tcPr>
          <w:p>
            <w:pPr>
              <w:pStyle w:val="68"/>
              <w:ind w:firstLine="0" w:firstLineChars="0"/>
              <w:rPr>
                <w:rFonts w:hint="default" w:ascii="Times New Roman" w:hAnsi="宋体" w:eastAsia="宋体" w:cs="Times New Roman"/>
                <w:snapToGrid w:val="0"/>
                <w:color w:val="auto"/>
                <w:kern w:val="0"/>
                <w:sz w:val="24"/>
                <w:szCs w:val="24"/>
                <w:lang w:val="en-US" w:eastAsia="zh-CN" w:bidi="ar-SA"/>
              </w:rPr>
            </w:pPr>
            <w:r>
              <w:rPr>
                <w:rFonts w:hint="eastAsia" w:hAnsi="宋体"/>
                <w:snapToGrid w:val="0"/>
                <w:color w:val="auto"/>
                <w:sz w:val="24"/>
                <w:szCs w:val="24"/>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pPr>
              <w:pStyle w:val="68"/>
              <w:rPr>
                <w:color w:val="auto"/>
                <w:sz w:val="24"/>
                <w:szCs w:val="24"/>
              </w:rPr>
            </w:pPr>
            <w:r>
              <w:rPr>
                <w:rFonts w:hint="eastAsia"/>
                <w:color w:val="auto"/>
                <w:sz w:val="24"/>
                <w:szCs w:val="24"/>
              </w:rPr>
              <w:t>废水</w:t>
            </w:r>
          </w:p>
        </w:tc>
        <w:tc>
          <w:tcPr>
            <w:tcW w:w="703" w:type="pct"/>
            <w:vAlign w:val="center"/>
          </w:tcPr>
          <w:p>
            <w:pPr>
              <w:pStyle w:val="68"/>
              <w:rPr>
                <w:snapToGrid w:val="0"/>
                <w:color w:val="auto"/>
                <w:sz w:val="24"/>
                <w:szCs w:val="24"/>
              </w:rPr>
            </w:pPr>
            <w:r>
              <w:rPr>
                <w:rFonts w:hint="eastAsia"/>
                <w:snapToGrid w:val="0"/>
                <w:color w:val="auto"/>
                <w:sz w:val="24"/>
                <w:szCs w:val="24"/>
              </w:rPr>
              <w:t>废水量</w:t>
            </w:r>
          </w:p>
        </w:tc>
        <w:tc>
          <w:tcPr>
            <w:tcW w:w="667" w:type="pct"/>
            <w:vAlign w:val="center"/>
          </w:tcPr>
          <w:p>
            <w:pPr>
              <w:pStyle w:val="68"/>
              <w:ind w:firstLine="0" w:firstLineChars="0"/>
              <w:rPr>
                <w:rFonts w:hint="eastAsia" w:hAnsi="宋体" w:eastAsia="宋体"/>
                <w:snapToGrid w:val="0"/>
                <w:color w:val="auto"/>
                <w:sz w:val="24"/>
                <w:szCs w:val="24"/>
                <w:lang w:val="en-US" w:eastAsia="zh-CN"/>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Ansi="宋体"/>
                <w:snapToGrid w:val="0"/>
                <w:color w:val="auto"/>
                <w:sz w:val="24"/>
                <w:szCs w:val="24"/>
              </w:rPr>
            </w:pPr>
            <w:r>
              <w:rPr>
                <w:rFonts w:hint="eastAsia"/>
                <w:color w:val="auto"/>
                <w:sz w:val="24"/>
                <w:szCs w:val="24"/>
                <w:lang w:val="en-US" w:eastAsia="zh-CN"/>
              </w:rPr>
              <w:t>7506.4</w:t>
            </w:r>
            <w:r>
              <w:rPr>
                <w:color w:val="auto"/>
                <w:sz w:val="24"/>
                <w:szCs w:val="24"/>
              </w:rPr>
              <w:t>m³/a</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rPr>
                <w:rFonts w:hAnsi="宋体"/>
                <w:snapToGrid w:val="0"/>
                <w:color w:val="auto"/>
                <w:sz w:val="24"/>
                <w:szCs w:val="24"/>
              </w:rPr>
            </w:pPr>
            <w:r>
              <w:rPr>
                <w:rFonts w:hint="eastAsia"/>
                <w:color w:val="auto"/>
                <w:sz w:val="24"/>
                <w:szCs w:val="24"/>
                <w:lang w:val="en-US" w:eastAsia="zh-CN"/>
              </w:rPr>
              <w:t>7506.4</w:t>
            </w:r>
            <w:r>
              <w:rPr>
                <w:color w:val="auto"/>
                <w:sz w:val="24"/>
                <w:szCs w:val="24"/>
              </w:rPr>
              <w:t>m³/a</w:t>
            </w:r>
          </w:p>
        </w:tc>
        <w:tc>
          <w:tcPr>
            <w:tcW w:w="571" w:type="pct"/>
            <w:shd w:val="clear" w:color="auto" w:fill="auto"/>
            <w:vAlign w:val="center"/>
          </w:tcPr>
          <w:p>
            <w:pPr>
              <w:pStyle w:val="68"/>
              <w:ind w:firstLine="0" w:firstLineChars="0"/>
              <w:rPr>
                <w:rFonts w:ascii="Times New Roman" w:hAnsi="宋体" w:eastAsia="宋体" w:cs="Times New Roman"/>
                <w:snapToGrid w:val="0"/>
                <w:color w:val="auto"/>
                <w:kern w:val="0"/>
                <w:sz w:val="24"/>
                <w:szCs w:val="24"/>
                <w:lang w:val="zh-CN" w:eastAsia="zh-CN" w:bidi="ar-SA"/>
              </w:rPr>
            </w:pPr>
            <w:r>
              <w:rPr>
                <w:rFonts w:hint="eastAsia"/>
                <w:color w:val="auto"/>
                <w:sz w:val="24"/>
                <w:szCs w:val="24"/>
                <w:lang w:val="en-US" w:eastAsia="zh-CN"/>
              </w:rPr>
              <w:t>+7506.4</w:t>
            </w:r>
            <w:r>
              <w:rPr>
                <w:color w:val="auto"/>
                <w:sz w:val="24"/>
                <w:szCs w:val="24"/>
              </w:rPr>
              <w:t>m³/a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snapToGrid w:val="0"/>
                <w:color w:val="auto"/>
                <w:sz w:val="24"/>
                <w:szCs w:val="24"/>
              </w:rPr>
            </w:pPr>
            <w:r>
              <w:rPr>
                <w:rFonts w:hint="eastAsia"/>
                <w:snapToGrid w:val="0"/>
                <w:color w:val="auto"/>
                <w:sz w:val="24"/>
                <w:szCs w:val="24"/>
                <w:shd w:val="clear" w:fill="FFFFFF"/>
              </w:rPr>
              <w:t>COD</w:t>
            </w:r>
            <w:r>
              <w:rPr>
                <w:rFonts w:hint="eastAsia"/>
                <w:snapToGrid w:val="0"/>
                <w:color w:val="auto"/>
                <w:sz w:val="24"/>
                <w:szCs w:val="24"/>
                <w:shd w:val="clear" w:fill="FFFFFF"/>
                <w:vertAlign w:val="subscript"/>
              </w:rPr>
              <w:t>Cr</w:t>
            </w:r>
          </w:p>
        </w:tc>
        <w:tc>
          <w:tcPr>
            <w:tcW w:w="667"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hAnsi="宋体"/>
                <w:snapToGrid w:val="0"/>
                <w:color w:val="auto"/>
                <w:sz w:val="24"/>
                <w:szCs w:val="24"/>
                <w:lang w:val="en-US" w:eastAsia="zh-CN"/>
              </w:rPr>
            </w:pPr>
            <w:r>
              <w:rPr>
                <w:rFonts w:hint="eastAsia" w:hAnsi="宋体"/>
                <w:snapToGrid w:val="0"/>
                <w:color w:val="auto"/>
                <w:sz w:val="24"/>
                <w:szCs w:val="24"/>
                <w:lang w:val="en-US" w:eastAsia="zh-CN"/>
              </w:rPr>
              <w:t>3.580</w:t>
            </w:r>
          </w:p>
        </w:tc>
        <w:tc>
          <w:tcPr>
            <w:tcW w:w="528"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rFonts w:hAnsi="宋体"/>
                <w:snapToGrid w:val="0"/>
                <w:color w:val="auto"/>
                <w:sz w:val="24"/>
                <w:szCs w:val="24"/>
              </w:rPr>
            </w:pPr>
            <w:r>
              <w:rPr>
                <w:rFonts w:hint="eastAsia" w:hAnsi="宋体"/>
                <w:snapToGrid w:val="0"/>
                <w:color w:val="auto"/>
                <w:sz w:val="24"/>
                <w:szCs w:val="24"/>
                <w:lang w:val="en-US" w:eastAsia="zh-CN"/>
              </w:rPr>
              <w:t>3.580</w:t>
            </w:r>
          </w:p>
        </w:tc>
        <w:tc>
          <w:tcPr>
            <w:tcW w:w="571" w:type="pct"/>
            <w:shd w:val="clear" w:color="auto" w:fill="auto"/>
            <w:vAlign w:val="center"/>
          </w:tcPr>
          <w:p>
            <w:pPr>
              <w:pStyle w:val="68"/>
              <w:ind w:firstLine="0" w:firstLineChars="0"/>
              <w:rPr>
                <w:rFonts w:ascii="Times New Roman" w:hAnsi="宋体" w:eastAsia="宋体" w:cs="Times New Roman"/>
                <w:snapToGrid w:val="0"/>
                <w:color w:val="auto"/>
                <w:kern w:val="0"/>
                <w:sz w:val="24"/>
                <w:szCs w:val="24"/>
                <w:lang w:val="zh-CN" w:eastAsia="zh-CN" w:bidi="ar-SA"/>
              </w:rPr>
            </w:pPr>
            <w:r>
              <w:rPr>
                <w:rFonts w:hint="eastAsia" w:hAnsi="宋体"/>
                <w:snapToGrid w:val="0"/>
                <w:color w:val="auto"/>
                <w:sz w:val="24"/>
                <w:szCs w:val="24"/>
                <w:lang w:val="en-US" w:eastAsia="zh-CN"/>
              </w:rPr>
              <w:t>+3.580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color w:val="auto"/>
                <w:sz w:val="24"/>
                <w:szCs w:val="24"/>
              </w:rPr>
            </w:pPr>
            <w:r>
              <w:rPr>
                <w:rFonts w:hint="eastAsia"/>
                <w:color w:val="auto"/>
                <w:sz w:val="24"/>
                <w:szCs w:val="24"/>
              </w:rPr>
              <w:t>氨氮</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color w:val="auto"/>
                <w:sz w:val="24"/>
                <w:szCs w:val="24"/>
                <w:lang w:val="en-US" w:eastAsia="zh-CN"/>
              </w:rPr>
            </w:pPr>
            <w:r>
              <w:rPr>
                <w:rFonts w:hint="eastAsia"/>
                <w:color w:val="auto"/>
                <w:sz w:val="24"/>
                <w:szCs w:val="24"/>
                <w:lang w:val="en-US" w:eastAsia="zh-CN"/>
              </w:rPr>
              <w:t>0.218</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rFonts w:hint="default"/>
                <w:color w:val="auto"/>
                <w:sz w:val="24"/>
                <w:szCs w:val="24"/>
                <w:lang w:val="en-US"/>
              </w:rPr>
            </w:pPr>
            <w:r>
              <w:rPr>
                <w:rFonts w:hint="eastAsia"/>
                <w:color w:val="auto"/>
                <w:sz w:val="24"/>
                <w:szCs w:val="24"/>
                <w:lang w:val="en-US" w:eastAsia="zh-CN"/>
              </w:rPr>
              <w:t>0.218</w:t>
            </w:r>
          </w:p>
        </w:tc>
        <w:tc>
          <w:tcPr>
            <w:tcW w:w="571" w:type="pct"/>
            <w:shd w:val="clear" w:color="auto" w:fill="auto"/>
            <w:vAlign w:val="center"/>
          </w:tcPr>
          <w:p>
            <w:pPr>
              <w:pStyle w:val="68"/>
              <w:ind w:firstLine="0" w:firstLineChars="0"/>
              <w:rPr>
                <w:rFonts w:hint="default" w:ascii="Times New Roman" w:hAnsi="Times New Roman" w:eastAsia="宋体" w:cs="Times New Roman"/>
                <w:color w:val="auto"/>
                <w:kern w:val="0"/>
                <w:sz w:val="24"/>
                <w:szCs w:val="24"/>
                <w:lang w:val="en-US" w:eastAsia="zh-CN" w:bidi="ar-SA"/>
              </w:rPr>
            </w:pPr>
            <w:r>
              <w:rPr>
                <w:rFonts w:hint="eastAsia"/>
                <w:color w:val="auto"/>
                <w:sz w:val="24"/>
                <w:szCs w:val="24"/>
                <w:lang w:val="en-US" w:eastAsia="zh-CN"/>
              </w:rPr>
              <w:t>+0.218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pPr>
              <w:pStyle w:val="68"/>
              <w:rPr>
                <w:color w:val="auto"/>
                <w:sz w:val="24"/>
                <w:szCs w:val="24"/>
              </w:rPr>
            </w:pPr>
            <w:r>
              <w:rPr>
                <w:rFonts w:hint="eastAsia"/>
                <w:color w:val="auto"/>
                <w:sz w:val="24"/>
                <w:szCs w:val="24"/>
              </w:rPr>
              <w:t>一般工业固体废物</w:t>
            </w:r>
          </w:p>
        </w:tc>
        <w:tc>
          <w:tcPr>
            <w:tcW w:w="703" w:type="pct"/>
            <w:vAlign w:val="center"/>
          </w:tcPr>
          <w:p>
            <w:pPr>
              <w:pStyle w:val="68"/>
              <w:rPr>
                <w:color w:val="auto"/>
                <w:sz w:val="24"/>
                <w:szCs w:val="24"/>
              </w:rPr>
            </w:pPr>
            <w:r>
              <w:rPr>
                <w:rFonts w:hint="eastAsia"/>
                <w:color w:val="auto"/>
                <w:sz w:val="24"/>
                <w:szCs w:val="24"/>
                <w:lang w:eastAsia="zh-CN"/>
              </w:rPr>
              <w:t>废餐盒、塑料</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color w:val="auto"/>
                <w:sz w:val="24"/>
                <w:szCs w:val="24"/>
                <w:lang w:eastAsia="zh-CN"/>
              </w:rPr>
            </w:pPr>
            <w:r>
              <w:rPr>
                <w:rFonts w:hint="eastAsia"/>
                <w:color w:val="auto"/>
                <w:sz w:val="24"/>
                <w:szCs w:val="24"/>
                <w:lang w:eastAsia="zh-CN"/>
              </w:rPr>
              <w:t>9</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color w:val="auto"/>
                <w:sz w:val="24"/>
                <w:szCs w:val="24"/>
                <w:lang w:eastAsia="zh-CN"/>
              </w:rPr>
            </w:pPr>
            <w:r>
              <w:rPr>
                <w:rFonts w:hint="eastAsia"/>
                <w:color w:val="auto"/>
                <w:sz w:val="24"/>
                <w:szCs w:val="24"/>
                <w:lang w:eastAsia="zh-CN"/>
              </w:rPr>
              <w:t>9</w:t>
            </w:r>
          </w:p>
        </w:tc>
        <w:tc>
          <w:tcPr>
            <w:tcW w:w="571" w:type="pct"/>
            <w:shd w:val="clear" w:color="auto" w:fill="auto"/>
            <w:vAlign w:val="center"/>
          </w:tcPr>
          <w:p>
            <w:pPr>
              <w:pStyle w:val="68"/>
              <w:ind w:firstLine="0" w:firstLineChars="0"/>
              <w:rPr>
                <w:rFonts w:ascii="Times New Roman" w:hAnsi="Times New Roman" w:eastAsia="宋体" w:cs="Times New Roman"/>
                <w:color w:val="auto"/>
                <w:kern w:val="0"/>
                <w:sz w:val="24"/>
                <w:szCs w:val="24"/>
                <w:lang w:val="zh-CN" w:eastAsia="zh-CN" w:bidi="ar-SA"/>
              </w:rPr>
            </w:pPr>
            <w:r>
              <w:rPr>
                <w:rFonts w:hint="eastAsia"/>
                <w:color w:val="auto"/>
                <w:sz w:val="24"/>
                <w:szCs w:val="24"/>
                <w:lang w:val="en-US" w:eastAsia="zh-CN"/>
              </w:rPr>
              <w:t>+</w:t>
            </w:r>
            <w:r>
              <w:rPr>
                <w:rFonts w:hint="eastAsia"/>
                <w:color w:val="auto"/>
                <w:sz w:val="24"/>
                <w:szCs w:val="24"/>
                <w:lang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color w:val="auto"/>
                <w:sz w:val="24"/>
                <w:szCs w:val="24"/>
              </w:rPr>
            </w:pPr>
            <w:r>
              <w:rPr>
                <w:rFonts w:hint="eastAsia"/>
                <w:color w:val="auto"/>
                <w:sz w:val="24"/>
                <w:szCs w:val="24"/>
                <w:lang w:bidi="en-US"/>
              </w:rPr>
              <w:t>锅炉</w:t>
            </w:r>
            <w:r>
              <w:rPr>
                <w:color w:val="auto"/>
                <w:sz w:val="24"/>
                <w:szCs w:val="24"/>
                <w:lang w:bidi="en-US"/>
              </w:rPr>
              <w:t>灰渣</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eastAsia="宋体"/>
                <w:color w:val="auto"/>
                <w:sz w:val="24"/>
                <w:szCs w:val="24"/>
                <w:lang w:val="en-US" w:eastAsia="zh-CN"/>
              </w:rPr>
            </w:pPr>
            <w:r>
              <w:rPr>
                <w:rFonts w:hint="eastAsia"/>
                <w:color w:val="auto"/>
                <w:sz w:val="24"/>
                <w:szCs w:val="24"/>
                <w:lang w:val="en-US" w:eastAsia="zh-CN"/>
              </w:rPr>
              <w:t>20.188</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color w:val="auto"/>
                <w:sz w:val="24"/>
                <w:szCs w:val="24"/>
                <w:lang w:val="en-US"/>
              </w:rPr>
            </w:pPr>
            <w:r>
              <w:rPr>
                <w:rFonts w:hint="eastAsia"/>
                <w:color w:val="auto"/>
                <w:sz w:val="24"/>
                <w:szCs w:val="24"/>
                <w:lang w:val="en-US" w:eastAsia="zh-CN"/>
              </w:rPr>
              <w:t>20.188</w:t>
            </w:r>
          </w:p>
        </w:tc>
        <w:tc>
          <w:tcPr>
            <w:tcW w:w="571" w:type="pct"/>
            <w:shd w:val="clear" w:color="auto" w:fill="auto"/>
            <w:vAlign w:val="center"/>
          </w:tcPr>
          <w:p>
            <w:pPr>
              <w:pStyle w:val="68"/>
              <w:ind w:firstLine="0" w:firstLineChars="0"/>
              <w:rPr>
                <w:rFonts w:ascii="Times New Roman" w:hAnsi="Times New Roman" w:eastAsia="宋体" w:cs="Times New Roman"/>
                <w:color w:val="auto"/>
                <w:kern w:val="0"/>
                <w:sz w:val="24"/>
                <w:szCs w:val="24"/>
                <w:lang w:val="en-US" w:eastAsia="zh-CN" w:bidi="ar-SA"/>
              </w:rPr>
            </w:pPr>
            <w:r>
              <w:rPr>
                <w:rFonts w:hint="eastAsia"/>
                <w:color w:val="auto"/>
                <w:sz w:val="24"/>
                <w:szCs w:val="24"/>
                <w:lang w:val="en-US" w:eastAsia="zh-CN"/>
              </w:rPr>
              <w:t>+20.188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color w:val="auto"/>
                <w:sz w:val="24"/>
                <w:szCs w:val="24"/>
              </w:rPr>
            </w:pPr>
            <w:r>
              <w:rPr>
                <w:rFonts w:hint="eastAsia"/>
                <w:color w:val="auto"/>
                <w:sz w:val="24"/>
                <w:szCs w:val="24"/>
              </w:rPr>
              <w:t>污水处理站污泥</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eastAsia="宋体"/>
                <w:color w:val="auto"/>
                <w:sz w:val="24"/>
                <w:szCs w:val="24"/>
                <w:lang w:val="en-US" w:eastAsia="zh-CN"/>
              </w:rPr>
            </w:pPr>
            <w:r>
              <w:rPr>
                <w:rFonts w:hint="eastAsia"/>
                <w:color w:val="auto"/>
                <w:sz w:val="24"/>
                <w:szCs w:val="24"/>
                <w:lang w:val="en-US" w:eastAsia="zh-CN"/>
              </w:rPr>
              <w:t>19.989</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color w:val="auto"/>
                <w:sz w:val="24"/>
                <w:szCs w:val="24"/>
                <w:lang w:val="en-US"/>
              </w:rPr>
            </w:pPr>
            <w:r>
              <w:rPr>
                <w:rFonts w:hint="eastAsia"/>
                <w:color w:val="auto"/>
                <w:sz w:val="24"/>
                <w:szCs w:val="24"/>
                <w:lang w:val="en-US" w:eastAsia="zh-CN"/>
              </w:rPr>
              <w:t>19.989</w:t>
            </w:r>
          </w:p>
        </w:tc>
        <w:tc>
          <w:tcPr>
            <w:tcW w:w="571" w:type="pct"/>
            <w:shd w:val="clear" w:color="auto" w:fill="auto"/>
            <w:vAlign w:val="center"/>
          </w:tcPr>
          <w:p>
            <w:pPr>
              <w:pStyle w:val="68"/>
              <w:ind w:firstLine="0" w:firstLineChars="0"/>
              <w:rPr>
                <w:rFonts w:ascii="Times New Roman" w:hAnsi="Times New Roman" w:eastAsia="宋体" w:cs="Times New Roman"/>
                <w:color w:val="auto"/>
                <w:kern w:val="0"/>
                <w:sz w:val="24"/>
                <w:szCs w:val="24"/>
                <w:lang w:val="en-US" w:eastAsia="zh-CN" w:bidi="ar-SA"/>
              </w:rPr>
            </w:pPr>
            <w:r>
              <w:rPr>
                <w:rFonts w:hint="eastAsia"/>
                <w:color w:val="auto"/>
                <w:sz w:val="24"/>
                <w:szCs w:val="24"/>
                <w:lang w:val="en-US" w:eastAsia="zh-CN"/>
              </w:rPr>
              <w:t>+19.989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295" w:type="pct"/>
            <w:vMerge w:val="continue"/>
            <w:vAlign w:val="center"/>
          </w:tcPr>
          <w:p>
            <w:pPr>
              <w:pStyle w:val="68"/>
              <w:rPr>
                <w:color w:val="auto"/>
                <w:sz w:val="24"/>
                <w:szCs w:val="24"/>
              </w:rPr>
            </w:pPr>
          </w:p>
        </w:tc>
        <w:tc>
          <w:tcPr>
            <w:tcW w:w="703" w:type="pct"/>
            <w:vAlign w:val="center"/>
          </w:tcPr>
          <w:p>
            <w:pPr>
              <w:pStyle w:val="68"/>
              <w:rPr>
                <w:color w:val="auto"/>
                <w:sz w:val="24"/>
                <w:szCs w:val="24"/>
              </w:rPr>
            </w:pPr>
            <w:r>
              <w:rPr>
                <w:rFonts w:hint="eastAsia"/>
                <w:color w:val="auto"/>
                <w:sz w:val="24"/>
                <w:szCs w:val="24"/>
                <w:lang w:eastAsia="zh-CN"/>
              </w:rPr>
              <w:t>生物洗涤废滤芯</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eastAsia" w:eastAsia="宋体"/>
                <w:color w:val="auto"/>
                <w:sz w:val="24"/>
                <w:szCs w:val="24"/>
                <w:lang w:val="en-US" w:eastAsia="zh-CN"/>
              </w:rPr>
            </w:pPr>
            <w:r>
              <w:rPr>
                <w:rFonts w:hint="eastAsia"/>
                <w:color w:val="auto"/>
                <w:sz w:val="24"/>
                <w:szCs w:val="24"/>
                <w:lang w:val="en-US" w:eastAsia="zh-CN"/>
              </w:rPr>
              <w:t>1</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color w:val="auto"/>
                <w:sz w:val="24"/>
                <w:szCs w:val="24"/>
                <w:lang w:val="en-US"/>
              </w:rPr>
            </w:pPr>
            <w:r>
              <w:rPr>
                <w:rFonts w:hint="eastAsia"/>
                <w:color w:val="auto"/>
                <w:sz w:val="24"/>
                <w:szCs w:val="24"/>
                <w:lang w:val="en-US" w:eastAsia="zh-CN"/>
              </w:rPr>
              <w:t>1</w:t>
            </w:r>
          </w:p>
        </w:tc>
        <w:tc>
          <w:tcPr>
            <w:tcW w:w="571" w:type="pct"/>
            <w:shd w:val="clear" w:color="auto" w:fill="auto"/>
            <w:vAlign w:val="center"/>
          </w:tcPr>
          <w:p>
            <w:pPr>
              <w:pStyle w:val="68"/>
              <w:ind w:firstLine="0" w:firstLineChars="0"/>
              <w:rPr>
                <w:rFonts w:ascii="Times New Roman" w:hAnsi="Times New Roman" w:eastAsia="宋体" w:cs="Times New Roman"/>
                <w:color w:val="auto"/>
                <w:kern w:val="0"/>
                <w:sz w:val="24"/>
                <w:szCs w:val="24"/>
                <w:lang w:val="en-US" w:eastAsia="zh-CN" w:bidi="ar-SA"/>
              </w:rPr>
            </w:pPr>
            <w:r>
              <w:rPr>
                <w:rFonts w:hint="eastAsia"/>
                <w:color w:val="auto"/>
                <w:sz w:val="24"/>
                <w:szCs w:val="24"/>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restart"/>
            <w:vAlign w:val="center"/>
          </w:tcPr>
          <w:p>
            <w:pPr>
              <w:pStyle w:val="68"/>
              <w:rPr>
                <w:color w:val="auto"/>
                <w:sz w:val="24"/>
                <w:szCs w:val="24"/>
              </w:rPr>
            </w:pPr>
            <w:r>
              <w:rPr>
                <w:rFonts w:hint="eastAsia"/>
                <w:color w:val="auto"/>
                <w:sz w:val="24"/>
                <w:szCs w:val="24"/>
              </w:rPr>
              <w:t>危险废物</w:t>
            </w:r>
          </w:p>
        </w:tc>
        <w:tc>
          <w:tcPr>
            <w:tcW w:w="703" w:type="pct"/>
            <w:vAlign w:val="center"/>
          </w:tcPr>
          <w:p>
            <w:pPr>
              <w:pStyle w:val="68"/>
              <w:rPr>
                <w:color w:val="auto"/>
                <w:sz w:val="24"/>
                <w:szCs w:val="24"/>
              </w:rPr>
            </w:pPr>
            <w:r>
              <w:rPr>
                <w:rFonts w:hint="eastAsia"/>
                <w:color w:val="auto"/>
                <w:sz w:val="24"/>
                <w:szCs w:val="24"/>
              </w:rPr>
              <w:t>废矿物油</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color w:val="auto"/>
                <w:sz w:val="24"/>
                <w:szCs w:val="24"/>
                <w:lang w:eastAsia="zh-CN"/>
              </w:rPr>
            </w:pPr>
            <w:r>
              <w:rPr>
                <w:rFonts w:hint="eastAsia"/>
                <w:color w:val="auto"/>
                <w:sz w:val="24"/>
                <w:szCs w:val="24"/>
                <w:lang w:eastAsia="zh-CN"/>
              </w:rPr>
              <w:t>0</w:t>
            </w:r>
            <w:r>
              <w:rPr>
                <w:color w:val="auto"/>
                <w:sz w:val="24"/>
                <w:szCs w:val="24"/>
                <w:lang w:eastAsia="zh-CN"/>
              </w:rPr>
              <w:t>.6</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ind w:firstLine="0" w:firstLineChars="0"/>
              <w:rPr>
                <w:color w:val="auto"/>
                <w:sz w:val="24"/>
                <w:szCs w:val="24"/>
              </w:rPr>
            </w:pPr>
            <w:r>
              <w:rPr>
                <w:rFonts w:hint="eastAsia"/>
                <w:color w:val="auto"/>
                <w:sz w:val="24"/>
                <w:szCs w:val="24"/>
                <w:lang w:eastAsia="zh-CN"/>
              </w:rPr>
              <w:t>0</w:t>
            </w:r>
            <w:r>
              <w:rPr>
                <w:color w:val="auto"/>
                <w:sz w:val="24"/>
                <w:szCs w:val="24"/>
                <w:lang w:eastAsia="zh-CN"/>
              </w:rPr>
              <w:t>.6</w:t>
            </w:r>
          </w:p>
        </w:tc>
        <w:tc>
          <w:tcPr>
            <w:tcW w:w="571" w:type="pct"/>
            <w:shd w:val="clear" w:color="auto" w:fill="auto"/>
            <w:vAlign w:val="center"/>
          </w:tcPr>
          <w:p>
            <w:pPr>
              <w:pStyle w:val="68"/>
              <w:ind w:firstLine="0" w:firstLineChars="0"/>
              <w:rPr>
                <w:rFonts w:ascii="Times New Roman" w:hAnsi="Times New Roman" w:eastAsia="宋体" w:cs="Times New Roman"/>
                <w:color w:val="auto"/>
                <w:kern w:val="0"/>
                <w:sz w:val="24"/>
                <w:szCs w:val="24"/>
                <w:lang w:val="zh-CN" w:eastAsia="zh-CN" w:bidi="ar-SA"/>
              </w:rPr>
            </w:pPr>
            <w:r>
              <w:rPr>
                <w:rFonts w:hint="eastAsia"/>
                <w:color w:val="auto"/>
                <w:sz w:val="24"/>
                <w:szCs w:val="24"/>
                <w:lang w:val="en-US" w:eastAsia="zh-CN"/>
              </w:rPr>
              <w:t>+</w:t>
            </w:r>
            <w:r>
              <w:rPr>
                <w:rFonts w:hint="eastAsia"/>
                <w:color w:val="auto"/>
                <w:sz w:val="24"/>
                <w:szCs w:val="24"/>
                <w:lang w:eastAsia="zh-CN"/>
              </w:rPr>
              <w:t>0</w:t>
            </w:r>
            <w:r>
              <w:rPr>
                <w:color w:val="auto"/>
                <w:sz w:val="24"/>
                <w:szCs w:val="24"/>
                <w:lang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vAlign w:val="center"/>
          </w:tcPr>
          <w:p>
            <w:pPr>
              <w:pStyle w:val="68"/>
              <w:rPr>
                <w:rFonts w:hint="eastAsia"/>
                <w:color w:val="auto"/>
                <w:sz w:val="24"/>
                <w:szCs w:val="24"/>
              </w:rPr>
            </w:pPr>
          </w:p>
        </w:tc>
        <w:tc>
          <w:tcPr>
            <w:tcW w:w="703" w:type="pct"/>
            <w:vAlign w:val="center"/>
          </w:tcPr>
          <w:p>
            <w:pPr>
              <w:pStyle w:val="68"/>
              <w:rPr>
                <w:rFonts w:hint="eastAsia"/>
                <w:color w:val="auto"/>
                <w:sz w:val="24"/>
                <w:szCs w:val="24"/>
              </w:rPr>
            </w:pPr>
            <w:r>
              <w:rPr>
                <w:rFonts w:hint="default" w:ascii="Times New Roman" w:hAnsi="Times New Roman" w:eastAsia="宋体" w:cs="Times New Roman"/>
                <w:b w:val="0"/>
                <w:bCs w:val="0"/>
                <w:color w:val="auto"/>
                <w:sz w:val="24"/>
                <w:szCs w:val="24"/>
                <w:highlight w:val="none"/>
                <w:lang w:val="en-US" w:eastAsia="zh-CN"/>
              </w:rPr>
              <w:t>含油</w:t>
            </w:r>
            <w:r>
              <w:rPr>
                <w:rFonts w:hint="default" w:ascii="Times New Roman" w:hAnsi="Times New Roman" w:eastAsia="宋体" w:cs="Times New Roman"/>
                <w:b w:val="0"/>
                <w:bCs w:val="0"/>
                <w:color w:val="auto"/>
                <w:sz w:val="24"/>
                <w:szCs w:val="24"/>
                <w:highlight w:val="none"/>
                <w:shd w:val="clear" w:fill="FFFFFF"/>
                <w:lang w:val="en-US" w:eastAsia="zh-CN"/>
              </w:rPr>
              <w:t>废</w:t>
            </w:r>
            <w:r>
              <w:rPr>
                <w:rFonts w:hint="default" w:ascii="Times New Roman" w:hAnsi="Times New Roman" w:eastAsia="宋体" w:cs="Times New Roman"/>
                <w:b w:val="0"/>
                <w:bCs w:val="0"/>
                <w:color w:val="auto"/>
                <w:sz w:val="24"/>
                <w:szCs w:val="24"/>
                <w:highlight w:val="none"/>
                <w:lang w:val="en-US" w:eastAsia="zh-CN"/>
              </w:rPr>
              <w:t>抹布</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手套</w:t>
            </w:r>
          </w:p>
        </w:tc>
        <w:tc>
          <w:tcPr>
            <w:tcW w:w="667"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484"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90" w:type="pct"/>
            <w:vAlign w:val="center"/>
          </w:tcPr>
          <w:p>
            <w:pPr>
              <w:pStyle w:val="68"/>
              <w:rPr>
                <w:rFonts w:hint="default"/>
                <w:color w:val="auto"/>
                <w:sz w:val="24"/>
                <w:szCs w:val="24"/>
                <w:lang w:val="en-US" w:eastAsia="zh-CN"/>
              </w:rPr>
            </w:pPr>
            <w:r>
              <w:rPr>
                <w:rFonts w:hint="eastAsia"/>
                <w:color w:val="auto"/>
                <w:sz w:val="24"/>
                <w:szCs w:val="24"/>
                <w:lang w:val="en-US" w:eastAsia="zh-CN"/>
              </w:rPr>
              <w:t>0.02</w:t>
            </w:r>
          </w:p>
        </w:tc>
        <w:tc>
          <w:tcPr>
            <w:tcW w:w="528" w:type="pct"/>
            <w:vAlign w:val="center"/>
          </w:tcPr>
          <w:p>
            <w:pPr>
              <w:pStyle w:val="68"/>
              <w:ind w:firstLine="0" w:firstLineChars="0"/>
              <w:rPr>
                <w:color w:val="auto"/>
                <w:sz w:val="24"/>
                <w:szCs w:val="24"/>
              </w:rPr>
            </w:pPr>
            <w:r>
              <w:rPr>
                <w:rFonts w:hint="eastAsia" w:hAnsi="宋体"/>
                <w:snapToGrid w:val="0"/>
                <w:color w:val="auto"/>
                <w:sz w:val="24"/>
                <w:szCs w:val="24"/>
                <w:lang w:val="en-US" w:eastAsia="zh-CN"/>
              </w:rPr>
              <w:t>0</w:t>
            </w:r>
          </w:p>
        </w:tc>
        <w:tc>
          <w:tcPr>
            <w:tcW w:w="566" w:type="pct"/>
            <w:vAlign w:val="center"/>
          </w:tcPr>
          <w:p>
            <w:pPr>
              <w:pStyle w:val="68"/>
              <w:rPr>
                <w:rFonts w:hint="default"/>
                <w:color w:val="auto"/>
                <w:sz w:val="24"/>
                <w:szCs w:val="24"/>
                <w:lang w:val="en-US" w:eastAsia="zh-CN"/>
              </w:rPr>
            </w:pPr>
            <w:r>
              <w:rPr>
                <w:rFonts w:hint="eastAsia"/>
                <w:color w:val="auto"/>
                <w:sz w:val="24"/>
                <w:szCs w:val="24"/>
                <w:lang w:val="en-US" w:eastAsia="zh-CN"/>
              </w:rPr>
              <w:t>0.02</w:t>
            </w:r>
          </w:p>
        </w:tc>
        <w:tc>
          <w:tcPr>
            <w:tcW w:w="571" w:type="pct"/>
            <w:shd w:val="clear" w:color="auto" w:fill="auto"/>
            <w:vAlign w:val="center"/>
          </w:tcPr>
          <w:p>
            <w:pPr>
              <w:pStyle w:val="68"/>
              <w:ind w:firstLine="0" w:firstLineChars="0"/>
              <w:rPr>
                <w:rFonts w:hint="default" w:ascii="Times New Roman" w:hAnsi="Times New Roman" w:eastAsia="宋体" w:cs="Times New Roman"/>
                <w:color w:val="auto"/>
                <w:kern w:val="0"/>
                <w:sz w:val="24"/>
                <w:szCs w:val="24"/>
                <w:lang w:val="en-US" w:eastAsia="zh-CN" w:bidi="ar-SA"/>
              </w:rPr>
            </w:pPr>
            <w:r>
              <w:rPr>
                <w:rFonts w:hint="eastAsia"/>
                <w:color w:val="auto"/>
                <w:sz w:val="24"/>
                <w:szCs w:val="24"/>
                <w:lang w:val="en-US" w:eastAsia="zh-CN"/>
              </w:rPr>
              <w:t>+0.02</w:t>
            </w:r>
          </w:p>
        </w:tc>
      </w:tr>
    </w:tbl>
    <w:p>
      <w:pPr>
        <w:pStyle w:val="37"/>
        <w:spacing w:before="192" w:beforeLines="80" w:after="24"/>
        <w:ind w:firstLine="480"/>
        <w:jc w:val="left"/>
        <w:rPr>
          <w:rFonts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pgSz w:w="16838" w:h="11906" w:orient="landscape"/>
      <w:pgMar w:top="1800" w:right="1440" w:bottom="1800" w:left="1440" w:header="737" w:footer="851"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60001" w:csb1="00000000"/>
  </w:font>
  <w:font w:name="Wingdings 2">
    <w:panose1 w:val="05020102010507070707"/>
    <w:charset w:val="02"/>
    <w:family w:val="roman"/>
    <w:pitch w:val="default"/>
    <w:sig w:usb0="00000000" w:usb1="00000000" w:usb2="00000000" w:usb3="00000000" w:csb0="80000000" w:csb1="00000000"/>
  </w:font>
  <w:font w:name="TimesNewRomanPS-BoldMT">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FzBookMaker1DlFont10536875940">
    <w:altName w:val="Calibri"/>
    <w:panose1 w:val="00000000000000000000"/>
    <w:charset w:val="00"/>
    <w:family w:val="swiss"/>
    <w:pitch w:val="default"/>
    <w:sig w:usb0="00000000" w:usb1="00000000" w:usb2="00000000" w:usb3="00000000" w:csb0="00000001" w:csb1="00000000"/>
  </w:font>
  <w:font w:name="TimesNewRoman">
    <w:altName w:val="微软雅黑"/>
    <w:panose1 w:val="00000000000000000000"/>
    <w:charset w:val="00"/>
    <w:family w:val="roman"/>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rPr>
        <w:rFonts w:hint="eastAsia"/>
      </w:rPr>
      <w:t>--</w:t>
    </w:r>
    <w:r>
      <w:fldChar w:fldCharType="begin"/>
    </w:r>
    <w:r>
      <w:instrText xml:space="preserve">PAGE   \* MERGEFORMAT</w:instrText>
    </w:r>
    <w:r>
      <w:fldChar w:fldCharType="separate"/>
    </w:r>
    <w:r>
      <w:rPr>
        <w:lang w:val="zh-CN"/>
      </w:rPr>
      <w:t>ii</w:t>
    </w:r>
    <w: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Chars="111"/>
      <w:jc w:val="center"/>
    </w:pPr>
    <w:r>
      <w:rPr>
        <w:rFonts w:hint="eastAsia"/>
      </w:rPr>
      <w:t>--</w:t>
    </w:r>
    <w:r>
      <w:fldChar w:fldCharType="begin"/>
    </w:r>
    <w:r>
      <w:instrText xml:space="preserve">PAGE   \* MERGEFORMAT</w:instrText>
    </w:r>
    <w:r>
      <w:fldChar w:fldCharType="separate"/>
    </w:r>
    <w:r>
      <w:rPr>
        <w:lang w:val="zh-CN"/>
      </w:rPr>
      <w:t>99</w:t>
    </w:r>
    <w:r>
      <w:fldChar w:fldCharType="end"/>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0" w:firstLineChars="0"/>
      <w:jc w:val="left"/>
      <w:rPr>
        <w:rFonts w:hint="eastAsia" w:asciiTheme="majorEastAsia" w:hAnsiTheme="majorEastAsia" w:eastAsiaTheme="majorEastAsia"/>
        <w:b/>
        <w:lang w:eastAsia="zh-CN"/>
      </w:rPr>
    </w:pPr>
    <w:r>
      <w:rPr>
        <w:rFonts w:hint="eastAsia" w:asciiTheme="majorEastAsia" w:hAnsiTheme="majorEastAsia" w:eastAsiaTheme="majorEastAsia"/>
        <w:b/>
        <w:lang w:eastAsia="zh-CN"/>
      </w:rPr>
      <w:t>师宗县餐厨废弃油脂回收综合利用项目一期工程（重新报批）</w:t>
    </w:r>
  </w:p>
  <w:p>
    <w:pPr>
      <w:pStyle w:val="18"/>
      <w:pBdr>
        <w:bottom w:val="thickThinSmallGap" w:color="auto" w:sz="12" w:space="0"/>
      </w:pBdr>
      <w:ind w:firstLine="0" w:firstLineChars="0"/>
      <w:jc w:val="right"/>
      <w:rPr>
        <w:rFonts w:asciiTheme="majorEastAsia" w:hAnsiTheme="majorEastAsia" w:eastAsiaTheme="majorEastAsia"/>
        <w:b/>
      </w:rPr>
    </w:pPr>
    <w:r>
      <w:rPr>
        <w:rFonts w:hint="eastAsia" w:asciiTheme="majorEastAsia" w:hAnsiTheme="majorEastAsia" w:eastAsiaTheme="majorEastAsia"/>
        <w:b/>
      </w:rPr>
      <w:t>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3DE2E"/>
    <w:multiLevelType w:val="singleLevel"/>
    <w:tmpl w:val="86E3DE2E"/>
    <w:lvl w:ilvl="0" w:tentative="0">
      <w:start w:val="1"/>
      <w:numFmt w:val="decimal"/>
      <w:suff w:val="nothing"/>
      <w:lvlText w:val="%1、"/>
      <w:lvlJc w:val="left"/>
    </w:lvl>
  </w:abstractNum>
  <w:abstractNum w:abstractNumId="1">
    <w:nsid w:val="E6BD019A"/>
    <w:multiLevelType w:val="singleLevel"/>
    <w:tmpl w:val="E6BD019A"/>
    <w:lvl w:ilvl="0" w:tentative="0">
      <w:start w:val="1"/>
      <w:numFmt w:val="decimal"/>
      <w:suff w:val="nothing"/>
      <w:lvlText w:val="%1、"/>
      <w:lvlJc w:val="left"/>
    </w:lvl>
  </w:abstractNum>
  <w:abstractNum w:abstractNumId="2">
    <w:nsid w:val="0E8DD9AB"/>
    <w:multiLevelType w:val="singleLevel"/>
    <w:tmpl w:val="0E8DD9AB"/>
    <w:lvl w:ilvl="0" w:tentative="0">
      <w:start w:val="2"/>
      <w:numFmt w:val="decimal"/>
      <w:suff w:val="nothing"/>
      <w:lvlText w:val="%1、"/>
      <w:lvlJc w:val="left"/>
    </w:lvl>
  </w:abstractNum>
  <w:abstractNum w:abstractNumId="3">
    <w:nsid w:val="37E5799F"/>
    <w:multiLevelType w:val="singleLevel"/>
    <w:tmpl w:val="37E5799F"/>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 w:name="KSO_WPS_MARK_KEY" w:val="4a78c7f6-43bf-4693-ba49-98a067c11242"/>
  </w:docVars>
  <w:rsids>
    <w:rsidRoot w:val="00A14947"/>
    <w:rsid w:val="0000002E"/>
    <w:rsid w:val="000003AB"/>
    <w:rsid w:val="0000077D"/>
    <w:rsid w:val="00000796"/>
    <w:rsid w:val="000008E0"/>
    <w:rsid w:val="00000A30"/>
    <w:rsid w:val="00000AF6"/>
    <w:rsid w:val="00000C68"/>
    <w:rsid w:val="00000CA5"/>
    <w:rsid w:val="00000CB9"/>
    <w:rsid w:val="00000CDB"/>
    <w:rsid w:val="00000F33"/>
    <w:rsid w:val="0000111A"/>
    <w:rsid w:val="0000121E"/>
    <w:rsid w:val="000013BC"/>
    <w:rsid w:val="0000155A"/>
    <w:rsid w:val="000015B4"/>
    <w:rsid w:val="0000175C"/>
    <w:rsid w:val="00001812"/>
    <w:rsid w:val="00001CAA"/>
    <w:rsid w:val="00001F29"/>
    <w:rsid w:val="00002011"/>
    <w:rsid w:val="0000201D"/>
    <w:rsid w:val="00002025"/>
    <w:rsid w:val="000020FA"/>
    <w:rsid w:val="000021D1"/>
    <w:rsid w:val="0000225E"/>
    <w:rsid w:val="00002586"/>
    <w:rsid w:val="00002600"/>
    <w:rsid w:val="00002786"/>
    <w:rsid w:val="000027AF"/>
    <w:rsid w:val="000027E4"/>
    <w:rsid w:val="00002A3A"/>
    <w:rsid w:val="00002B1A"/>
    <w:rsid w:val="00002B2C"/>
    <w:rsid w:val="00002BA4"/>
    <w:rsid w:val="00002F49"/>
    <w:rsid w:val="0000321D"/>
    <w:rsid w:val="00003481"/>
    <w:rsid w:val="0000348E"/>
    <w:rsid w:val="000035DB"/>
    <w:rsid w:val="0000373E"/>
    <w:rsid w:val="000037C9"/>
    <w:rsid w:val="00003854"/>
    <w:rsid w:val="00003A78"/>
    <w:rsid w:val="00003B55"/>
    <w:rsid w:val="00003B64"/>
    <w:rsid w:val="00003D03"/>
    <w:rsid w:val="00003DA2"/>
    <w:rsid w:val="00003ED3"/>
    <w:rsid w:val="00003F33"/>
    <w:rsid w:val="00003F68"/>
    <w:rsid w:val="00003FF1"/>
    <w:rsid w:val="00003FF3"/>
    <w:rsid w:val="0000420B"/>
    <w:rsid w:val="000042F3"/>
    <w:rsid w:val="000045D6"/>
    <w:rsid w:val="0000462B"/>
    <w:rsid w:val="000046BE"/>
    <w:rsid w:val="0000487C"/>
    <w:rsid w:val="0000491F"/>
    <w:rsid w:val="00004A27"/>
    <w:rsid w:val="00004A7F"/>
    <w:rsid w:val="00004ACF"/>
    <w:rsid w:val="00004B45"/>
    <w:rsid w:val="00004F21"/>
    <w:rsid w:val="00004F61"/>
    <w:rsid w:val="0000539B"/>
    <w:rsid w:val="000053CC"/>
    <w:rsid w:val="000054B9"/>
    <w:rsid w:val="000054DF"/>
    <w:rsid w:val="000055FE"/>
    <w:rsid w:val="0000577C"/>
    <w:rsid w:val="000059E8"/>
    <w:rsid w:val="00005AC1"/>
    <w:rsid w:val="00005CE5"/>
    <w:rsid w:val="000060B3"/>
    <w:rsid w:val="00006137"/>
    <w:rsid w:val="0000625C"/>
    <w:rsid w:val="0000635E"/>
    <w:rsid w:val="00006380"/>
    <w:rsid w:val="00006548"/>
    <w:rsid w:val="00006812"/>
    <w:rsid w:val="000069BC"/>
    <w:rsid w:val="000069D8"/>
    <w:rsid w:val="00006A0A"/>
    <w:rsid w:val="00006D29"/>
    <w:rsid w:val="00006D79"/>
    <w:rsid w:val="00006DAB"/>
    <w:rsid w:val="00006E0D"/>
    <w:rsid w:val="000074CB"/>
    <w:rsid w:val="00007643"/>
    <w:rsid w:val="00007685"/>
    <w:rsid w:val="000076CD"/>
    <w:rsid w:val="00007A31"/>
    <w:rsid w:val="00007BA8"/>
    <w:rsid w:val="00007FBE"/>
    <w:rsid w:val="0001000C"/>
    <w:rsid w:val="0001025E"/>
    <w:rsid w:val="0001026D"/>
    <w:rsid w:val="00010551"/>
    <w:rsid w:val="00010599"/>
    <w:rsid w:val="000106A1"/>
    <w:rsid w:val="0001073E"/>
    <w:rsid w:val="00010742"/>
    <w:rsid w:val="00010977"/>
    <w:rsid w:val="00010CB8"/>
    <w:rsid w:val="00010D46"/>
    <w:rsid w:val="00010D8C"/>
    <w:rsid w:val="00010D9B"/>
    <w:rsid w:val="00010ED3"/>
    <w:rsid w:val="00010F1A"/>
    <w:rsid w:val="000112F1"/>
    <w:rsid w:val="00011436"/>
    <w:rsid w:val="000114C7"/>
    <w:rsid w:val="000115CF"/>
    <w:rsid w:val="00011676"/>
    <w:rsid w:val="00011686"/>
    <w:rsid w:val="000116B8"/>
    <w:rsid w:val="00011762"/>
    <w:rsid w:val="00011796"/>
    <w:rsid w:val="0001181D"/>
    <w:rsid w:val="0001182A"/>
    <w:rsid w:val="000118EB"/>
    <w:rsid w:val="000118FB"/>
    <w:rsid w:val="0001195D"/>
    <w:rsid w:val="00011AF3"/>
    <w:rsid w:val="00011B71"/>
    <w:rsid w:val="00011BB2"/>
    <w:rsid w:val="00011C84"/>
    <w:rsid w:val="00011D40"/>
    <w:rsid w:val="00012093"/>
    <w:rsid w:val="00012119"/>
    <w:rsid w:val="00012154"/>
    <w:rsid w:val="00012193"/>
    <w:rsid w:val="00012205"/>
    <w:rsid w:val="00012233"/>
    <w:rsid w:val="000122AF"/>
    <w:rsid w:val="000125BB"/>
    <w:rsid w:val="00012719"/>
    <w:rsid w:val="00012B35"/>
    <w:rsid w:val="00012B4D"/>
    <w:rsid w:val="00012C49"/>
    <w:rsid w:val="00012E44"/>
    <w:rsid w:val="0001311A"/>
    <w:rsid w:val="0001315A"/>
    <w:rsid w:val="000131C4"/>
    <w:rsid w:val="0001321D"/>
    <w:rsid w:val="00013422"/>
    <w:rsid w:val="000138A4"/>
    <w:rsid w:val="0001392D"/>
    <w:rsid w:val="00013A3A"/>
    <w:rsid w:val="00013ABB"/>
    <w:rsid w:val="00013C4E"/>
    <w:rsid w:val="00013D85"/>
    <w:rsid w:val="00013E0B"/>
    <w:rsid w:val="00013E1A"/>
    <w:rsid w:val="00013E1F"/>
    <w:rsid w:val="00013E5B"/>
    <w:rsid w:val="00013ECB"/>
    <w:rsid w:val="00013FB6"/>
    <w:rsid w:val="000142F2"/>
    <w:rsid w:val="00014300"/>
    <w:rsid w:val="000143A5"/>
    <w:rsid w:val="00014415"/>
    <w:rsid w:val="0001441E"/>
    <w:rsid w:val="00014662"/>
    <w:rsid w:val="00014969"/>
    <w:rsid w:val="000149DF"/>
    <w:rsid w:val="00014AA6"/>
    <w:rsid w:val="00014B97"/>
    <w:rsid w:val="00014EFD"/>
    <w:rsid w:val="00014FEE"/>
    <w:rsid w:val="000150E7"/>
    <w:rsid w:val="00015295"/>
    <w:rsid w:val="0001545F"/>
    <w:rsid w:val="00015674"/>
    <w:rsid w:val="00015773"/>
    <w:rsid w:val="00015952"/>
    <w:rsid w:val="000159BA"/>
    <w:rsid w:val="00015B30"/>
    <w:rsid w:val="00015B53"/>
    <w:rsid w:val="00015F83"/>
    <w:rsid w:val="00015FEB"/>
    <w:rsid w:val="00015FFE"/>
    <w:rsid w:val="00016156"/>
    <w:rsid w:val="00016363"/>
    <w:rsid w:val="000163E9"/>
    <w:rsid w:val="0001655A"/>
    <w:rsid w:val="00016B3D"/>
    <w:rsid w:val="00017027"/>
    <w:rsid w:val="0001704B"/>
    <w:rsid w:val="000172CB"/>
    <w:rsid w:val="00017471"/>
    <w:rsid w:val="00017504"/>
    <w:rsid w:val="00017570"/>
    <w:rsid w:val="00017686"/>
    <w:rsid w:val="000178A1"/>
    <w:rsid w:val="00017A50"/>
    <w:rsid w:val="00017AC1"/>
    <w:rsid w:val="00017ACA"/>
    <w:rsid w:val="00017AF5"/>
    <w:rsid w:val="00017B0B"/>
    <w:rsid w:val="00017C71"/>
    <w:rsid w:val="00017CC6"/>
    <w:rsid w:val="00017E35"/>
    <w:rsid w:val="00017E4A"/>
    <w:rsid w:val="00017EA7"/>
    <w:rsid w:val="00020298"/>
    <w:rsid w:val="0002030D"/>
    <w:rsid w:val="0002067B"/>
    <w:rsid w:val="000209D4"/>
    <w:rsid w:val="00020B5C"/>
    <w:rsid w:val="00020CDD"/>
    <w:rsid w:val="00020E2D"/>
    <w:rsid w:val="00020E3C"/>
    <w:rsid w:val="00020EA5"/>
    <w:rsid w:val="00020FDD"/>
    <w:rsid w:val="0002118F"/>
    <w:rsid w:val="0002124F"/>
    <w:rsid w:val="00021280"/>
    <w:rsid w:val="000213E5"/>
    <w:rsid w:val="000214A6"/>
    <w:rsid w:val="000214EA"/>
    <w:rsid w:val="00021753"/>
    <w:rsid w:val="0002177F"/>
    <w:rsid w:val="00021CF0"/>
    <w:rsid w:val="00021DAC"/>
    <w:rsid w:val="00021E3D"/>
    <w:rsid w:val="000220AA"/>
    <w:rsid w:val="00022109"/>
    <w:rsid w:val="00022167"/>
    <w:rsid w:val="0002246D"/>
    <w:rsid w:val="000226CF"/>
    <w:rsid w:val="000227B6"/>
    <w:rsid w:val="000228D2"/>
    <w:rsid w:val="000228D7"/>
    <w:rsid w:val="00022AF5"/>
    <w:rsid w:val="00022B55"/>
    <w:rsid w:val="00022BC8"/>
    <w:rsid w:val="00022D76"/>
    <w:rsid w:val="00022E0E"/>
    <w:rsid w:val="00022E28"/>
    <w:rsid w:val="00022F03"/>
    <w:rsid w:val="00023245"/>
    <w:rsid w:val="000233D5"/>
    <w:rsid w:val="0002344B"/>
    <w:rsid w:val="000234A7"/>
    <w:rsid w:val="0002376E"/>
    <w:rsid w:val="000237ED"/>
    <w:rsid w:val="00023AB2"/>
    <w:rsid w:val="00023B0D"/>
    <w:rsid w:val="00023D29"/>
    <w:rsid w:val="00023D4A"/>
    <w:rsid w:val="00023EC4"/>
    <w:rsid w:val="00023EF4"/>
    <w:rsid w:val="00023F3F"/>
    <w:rsid w:val="00023FF9"/>
    <w:rsid w:val="00024128"/>
    <w:rsid w:val="000242FE"/>
    <w:rsid w:val="00024500"/>
    <w:rsid w:val="00024615"/>
    <w:rsid w:val="000247A9"/>
    <w:rsid w:val="000247D5"/>
    <w:rsid w:val="000247E8"/>
    <w:rsid w:val="00024910"/>
    <w:rsid w:val="00024936"/>
    <w:rsid w:val="00024983"/>
    <w:rsid w:val="00024985"/>
    <w:rsid w:val="00024A32"/>
    <w:rsid w:val="00024A68"/>
    <w:rsid w:val="00024AA8"/>
    <w:rsid w:val="00024ACD"/>
    <w:rsid w:val="00024CF0"/>
    <w:rsid w:val="00025209"/>
    <w:rsid w:val="0002522D"/>
    <w:rsid w:val="00025470"/>
    <w:rsid w:val="000254D8"/>
    <w:rsid w:val="00025579"/>
    <w:rsid w:val="0002566E"/>
    <w:rsid w:val="00025753"/>
    <w:rsid w:val="00025A7A"/>
    <w:rsid w:val="00025F9B"/>
    <w:rsid w:val="00025FB7"/>
    <w:rsid w:val="0002605F"/>
    <w:rsid w:val="000263BA"/>
    <w:rsid w:val="000264A9"/>
    <w:rsid w:val="000266C9"/>
    <w:rsid w:val="00026754"/>
    <w:rsid w:val="0002677F"/>
    <w:rsid w:val="00026801"/>
    <w:rsid w:val="00026814"/>
    <w:rsid w:val="000268D7"/>
    <w:rsid w:val="00026A24"/>
    <w:rsid w:val="00026A6B"/>
    <w:rsid w:val="00026B3F"/>
    <w:rsid w:val="00026B82"/>
    <w:rsid w:val="00026CBE"/>
    <w:rsid w:val="00026F3C"/>
    <w:rsid w:val="00026FAD"/>
    <w:rsid w:val="00026FC0"/>
    <w:rsid w:val="00027196"/>
    <w:rsid w:val="00027220"/>
    <w:rsid w:val="00027293"/>
    <w:rsid w:val="000272A6"/>
    <w:rsid w:val="000273CC"/>
    <w:rsid w:val="0002742E"/>
    <w:rsid w:val="0002785D"/>
    <w:rsid w:val="00027897"/>
    <w:rsid w:val="000278F7"/>
    <w:rsid w:val="00027981"/>
    <w:rsid w:val="00027D28"/>
    <w:rsid w:val="00027D82"/>
    <w:rsid w:val="00027E21"/>
    <w:rsid w:val="00027E46"/>
    <w:rsid w:val="000301F6"/>
    <w:rsid w:val="000303AB"/>
    <w:rsid w:val="000304C9"/>
    <w:rsid w:val="0003054C"/>
    <w:rsid w:val="000307B6"/>
    <w:rsid w:val="00030A31"/>
    <w:rsid w:val="00030A9A"/>
    <w:rsid w:val="00030B32"/>
    <w:rsid w:val="0003144C"/>
    <w:rsid w:val="00031552"/>
    <w:rsid w:val="000317A0"/>
    <w:rsid w:val="0003193D"/>
    <w:rsid w:val="00031BCC"/>
    <w:rsid w:val="00031C45"/>
    <w:rsid w:val="00031CE6"/>
    <w:rsid w:val="00031D70"/>
    <w:rsid w:val="00031E19"/>
    <w:rsid w:val="00031ECE"/>
    <w:rsid w:val="00032002"/>
    <w:rsid w:val="000321BA"/>
    <w:rsid w:val="000322AF"/>
    <w:rsid w:val="00032659"/>
    <w:rsid w:val="00032734"/>
    <w:rsid w:val="000327E9"/>
    <w:rsid w:val="000327EB"/>
    <w:rsid w:val="00032A65"/>
    <w:rsid w:val="00032B95"/>
    <w:rsid w:val="00032D81"/>
    <w:rsid w:val="00032FA9"/>
    <w:rsid w:val="000331F2"/>
    <w:rsid w:val="00033410"/>
    <w:rsid w:val="0003347D"/>
    <w:rsid w:val="0003356D"/>
    <w:rsid w:val="00033643"/>
    <w:rsid w:val="000337DA"/>
    <w:rsid w:val="000338C7"/>
    <w:rsid w:val="00033915"/>
    <w:rsid w:val="0003397D"/>
    <w:rsid w:val="00033A8F"/>
    <w:rsid w:val="00033AC9"/>
    <w:rsid w:val="00033B38"/>
    <w:rsid w:val="00033C32"/>
    <w:rsid w:val="00033C46"/>
    <w:rsid w:val="00033D7A"/>
    <w:rsid w:val="0003410A"/>
    <w:rsid w:val="0003417B"/>
    <w:rsid w:val="00034190"/>
    <w:rsid w:val="00034225"/>
    <w:rsid w:val="0003424F"/>
    <w:rsid w:val="000342AE"/>
    <w:rsid w:val="000342B7"/>
    <w:rsid w:val="000342DC"/>
    <w:rsid w:val="000343A8"/>
    <w:rsid w:val="000344EC"/>
    <w:rsid w:val="00034641"/>
    <w:rsid w:val="0003483D"/>
    <w:rsid w:val="00034A26"/>
    <w:rsid w:val="00034A40"/>
    <w:rsid w:val="00034B46"/>
    <w:rsid w:val="00034C4B"/>
    <w:rsid w:val="00034FD1"/>
    <w:rsid w:val="00035035"/>
    <w:rsid w:val="00035363"/>
    <w:rsid w:val="0003537B"/>
    <w:rsid w:val="00035611"/>
    <w:rsid w:val="00035689"/>
    <w:rsid w:val="000358CD"/>
    <w:rsid w:val="000358E8"/>
    <w:rsid w:val="000358E9"/>
    <w:rsid w:val="00035921"/>
    <w:rsid w:val="00035962"/>
    <w:rsid w:val="0003597C"/>
    <w:rsid w:val="00035A55"/>
    <w:rsid w:val="00035A8E"/>
    <w:rsid w:val="00035B5B"/>
    <w:rsid w:val="00035FA5"/>
    <w:rsid w:val="000360BB"/>
    <w:rsid w:val="000360C3"/>
    <w:rsid w:val="00036112"/>
    <w:rsid w:val="000361A1"/>
    <w:rsid w:val="000363D5"/>
    <w:rsid w:val="00036411"/>
    <w:rsid w:val="000364CA"/>
    <w:rsid w:val="000364CE"/>
    <w:rsid w:val="00036570"/>
    <w:rsid w:val="00036773"/>
    <w:rsid w:val="000367AC"/>
    <w:rsid w:val="0003699B"/>
    <w:rsid w:val="00036AA5"/>
    <w:rsid w:val="00036C7F"/>
    <w:rsid w:val="00036D9F"/>
    <w:rsid w:val="00036EAA"/>
    <w:rsid w:val="00036F3D"/>
    <w:rsid w:val="00036F5D"/>
    <w:rsid w:val="00036F7C"/>
    <w:rsid w:val="00036F97"/>
    <w:rsid w:val="00037113"/>
    <w:rsid w:val="0003740B"/>
    <w:rsid w:val="00037793"/>
    <w:rsid w:val="000377A7"/>
    <w:rsid w:val="00037807"/>
    <w:rsid w:val="00037899"/>
    <w:rsid w:val="0003789F"/>
    <w:rsid w:val="00037A1E"/>
    <w:rsid w:val="00037A7B"/>
    <w:rsid w:val="00037A8A"/>
    <w:rsid w:val="00037CE7"/>
    <w:rsid w:val="00037F22"/>
    <w:rsid w:val="00037FBD"/>
    <w:rsid w:val="00037FDD"/>
    <w:rsid w:val="0004010E"/>
    <w:rsid w:val="000401ED"/>
    <w:rsid w:val="000402D0"/>
    <w:rsid w:val="0004036D"/>
    <w:rsid w:val="000403D1"/>
    <w:rsid w:val="00040527"/>
    <w:rsid w:val="00040559"/>
    <w:rsid w:val="000405A9"/>
    <w:rsid w:val="000405CD"/>
    <w:rsid w:val="000405E6"/>
    <w:rsid w:val="0004065C"/>
    <w:rsid w:val="0004067C"/>
    <w:rsid w:val="000407B7"/>
    <w:rsid w:val="000408B7"/>
    <w:rsid w:val="00040988"/>
    <w:rsid w:val="00040994"/>
    <w:rsid w:val="00040B3E"/>
    <w:rsid w:val="00040BD6"/>
    <w:rsid w:val="00040E77"/>
    <w:rsid w:val="00040E98"/>
    <w:rsid w:val="00040EB4"/>
    <w:rsid w:val="00040EC8"/>
    <w:rsid w:val="00040EE0"/>
    <w:rsid w:val="00040FE8"/>
    <w:rsid w:val="0004126A"/>
    <w:rsid w:val="000413D8"/>
    <w:rsid w:val="000414F6"/>
    <w:rsid w:val="000416A9"/>
    <w:rsid w:val="00041820"/>
    <w:rsid w:val="000419D1"/>
    <w:rsid w:val="00041A5F"/>
    <w:rsid w:val="00041A9B"/>
    <w:rsid w:val="00041C71"/>
    <w:rsid w:val="00041C9B"/>
    <w:rsid w:val="00041DF7"/>
    <w:rsid w:val="00041E37"/>
    <w:rsid w:val="00041F78"/>
    <w:rsid w:val="00042123"/>
    <w:rsid w:val="00042169"/>
    <w:rsid w:val="0004246C"/>
    <w:rsid w:val="0004249F"/>
    <w:rsid w:val="000425E7"/>
    <w:rsid w:val="00042684"/>
    <w:rsid w:val="000429D3"/>
    <w:rsid w:val="000429DB"/>
    <w:rsid w:val="00042A03"/>
    <w:rsid w:val="00042B54"/>
    <w:rsid w:val="00042B73"/>
    <w:rsid w:val="00042E92"/>
    <w:rsid w:val="00042ECF"/>
    <w:rsid w:val="00042F0C"/>
    <w:rsid w:val="00042F49"/>
    <w:rsid w:val="0004330D"/>
    <w:rsid w:val="00043605"/>
    <w:rsid w:val="0004364B"/>
    <w:rsid w:val="0004366A"/>
    <w:rsid w:val="00043AE7"/>
    <w:rsid w:val="00043B50"/>
    <w:rsid w:val="00043B5D"/>
    <w:rsid w:val="0004404D"/>
    <w:rsid w:val="000440B6"/>
    <w:rsid w:val="000440DF"/>
    <w:rsid w:val="0004413D"/>
    <w:rsid w:val="0004417B"/>
    <w:rsid w:val="000442D2"/>
    <w:rsid w:val="000442D6"/>
    <w:rsid w:val="00044335"/>
    <w:rsid w:val="00044547"/>
    <w:rsid w:val="00044566"/>
    <w:rsid w:val="0004458B"/>
    <w:rsid w:val="00044795"/>
    <w:rsid w:val="00044A17"/>
    <w:rsid w:val="00044BC8"/>
    <w:rsid w:val="00044CCF"/>
    <w:rsid w:val="00044F81"/>
    <w:rsid w:val="00044FAF"/>
    <w:rsid w:val="0004515E"/>
    <w:rsid w:val="0004529A"/>
    <w:rsid w:val="00045382"/>
    <w:rsid w:val="000453DB"/>
    <w:rsid w:val="000454B5"/>
    <w:rsid w:val="00045614"/>
    <w:rsid w:val="000457DF"/>
    <w:rsid w:val="00045818"/>
    <w:rsid w:val="00045890"/>
    <w:rsid w:val="00045D7E"/>
    <w:rsid w:val="00045EDB"/>
    <w:rsid w:val="00045FFB"/>
    <w:rsid w:val="0004608E"/>
    <w:rsid w:val="00046441"/>
    <w:rsid w:val="000465C0"/>
    <w:rsid w:val="000467D2"/>
    <w:rsid w:val="000468E2"/>
    <w:rsid w:val="000469F0"/>
    <w:rsid w:val="00046AB3"/>
    <w:rsid w:val="00046BFB"/>
    <w:rsid w:val="00046D2E"/>
    <w:rsid w:val="00046DBA"/>
    <w:rsid w:val="00046DD6"/>
    <w:rsid w:val="00046E37"/>
    <w:rsid w:val="00047074"/>
    <w:rsid w:val="0004729C"/>
    <w:rsid w:val="00047449"/>
    <w:rsid w:val="00047556"/>
    <w:rsid w:val="00047559"/>
    <w:rsid w:val="000475E3"/>
    <w:rsid w:val="00047615"/>
    <w:rsid w:val="00047635"/>
    <w:rsid w:val="000476EC"/>
    <w:rsid w:val="0004773F"/>
    <w:rsid w:val="00047789"/>
    <w:rsid w:val="000477AD"/>
    <w:rsid w:val="00047A1F"/>
    <w:rsid w:val="00047BD3"/>
    <w:rsid w:val="00047C9B"/>
    <w:rsid w:val="00047D13"/>
    <w:rsid w:val="00047D56"/>
    <w:rsid w:val="00047F59"/>
    <w:rsid w:val="00050059"/>
    <w:rsid w:val="00050148"/>
    <w:rsid w:val="0005022B"/>
    <w:rsid w:val="000502DC"/>
    <w:rsid w:val="000502E2"/>
    <w:rsid w:val="000503FB"/>
    <w:rsid w:val="0005041F"/>
    <w:rsid w:val="00050445"/>
    <w:rsid w:val="00050493"/>
    <w:rsid w:val="0005050A"/>
    <w:rsid w:val="00050694"/>
    <w:rsid w:val="000507DD"/>
    <w:rsid w:val="00050893"/>
    <w:rsid w:val="00050910"/>
    <w:rsid w:val="00050B2E"/>
    <w:rsid w:val="00050C45"/>
    <w:rsid w:val="00050D01"/>
    <w:rsid w:val="00050F6A"/>
    <w:rsid w:val="00050FA1"/>
    <w:rsid w:val="00050FE8"/>
    <w:rsid w:val="00050FED"/>
    <w:rsid w:val="00051424"/>
    <w:rsid w:val="000515BC"/>
    <w:rsid w:val="000516B1"/>
    <w:rsid w:val="0005179D"/>
    <w:rsid w:val="000517E7"/>
    <w:rsid w:val="000518CA"/>
    <w:rsid w:val="00051AB1"/>
    <w:rsid w:val="00051F03"/>
    <w:rsid w:val="0005209C"/>
    <w:rsid w:val="000520D5"/>
    <w:rsid w:val="000521D3"/>
    <w:rsid w:val="0005231D"/>
    <w:rsid w:val="0005255A"/>
    <w:rsid w:val="00052566"/>
    <w:rsid w:val="00052624"/>
    <w:rsid w:val="00052772"/>
    <w:rsid w:val="00052856"/>
    <w:rsid w:val="00052864"/>
    <w:rsid w:val="0005288F"/>
    <w:rsid w:val="0005290E"/>
    <w:rsid w:val="00052A00"/>
    <w:rsid w:val="00052A06"/>
    <w:rsid w:val="00052B8F"/>
    <w:rsid w:val="00052BEA"/>
    <w:rsid w:val="00052E62"/>
    <w:rsid w:val="0005346A"/>
    <w:rsid w:val="000534B3"/>
    <w:rsid w:val="000534C9"/>
    <w:rsid w:val="00053825"/>
    <w:rsid w:val="000538E3"/>
    <w:rsid w:val="00053972"/>
    <w:rsid w:val="00053A72"/>
    <w:rsid w:val="00053AB4"/>
    <w:rsid w:val="00053ADF"/>
    <w:rsid w:val="00053B4A"/>
    <w:rsid w:val="00053CB6"/>
    <w:rsid w:val="00053E28"/>
    <w:rsid w:val="00053EA5"/>
    <w:rsid w:val="00053F69"/>
    <w:rsid w:val="00053FBD"/>
    <w:rsid w:val="000541BF"/>
    <w:rsid w:val="00054239"/>
    <w:rsid w:val="00054278"/>
    <w:rsid w:val="00054463"/>
    <w:rsid w:val="0005450E"/>
    <w:rsid w:val="00054689"/>
    <w:rsid w:val="000546A0"/>
    <w:rsid w:val="00054710"/>
    <w:rsid w:val="0005479D"/>
    <w:rsid w:val="000547AB"/>
    <w:rsid w:val="000547C0"/>
    <w:rsid w:val="000549A0"/>
    <w:rsid w:val="000549B6"/>
    <w:rsid w:val="00054A6F"/>
    <w:rsid w:val="00054C3C"/>
    <w:rsid w:val="00054D2E"/>
    <w:rsid w:val="00054E33"/>
    <w:rsid w:val="00054EAC"/>
    <w:rsid w:val="00054EE7"/>
    <w:rsid w:val="00054F61"/>
    <w:rsid w:val="0005503F"/>
    <w:rsid w:val="00055317"/>
    <w:rsid w:val="00055422"/>
    <w:rsid w:val="000554B5"/>
    <w:rsid w:val="000554EF"/>
    <w:rsid w:val="000555FA"/>
    <w:rsid w:val="000556F3"/>
    <w:rsid w:val="000559C8"/>
    <w:rsid w:val="00055A17"/>
    <w:rsid w:val="00055AE7"/>
    <w:rsid w:val="00055BE0"/>
    <w:rsid w:val="00055D1C"/>
    <w:rsid w:val="00055E15"/>
    <w:rsid w:val="00055E39"/>
    <w:rsid w:val="00055E43"/>
    <w:rsid w:val="00055E4B"/>
    <w:rsid w:val="00055FDB"/>
    <w:rsid w:val="00056165"/>
    <w:rsid w:val="000561CB"/>
    <w:rsid w:val="000563B7"/>
    <w:rsid w:val="000564A9"/>
    <w:rsid w:val="00056657"/>
    <w:rsid w:val="0005681D"/>
    <w:rsid w:val="000568F6"/>
    <w:rsid w:val="00056947"/>
    <w:rsid w:val="00056A01"/>
    <w:rsid w:val="00056A40"/>
    <w:rsid w:val="00056BAE"/>
    <w:rsid w:val="00056BF5"/>
    <w:rsid w:val="00056C0D"/>
    <w:rsid w:val="00056C7D"/>
    <w:rsid w:val="00056D26"/>
    <w:rsid w:val="00056E7D"/>
    <w:rsid w:val="00056F64"/>
    <w:rsid w:val="00056FD6"/>
    <w:rsid w:val="00057118"/>
    <w:rsid w:val="00057144"/>
    <w:rsid w:val="000571CD"/>
    <w:rsid w:val="0005731E"/>
    <w:rsid w:val="0005732E"/>
    <w:rsid w:val="00057366"/>
    <w:rsid w:val="000573A8"/>
    <w:rsid w:val="00057400"/>
    <w:rsid w:val="00057482"/>
    <w:rsid w:val="0005751D"/>
    <w:rsid w:val="00057586"/>
    <w:rsid w:val="00057783"/>
    <w:rsid w:val="00057842"/>
    <w:rsid w:val="00057864"/>
    <w:rsid w:val="0005794D"/>
    <w:rsid w:val="000579B5"/>
    <w:rsid w:val="00057A2C"/>
    <w:rsid w:val="00057AC3"/>
    <w:rsid w:val="00057BD6"/>
    <w:rsid w:val="00057C19"/>
    <w:rsid w:val="00057C83"/>
    <w:rsid w:val="00057DBC"/>
    <w:rsid w:val="00057DC8"/>
    <w:rsid w:val="000601C7"/>
    <w:rsid w:val="000601E4"/>
    <w:rsid w:val="0006026F"/>
    <w:rsid w:val="000604A5"/>
    <w:rsid w:val="00060AB8"/>
    <w:rsid w:val="00060B3B"/>
    <w:rsid w:val="00060B42"/>
    <w:rsid w:val="00060E64"/>
    <w:rsid w:val="00060EAD"/>
    <w:rsid w:val="00060F94"/>
    <w:rsid w:val="000610B6"/>
    <w:rsid w:val="000610BE"/>
    <w:rsid w:val="000610CB"/>
    <w:rsid w:val="00061338"/>
    <w:rsid w:val="0006144B"/>
    <w:rsid w:val="0006151A"/>
    <w:rsid w:val="000616CA"/>
    <w:rsid w:val="000617C7"/>
    <w:rsid w:val="00061870"/>
    <w:rsid w:val="0006190A"/>
    <w:rsid w:val="00061AB7"/>
    <w:rsid w:val="00061B13"/>
    <w:rsid w:val="00061B1F"/>
    <w:rsid w:val="00061BF0"/>
    <w:rsid w:val="00061E05"/>
    <w:rsid w:val="00061E06"/>
    <w:rsid w:val="000621C5"/>
    <w:rsid w:val="0006222D"/>
    <w:rsid w:val="00062283"/>
    <w:rsid w:val="000622CC"/>
    <w:rsid w:val="00062332"/>
    <w:rsid w:val="000624F9"/>
    <w:rsid w:val="00062529"/>
    <w:rsid w:val="00062582"/>
    <w:rsid w:val="000628B9"/>
    <w:rsid w:val="00062947"/>
    <w:rsid w:val="000629B7"/>
    <w:rsid w:val="000629D1"/>
    <w:rsid w:val="00062AB9"/>
    <w:rsid w:val="00062ADB"/>
    <w:rsid w:val="00062BF4"/>
    <w:rsid w:val="00062D0F"/>
    <w:rsid w:val="00062F70"/>
    <w:rsid w:val="000630E4"/>
    <w:rsid w:val="000631DB"/>
    <w:rsid w:val="000633FE"/>
    <w:rsid w:val="000635C2"/>
    <w:rsid w:val="00063632"/>
    <w:rsid w:val="00063694"/>
    <w:rsid w:val="00063884"/>
    <w:rsid w:val="000638DD"/>
    <w:rsid w:val="00063972"/>
    <w:rsid w:val="00063A9E"/>
    <w:rsid w:val="00063B24"/>
    <w:rsid w:val="00063B35"/>
    <w:rsid w:val="00063E30"/>
    <w:rsid w:val="00063F73"/>
    <w:rsid w:val="00064350"/>
    <w:rsid w:val="0006440F"/>
    <w:rsid w:val="00064513"/>
    <w:rsid w:val="0006459B"/>
    <w:rsid w:val="000645E8"/>
    <w:rsid w:val="000645EA"/>
    <w:rsid w:val="00064614"/>
    <w:rsid w:val="00064642"/>
    <w:rsid w:val="00064668"/>
    <w:rsid w:val="000646E3"/>
    <w:rsid w:val="000646FB"/>
    <w:rsid w:val="00064716"/>
    <w:rsid w:val="00064767"/>
    <w:rsid w:val="000647E5"/>
    <w:rsid w:val="00064907"/>
    <w:rsid w:val="0006498D"/>
    <w:rsid w:val="00064C3C"/>
    <w:rsid w:val="00064F67"/>
    <w:rsid w:val="00064F95"/>
    <w:rsid w:val="00064FC8"/>
    <w:rsid w:val="000650F3"/>
    <w:rsid w:val="00065121"/>
    <w:rsid w:val="00065306"/>
    <w:rsid w:val="0006536A"/>
    <w:rsid w:val="0006539C"/>
    <w:rsid w:val="0006562F"/>
    <w:rsid w:val="0006582F"/>
    <w:rsid w:val="00065868"/>
    <w:rsid w:val="00065994"/>
    <w:rsid w:val="00065A1F"/>
    <w:rsid w:val="00065A36"/>
    <w:rsid w:val="00065AD4"/>
    <w:rsid w:val="00065AEE"/>
    <w:rsid w:val="00065BC3"/>
    <w:rsid w:val="00065E94"/>
    <w:rsid w:val="00065EC1"/>
    <w:rsid w:val="00066012"/>
    <w:rsid w:val="00066027"/>
    <w:rsid w:val="00066032"/>
    <w:rsid w:val="0006622A"/>
    <w:rsid w:val="000664CE"/>
    <w:rsid w:val="00066573"/>
    <w:rsid w:val="00066627"/>
    <w:rsid w:val="00066764"/>
    <w:rsid w:val="000668C2"/>
    <w:rsid w:val="00066933"/>
    <w:rsid w:val="00066AAA"/>
    <w:rsid w:val="00066C33"/>
    <w:rsid w:val="00066D42"/>
    <w:rsid w:val="00066E1E"/>
    <w:rsid w:val="00066ECA"/>
    <w:rsid w:val="00066FD8"/>
    <w:rsid w:val="00067025"/>
    <w:rsid w:val="0006704E"/>
    <w:rsid w:val="00067199"/>
    <w:rsid w:val="00067285"/>
    <w:rsid w:val="0006729A"/>
    <w:rsid w:val="000672B8"/>
    <w:rsid w:val="000673C3"/>
    <w:rsid w:val="000675E1"/>
    <w:rsid w:val="000676AC"/>
    <w:rsid w:val="000676F9"/>
    <w:rsid w:val="0006778C"/>
    <w:rsid w:val="00067898"/>
    <w:rsid w:val="000678ED"/>
    <w:rsid w:val="000679A6"/>
    <w:rsid w:val="00067A3F"/>
    <w:rsid w:val="00067BAC"/>
    <w:rsid w:val="00067C12"/>
    <w:rsid w:val="00067C56"/>
    <w:rsid w:val="00067CAD"/>
    <w:rsid w:val="00067CDE"/>
    <w:rsid w:val="00067DB3"/>
    <w:rsid w:val="00070178"/>
    <w:rsid w:val="0007026C"/>
    <w:rsid w:val="0007037E"/>
    <w:rsid w:val="00070729"/>
    <w:rsid w:val="0007073F"/>
    <w:rsid w:val="00070930"/>
    <w:rsid w:val="000709FE"/>
    <w:rsid w:val="00070B07"/>
    <w:rsid w:val="00070E6F"/>
    <w:rsid w:val="0007107C"/>
    <w:rsid w:val="00071106"/>
    <w:rsid w:val="00071175"/>
    <w:rsid w:val="00071201"/>
    <w:rsid w:val="0007131A"/>
    <w:rsid w:val="00071934"/>
    <w:rsid w:val="000719EC"/>
    <w:rsid w:val="00071C8A"/>
    <w:rsid w:val="00071D1B"/>
    <w:rsid w:val="00071E0A"/>
    <w:rsid w:val="00071E3B"/>
    <w:rsid w:val="00071EBF"/>
    <w:rsid w:val="00071FFD"/>
    <w:rsid w:val="000724CB"/>
    <w:rsid w:val="0007263A"/>
    <w:rsid w:val="000727B6"/>
    <w:rsid w:val="00072805"/>
    <w:rsid w:val="0007280A"/>
    <w:rsid w:val="0007288E"/>
    <w:rsid w:val="00072909"/>
    <w:rsid w:val="000729E5"/>
    <w:rsid w:val="00072A56"/>
    <w:rsid w:val="00072B22"/>
    <w:rsid w:val="00072B72"/>
    <w:rsid w:val="00072C32"/>
    <w:rsid w:val="00072D08"/>
    <w:rsid w:val="00072DD5"/>
    <w:rsid w:val="00072F65"/>
    <w:rsid w:val="0007320E"/>
    <w:rsid w:val="000732A0"/>
    <w:rsid w:val="0007338D"/>
    <w:rsid w:val="000733C4"/>
    <w:rsid w:val="00073427"/>
    <w:rsid w:val="0007349E"/>
    <w:rsid w:val="000734B6"/>
    <w:rsid w:val="000734F1"/>
    <w:rsid w:val="00073558"/>
    <w:rsid w:val="00073572"/>
    <w:rsid w:val="000735D0"/>
    <w:rsid w:val="00073769"/>
    <w:rsid w:val="000737E4"/>
    <w:rsid w:val="00073BF7"/>
    <w:rsid w:val="00073D2C"/>
    <w:rsid w:val="00073E29"/>
    <w:rsid w:val="00074189"/>
    <w:rsid w:val="0007420A"/>
    <w:rsid w:val="00074214"/>
    <w:rsid w:val="0007436F"/>
    <w:rsid w:val="000746A3"/>
    <w:rsid w:val="00074783"/>
    <w:rsid w:val="000748A9"/>
    <w:rsid w:val="000748D5"/>
    <w:rsid w:val="0007495F"/>
    <w:rsid w:val="00074C61"/>
    <w:rsid w:val="00074CA6"/>
    <w:rsid w:val="00074CB4"/>
    <w:rsid w:val="00074D75"/>
    <w:rsid w:val="00074E34"/>
    <w:rsid w:val="00074E81"/>
    <w:rsid w:val="00074EDE"/>
    <w:rsid w:val="00075044"/>
    <w:rsid w:val="00075058"/>
    <w:rsid w:val="00075359"/>
    <w:rsid w:val="00075384"/>
    <w:rsid w:val="0007546A"/>
    <w:rsid w:val="000754DB"/>
    <w:rsid w:val="00075578"/>
    <w:rsid w:val="000755AF"/>
    <w:rsid w:val="0007582B"/>
    <w:rsid w:val="00075A64"/>
    <w:rsid w:val="00075ACB"/>
    <w:rsid w:val="00075DCA"/>
    <w:rsid w:val="00075FEC"/>
    <w:rsid w:val="0007602E"/>
    <w:rsid w:val="00076176"/>
    <w:rsid w:val="00076221"/>
    <w:rsid w:val="00076285"/>
    <w:rsid w:val="000762DA"/>
    <w:rsid w:val="00076319"/>
    <w:rsid w:val="000765B5"/>
    <w:rsid w:val="0007662A"/>
    <w:rsid w:val="000767FB"/>
    <w:rsid w:val="000768F1"/>
    <w:rsid w:val="0007697E"/>
    <w:rsid w:val="00076CF1"/>
    <w:rsid w:val="00076EC8"/>
    <w:rsid w:val="00077361"/>
    <w:rsid w:val="0007746F"/>
    <w:rsid w:val="00077543"/>
    <w:rsid w:val="00077568"/>
    <w:rsid w:val="00077798"/>
    <w:rsid w:val="0007792A"/>
    <w:rsid w:val="00077989"/>
    <w:rsid w:val="000779D2"/>
    <w:rsid w:val="00077A18"/>
    <w:rsid w:val="00077A57"/>
    <w:rsid w:val="00077A92"/>
    <w:rsid w:val="00077B7C"/>
    <w:rsid w:val="00077BA3"/>
    <w:rsid w:val="00077BC1"/>
    <w:rsid w:val="00077C4D"/>
    <w:rsid w:val="00077C52"/>
    <w:rsid w:val="00077C87"/>
    <w:rsid w:val="00077D5E"/>
    <w:rsid w:val="00077E07"/>
    <w:rsid w:val="00077E10"/>
    <w:rsid w:val="00077E74"/>
    <w:rsid w:val="00077FBE"/>
    <w:rsid w:val="00080066"/>
    <w:rsid w:val="0008012E"/>
    <w:rsid w:val="00080145"/>
    <w:rsid w:val="000805CE"/>
    <w:rsid w:val="0008066E"/>
    <w:rsid w:val="00080675"/>
    <w:rsid w:val="0008070B"/>
    <w:rsid w:val="0008079D"/>
    <w:rsid w:val="000809F0"/>
    <w:rsid w:val="00080A46"/>
    <w:rsid w:val="00080C95"/>
    <w:rsid w:val="00080CA5"/>
    <w:rsid w:val="00080CBC"/>
    <w:rsid w:val="00080CFF"/>
    <w:rsid w:val="00080D02"/>
    <w:rsid w:val="00081040"/>
    <w:rsid w:val="000810AC"/>
    <w:rsid w:val="000812B5"/>
    <w:rsid w:val="000812DE"/>
    <w:rsid w:val="00081516"/>
    <w:rsid w:val="000815C5"/>
    <w:rsid w:val="00081721"/>
    <w:rsid w:val="00081784"/>
    <w:rsid w:val="0008184B"/>
    <w:rsid w:val="00081A02"/>
    <w:rsid w:val="00081C50"/>
    <w:rsid w:val="00081E31"/>
    <w:rsid w:val="00081F96"/>
    <w:rsid w:val="00082036"/>
    <w:rsid w:val="0008211C"/>
    <w:rsid w:val="000821C2"/>
    <w:rsid w:val="00082231"/>
    <w:rsid w:val="00082265"/>
    <w:rsid w:val="0008236A"/>
    <w:rsid w:val="0008242E"/>
    <w:rsid w:val="00082477"/>
    <w:rsid w:val="0008253A"/>
    <w:rsid w:val="00082553"/>
    <w:rsid w:val="000825BE"/>
    <w:rsid w:val="000825D2"/>
    <w:rsid w:val="000825FE"/>
    <w:rsid w:val="000828ED"/>
    <w:rsid w:val="00082AEB"/>
    <w:rsid w:val="00082D0E"/>
    <w:rsid w:val="00082DBF"/>
    <w:rsid w:val="00082DCE"/>
    <w:rsid w:val="00082ED4"/>
    <w:rsid w:val="00083161"/>
    <w:rsid w:val="000834FF"/>
    <w:rsid w:val="00083657"/>
    <w:rsid w:val="00083714"/>
    <w:rsid w:val="000837B3"/>
    <w:rsid w:val="000837DF"/>
    <w:rsid w:val="00083897"/>
    <w:rsid w:val="000839B2"/>
    <w:rsid w:val="00083C1E"/>
    <w:rsid w:val="00083C37"/>
    <w:rsid w:val="00083D2C"/>
    <w:rsid w:val="00084198"/>
    <w:rsid w:val="00084213"/>
    <w:rsid w:val="00084369"/>
    <w:rsid w:val="000844AB"/>
    <w:rsid w:val="00084651"/>
    <w:rsid w:val="00084748"/>
    <w:rsid w:val="0008487C"/>
    <w:rsid w:val="000849FD"/>
    <w:rsid w:val="00084A16"/>
    <w:rsid w:val="00084A93"/>
    <w:rsid w:val="00084AE4"/>
    <w:rsid w:val="00084BD1"/>
    <w:rsid w:val="00084E90"/>
    <w:rsid w:val="00084ED2"/>
    <w:rsid w:val="0008502E"/>
    <w:rsid w:val="0008555A"/>
    <w:rsid w:val="000855C8"/>
    <w:rsid w:val="000856A7"/>
    <w:rsid w:val="000856E5"/>
    <w:rsid w:val="0008576D"/>
    <w:rsid w:val="000857F6"/>
    <w:rsid w:val="0008592A"/>
    <w:rsid w:val="000859ED"/>
    <w:rsid w:val="00085A42"/>
    <w:rsid w:val="00085AA3"/>
    <w:rsid w:val="00085B31"/>
    <w:rsid w:val="00085C5C"/>
    <w:rsid w:val="00086016"/>
    <w:rsid w:val="0008602D"/>
    <w:rsid w:val="00086055"/>
    <w:rsid w:val="000861F9"/>
    <w:rsid w:val="00086237"/>
    <w:rsid w:val="000862A6"/>
    <w:rsid w:val="000862C8"/>
    <w:rsid w:val="00086331"/>
    <w:rsid w:val="00086336"/>
    <w:rsid w:val="00086384"/>
    <w:rsid w:val="000863A4"/>
    <w:rsid w:val="00086538"/>
    <w:rsid w:val="000865CD"/>
    <w:rsid w:val="00086869"/>
    <w:rsid w:val="000869C4"/>
    <w:rsid w:val="000869E1"/>
    <w:rsid w:val="00086A18"/>
    <w:rsid w:val="00086A6B"/>
    <w:rsid w:val="00086ADD"/>
    <w:rsid w:val="00086CAA"/>
    <w:rsid w:val="00086D3F"/>
    <w:rsid w:val="00086DAC"/>
    <w:rsid w:val="00086E0F"/>
    <w:rsid w:val="00086E20"/>
    <w:rsid w:val="00086FE6"/>
    <w:rsid w:val="00087051"/>
    <w:rsid w:val="0008708F"/>
    <w:rsid w:val="0008719F"/>
    <w:rsid w:val="000871DF"/>
    <w:rsid w:val="00087239"/>
    <w:rsid w:val="0008726C"/>
    <w:rsid w:val="0008735D"/>
    <w:rsid w:val="000873CC"/>
    <w:rsid w:val="00087460"/>
    <w:rsid w:val="00087462"/>
    <w:rsid w:val="000874D1"/>
    <w:rsid w:val="0008754D"/>
    <w:rsid w:val="000875B3"/>
    <w:rsid w:val="00087647"/>
    <w:rsid w:val="00087679"/>
    <w:rsid w:val="00087688"/>
    <w:rsid w:val="0008777D"/>
    <w:rsid w:val="00087965"/>
    <w:rsid w:val="00087AA9"/>
    <w:rsid w:val="00087AB7"/>
    <w:rsid w:val="00087C41"/>
    <w:rsid w:val="00087EAE"/>
    <w:rsid w:val="00087FFB"/>
    <w:rsid w:val="000900D5"/>
    <w:rsid w:val="00090109"/>
    <w:rsid w:val="0009026F"/>
    <w:rsid w:val="00090459"/>
    <w:rsid w:val="00090490"/>
    <w:rsid w:val="000905EE"/>
    <w:rsid w:val="00090666"/>
    <w:rsid w:val="00090769"/>
    <w:rsid w:val="00090AB1"/>
    <w:rsid w:val="00090AE0"/>
    <w:rsid w:val="00090C41"/>
    <w:rsid w:val="00090D84"/>
    <w:rsid w:val="00090D8C"/>
    <w:rsid w:val="00090DB1"/>
    <w:rsid w:val="00090ED8"/>
    <w:rsid w:val="00090F55"/>
    <w:rsid w:val="000910FD"/>
    <w:rsid w:val="00091150"/>
    <w:rsid w:val="0009130F"/>
    <w:rsid w:val="000913AD"/>
    <w:rsid w:val="000913E7"/>
    <w:rsid w:val="00091473"/>
    <w:rsid w:val="0009154A"/>
    <w:rsid w:val="00091792"/>
    <w:rsid w:val="0009190A"/>
    <w:rsid w:val="00091911"/>
    <w:rsid w:val="00091938"/>
    <w:rsid w:val="00091945"/>
    <w:rsid w:val="00091973"/>
    <w:rsid w:val="000919B7"/>
    <w:rsid w:val="000919E4"/>
    <w:rsid w:val="00091A75"/>
    <w:rsid w:val="00091AB8"/>
    <w:rsid w:val="00091B6B"/>
    <w:rsid w:val="00091CEE"/>
    <w:rsid w:val="00091F6F"/>
    <w:rsid w:val="00092141"/>
    <w:rsid w:val="00092174"/>
    <w:rsid w:val="0009223D"/>
    <w:rsid w:val="0009250F"/>
    <w:rsid w:val="00092531"/>
    <w:rsid w:val="00092679"/>
    <w:rsid w:val="00092751"/>
    <w:rsid w:val="000928A0"/>
    <w:rsid w:val="00092900"/>
    <w:rsid w:val="00092B27"/>
    <w:rsid w:val="00092D26"/>
    <w:rsid w:val="00092D38"/>
    <w:rsid w:val="00092D5D"/>
    <w:rsid w:val="00092EFB"/>
    <w:rsid w:val="00092FC6"/>
    <w:rsid w:val="00092FFF"/>
    <w:rsid w:val="0009310A"/>
    <w:rsid w:val="000933B8"/>
    <w:rsid w:val="0009350B"/>
    <w:rsid w:val="00093551"/>
    <w:rsid w:val="0009376B"/>
    <w:rsid w:val="0009377B"/>
    <w:rsid w:val="00093889"/>
    <w:rsid w:val="00093915"/>
    <w:rsid w:val="00093943"/>
    <w:rsid w:val="000939DB"/>
    <w:rsid w:val="00093A30"/>
    <w:rsid w:val="00093AE7"/>
    <w:rsid w:val="00093F38"/>
    <w:rsid w:val="00093F92"/>
    <w:rsid w:val="000941AB"/>
    <w:rsid w:val="0009423A"/>
    <w:rsid w:val="0009462A"/>
    <w:rsid w:val="00094662"/>
    <w:rsid w:val="000947C9"/>
    <w:rsid w:val="00094888"/>
    <w:rsid w:val="0009489B"/>
    <w:rsid w:val="000949AD"/>
    <w:rsid w:val="000949AE"/>
    <w:rsid w:val="00094A5B"/>
    <w:rsid w:val="00094C39"/>
    <w:rsid w:val="00094C4A"/>
    <w:rsid w:val="00094DE5"/>
    <w:rsid w:val="00094E5D"/>
    <w:rsid w:val="0009508A"/>
    <w:rsid w:val="00095101"/>
    <w:rsid w:val="0009518A"/>
    <w:rsid w:val="000951DC"/>
    <w:rsid w:val="0009524F"/>
    <w:rsid w:val="000952FD"/>
    <w:rsid w:val="0009550A"/>
    <w:rsid w:val="000959B5"/>
    <w:rsid w:val="00095A67"/>
    <w:rsid w:val="00095BD2"/>
    <w:rsid w:val="00095BEE"/>
    <w:rsid w:val="00095C97"/>
    <w:rsid w:val="00096048"/>
    <w:rsid w:val="000962AE"/>
    <w:rsid w:val="0009640B"/>
    <w:rsid w:val="00096612"/>
    <w:rsid w:val="0009668B"/>
    <w:rsid w:val="000966B0"/>
    <w:rsid w:val="000967F3"/>
    <w:rsid w:val="000968E9"/>
    <w:rsid w:val="00096977"/>
    <w:rsid w:val="000969CF"/>
    <w:rsid w:val="00096BD7"/>
    <w:rsid w:val="00096C50"/>
    <w:rsid w:val="00096CA1"/>
    <w:rsid w:val="00096ED7"/>
    <w:rsid w:val="00096F82"/>
    <w:rsid w:val="00096FB4"/>
    <w:rsid w:val="00096FE3"/>
    <w:rsid w:val="0009740E"/>
    <w:rsid w:val="00097690"/>
    <w:rsid w:val="000976A6"/>
    <w:rsid w:val="00097A09"/>
    <w:rsid w:val="00097EAB"/>
    <w:rsid w:val="00097F10"/>
    <w:rsid w:val="00097FD1"/>
    <w:rsid w:val="000A013B"/>
    <w:rsid w:val="000A01D8"/>
    <w:rsid w:val="000A03E5"/>
    <w:rsid w:val="000A0404"/>
    <w:rsid w:val="000A0468"/>
    <w:rsid w:val="000A0497"/>
    <w:rsid w:val="000A06B0"/>
    <w:rsid w:val="000A06BB"/>
    <w:rsid w:val="000A089E"/>
    <w:rsid w:val="000A0A71"/>
    <w:rsid w:val="000A0B38"/>
    <w:rsid w:val="000A0C31"/>
    <w:rsid w:val="000A0C8A"/>
    <w:rsid w:val="000A0DCE"/>
    <w:rsid w:val="000A0EE2"/>
    <w:rsid w:val="000A114D"/>
    <w:rsid w:val="000A1264"/>
    <w:rsid w:val="000A12BA"/>
    <w:rsid w:val="000A13B6"/>
    <w:rsid w:val="000A1508"/>
    <w:rsid w:val="000A159C"/>
    <w:rsid w:val="000A15E1"/>
    <w:rsid w:val="000A185A"/>
    <w:rsid w:val="000A1943"/>
    <w:rsid w:val="000A1E4D"/>
    <w:rsid w:val="000A1EEC"/>
    <w:rsid w:val="000A20C9"/>
    <w:rsid w:val="000A2278"/>
    <w:rsid w:val="000A2414"/>
    <w:rsid w:val="000A24DB"/>
    <w:rsid w:val="000A25CF"/>
    <w:rsid w:val="000A2620"/>
    <w:rsid w:val="000A274D"/>
    <w:rsid w:val="000A278B"/>
    <w:rsid w:val="000A2833"/>
    <w:rsid w:val="000A2895"/>
    <w:rsid w:val="000A2978"/>
    <w:rsid w:val="000A2A07"/>
    <w:rsid w:val="000A2A1E"/>
    <w:rsid w:val="000A2A3F"/>
    <w:rsid w:val="000A2CD9"/>
    <w:rsid w:val="000A2CF6"/>
    <w:rsid w:val="000A2D25"/>
    <w:rsid w:val="000A2DAE"/>
    <w:rsid w:val="000A2E88"/>
    <w:rsid w:val="000A2ECD"/>
    <w:rsid w:val="000A31FB"/>
    <w:rsid w:val="000A32FB"/>
    <w:rsid w:val="000A3466"/>
    <w:rsid w:val="000A3592"/>
    <w:rsid w:val="000A35E5"/>
    <w:rsid w:val="000A36A3"/>
    <w:rsid w:val="000A3702"/>
    <w:rsid w:val="000A3851"/>
    <w:rsid w:val="000A385C"/>
    <w:rsid w:val="000A3912"/>
    <w:rsid w:val="000A3C41"/>
    <w:rsid w:val="000A3CD3"/>
    <w:rsid w:val="000A3CE0"/>
    <w:rsid w:val="000A3D6B"/>
    <w:rsid w:val="000A3D79"/>
    <w:rsid w:val="000A3EBF"/>
    <w:rsid w:val="000A4362"/>
    <w:rsid w:val="000A43AB"/>
    <w:rsid w:val="000A43D8"/>
    <w:rsid w:val="000A450E"/>
    <w:rsid w:val="000A45E9"/>
    <w:rsid w:val="000A467D"/>
    <w:rsid w:val="000A47CA"/>
    <w:rsid w:val="000A4888"/>
    <w:rsid w:val="000A4A46"/>
    <w:rsid w:val="000A4A53"/>
    <w:rsid w:val="000A4B4D"/>
    <w:rsid w:val="000A4CC9"/>
    <w:rsid w:val="000A4D21"/>
    <w:rsid w:val="000A4DD6"/>
    <w:rsid w:val="000A4E03"/>
    <w:rsid w:val="000A4EBB"/>
    <w:rsid w:val="000A4EFA"/>
    <w:rsid w:val="000A4FBB"/>
    <w:rsid w:val="000A5051"/>
    <w:rsid w:val="000A507B"/>
    <w:rsid w:val="000A5095"/>
    <w:rsid w:val="000A523A"/>
    <w:rsid w:val="000A536E"/>
    <w:rsid w:val="000A53D5"/>
    <w:rsid w:val="000A5613"/>
    <w:rsid w:val="000A564F"/>
    <w:rsid w:val="000A5691"/>
    <w:rsid w:val="000A58A5"/>
    <w:rsid w:val="000A59D6"/>
    <w:rsid w:val="000A5B7E"/>
    <w:rsid w:val="000A5BA4"/>
    <w:rsid w:val="000A5CB7"/>
    <w:rsid w:val="000A5ED7"/>
    <w:rsid w:val="000A606E"/>
    <w:rsid w:val="000A6101"/>
    <w:rsid w:val="000A61B0"/>
    <w:rsid w:val="000A6290"/>
    <w:rsid w:val="000A6938"/>
    <w:rsid w:val="000A69A2"/>
    <w:rsid w:val="000A6B36"/>
    <w:rsid w:val="000A6C26"/>
    <w:rsid w:val="000A6C3B"/>
    <w:rsid w:val="000A6D7A"/>
    <w:rsid w:val="000A6E33"/>
    <w:rsid w:val="000A6ED2"/>
    <w:rsid w:val="000A70CB"/>
    <w:rsid w:val="000A7265"/>
    <w:rsid w:val="000A7363"/>
    <w:rsid w:val="000A745C"/>
    <w:rsid w:val="000A752E"/>
    <w:rsid w:val="000A756F"/>
    <w:rsid w:val="000A75BE"/>
    <w:rsid w:val="000A75EA"/>
    <w:rsid w:val="000A761C"/>
    <w:rsid w:val="000A7630"/>
    <w:rsid w:val="000A76D9"/>
    <w:rsid w:val="000A76F2"/>
    <w:rsid w:val="000A7910"/>
    <w:rsid w:val="000A7959"/>
    <w:rsid w:val="000A7AAF"/>
    <w:rsid w:val="000A7CA9"/>
    <w:rsid w:val="000A7CB9"/>
    <w:rsid w:val="000A7D0C"/>
    <w:rsid w:val="000A7F25"/>
    <w:rsid w:val="000A7FDA"/>
    <w:rsid w:val="000B002D"/>
    <w:rsid w:val="000B003C"/>
    <w:rsid w:val="000B0196"/>
    <w:rsid w:val="000B02B5"/>
    <w:rsid w:val="000B030D"/>
    <w:rsid w:val="000B03C2"/>
    <w:rsid w:val="000B03CB"/>
    <w:rsid w:val="000B0505"/>
    <w:rsid w:val="000B0570"/>
    <w:rsid w:val="000B058F"/>
    <w:rsid w:val="000B05C7"/>
    <w:rsid w:val="000B0846"/>
    <w:rsid w:val="000B089A"/>
    <w:rsid w:val="000B0974"/>
    <w:rsid w:val="000B09F7"/>
    <w:rsid w:val="000B0CDE"/>
    <w:rsid w:val="000B0D5C"/>
    <w:rsid w:val="000B0DB1"/>
    <w:rsid w:val="000B0DE9"/>
    <w:rsid w:val="000B0EDB"/>
    <w:rsid w:val="000B1014"/>
    <w:rsid w:val="000B1174"/>
    <w:rsid w:val="000B1182"/>
    <w:rsid w:val="000B11D8"/>
    <w:rsid w:val="000B135F"/>
    <w:rsid w:val="000B157A"/>
    <w:rsid w:val="000B1595"/>
    <w:rsid w:val="000B186D"/>
    <w:rsid w:val="000B1978"/>
    <w:rsid w:val="000B1A1A"/>
    <w:rsid w:val="000B1A3B"/>
    <w:rsid w:val="000B1A67"/>
    <w:rsid w:val="000B1A78"/>
    <w:rsid w:val="000B1C31"/>
    <w:rsid w:val="000B1FA8"/>
    <w:rsid w:val="000B1FF6"/>
    <w:rsid w:val="000B2025"/>
    <w:rsid w:val="000B2026"/>
    <w:rsid w:val="000B20A0"/>
    <w:rsid w:val="000B2148"/>
    <w:rsid w:val="000B24AF"/>
    <w:rsid w:val="000B261A"/>
    <w:rsid w:val="000B2878"/>
    <w:rsid w:val="000B2923"/>
    <w:rsid w:val="000B2929"/>
    <w:rsid w:val="000B2A1B"/>
    <w:rsid w:val="000B2AE8"/>
    <w:rsid w:val="000B2B08"/>
    <w:rsid w:val="000B3015"/>
    <w:rsid w:val="000B3030"/>
    <w:rsid w:val="000B30E1"/>
    <w:rsid w:val="000B32C1"/>
    <w:rsid w:val="000B3552"/>
    <w:rsid w:val="000B36D7"/>
    <w:rsid w:val="000B3808"/>
    <w:rsid w:val="000B3859"/>
    <w:rsid w:val="000B3A17"/>
    <w:rsid w:val="000B3AA8"/>
    <w:rsid w:val="000B3C0E"/>
    <w:rsid w:val="000B3D21"/>
    <w:rsid w:val="000B3DBB"/>
    <w:rsid w:val="000B4143"/>
    <w:rsid w:val="000B42C5"/>
    <w:rsid w:val="000B4467"/>
    <w:rsid w:val="000B45A3"/>
    <w:rsid w:val="000B45C1"/>
    <w:rsid w:val="000B46CE"/>
    <w:rsid w:val="000B4882"/>
    <w:rsid w:val="000B48B9"/>
    <w:rsid w:val="000B4A12"/>
    <w:rsid w:val="000B4A77"/>
    <w:rsid w:val="000B4BBE"/>
    <w:rsid w:val="000B4D95"/>
    <w:rsid w:val="000B4DB9"/>
    <w:rsid w:val="000B4E19"/>
    <w:rsid w:val="000B4EE4"/>
    <w:rsid w:val="000B507F"/>
    <w:rsid w:val="000B50AC"/>
    <w:rsid w:val="000B50E7"/>
    <w:rsid w:val="000B5154"/>
    <w:rsid w:val="000B5172"/>
    <w:rsid w:val="000B5281"/>
    <w:rsid w:val="000B5502"/>
    <w:rsid w:val="000B5566"/>
    <w:rsid w:val="000B55C4"/>
    <w:rsid w:val="000B5689"/>
    <w:rsid w:val="000B56D5"/>
    <w:rsid w:val="000B56EE"/>
    <w:rsid w:val="000B5720"/>
    <w:rsid w:val="000B574B"/>
    <w:rsid w:val="000B5771"/>
    <w:rsid w:val="000B57F2"/>
    <w:rsid w:val="000B5877"/>
    <w:rsid w:val="000B5B3D"/>
    <w:rsid w:val="000B5BB8"/>
    <w:rsid w:val="000B5D03"/>
    <w:rsid w:val="000B5D20"/>
    <w:rsid w:val="000B5D88"/>
    <w:rsid w:val="000B5EBA"/>
    <w:rsid w:val="000B614F"/>
    <w:rsid w:val="000B617F"/>
    <w:rsid w:val="000B642D"/>
    <w:rsid w:val="000B6431"/>
    <w:rsid w:val="000B6458"/>
    <w:rsid w:val="000B65CA"/>
    <w:rsid w:val="000B6829"/>
    <w:rsid w:val="000B69EC"/>
    <w:rsid w:val="000B6AAD"/>
    <w:rsid w:val="000B6C35"/>
    <w:rsid w:val="000B6CEB"/>
    <w:rsid w:val="000B70DD"/>
    <w:rsid w:val="000B72E5"/>
    <w:rsid w:val="000B75C3"/>
    <w:rsid w:val="000B7A49"/>
    <w:rsid w:val="000B7A52"/>
    <w:rsid w:val="000B7AA1"/>
    <w:rsid w:val="000C00E1"/>
    <w:rsid w:val="000C0407"/>
    <w:rsid w:val="000C0582"/>
    <w:rsid w:val="000C059B"/>
    <w:rsid w:val="000C06BB"/>
    <w:rsid w:val="000C072A"/>
    <w:rsid w:val="000C09AC"/>
    <w:rsid w:val="000C0AC8"/>
    <w:rsid w:val="000C0AEF"/>
    <w:rsid w:val="000C0E06"/>
    <w:rsid w:val="000C0E41"/>
    <w:rsid w:val="000C1010"/>
    <w:rsid w:val="000C1061"/>
    <w:rsid w:val="000C11D6"/>
    <w:rsid w:val="000C1218"/>
    <w:rsid w:val="000C13F4"/>
    <w:rsid w:val="000C1526"/>
    <w:rsid w:val="000C162F"/>
    <w:rsid w:val="000C16F3"/>
    <w:rsid w:val="000C182C"/>
    <w:rsid w:val="000C18BE"/>
    <w:rsid w:val="000C1950"/>
    <w:rsid w:val="000C1A68"/>
    <w:rsid w:val="000C1AA8"/>
    <w:rsid w:val="000C1B01"/>
    <w:rsid w:val="000C1BA4"/>
    <w:rsid w:val="000C229B"/>
    <w:rsid w:val="000C2487"/>
    <w:rsid w:val="000C24E0"/>
    <w:rsid w:val="000C2935"/>
    <w:rsid w:val="000C293A"/>
    <w:rsid w:val="000C2AA2"/>
    <w:rsid w:val="000C2BC9"/>
    <w:rsid w:val="000C2C42"/>
    <w:rsid w:val="000C2C87"/>
    <w:rsid w:val="000C2D06"/>
    <w:rsid w:val="000C2ED5"/>
    <w:rsid w:val="000C2F0E"/>
    <w:rsid w:val="000C2F9C"/>
    <w:rsid w:val="000C3100"/>
    <w:rsid w:val="000C324F"/>
    <w:rsid w:val="000C33D2"/>
    <w:rsid w:val="000C347A"/>
    <w:rsid w:val="000C34B8"/>
    <w:rsid w:val="000C34FA"/>
    <w:rsid w:val="000C35DA"/>
    <w:rsid w:val="000C368F"/>
    <w:rsid w:val="000C3864"/>
    <w:rsid w:val="000C3A0F"/>
    <w:rsid w:val="000C3B59"/>
    <w:rsid w:val="000C3BDC"/>
    <w:rsid w:val="000C3C98"/>
    <w:rsid w:val="000C3D5B"/>
    <w:rsid w:val="000C3E99"/>
    <w:rsid w:val="000C3F51"/>
    <w:rsid w:val="000C3FD0"/>
    <w:rsid w:val="000C40E2"/>
    <w:rsid w:val="000C4163"/>
    <w:rsid w:val="000C41BF"/>
    <w:rsid w:val="000C43C9"/>
    <w:rsid w:val="000C43EE"/>
    <w:rsid w:val="000C4826"/>
    <w:rsid w:val="000C4839"/>
    <w:rsid w:val="000C48BC"/>
    <w:rsid w:val="000C491C"/>
    <w:rsid w:val="000C4928"/>
    <w:rsid w:val="000C4954"/>
    <w:rsid w:val="000C4BB6"/>
    <w:rsid w:val="000C4CB8"/>
    <w:rsid w:val="000C4CFD"/>
    <w:rsid w:val="000C4D3B"/>
    <w:rsid w:val="000C4D8D"/>
    <w:rsid w:val="000C4DE9"/>
    <w:rsid w:val="000C4E16"/>
    <w:rsid w:val="000C4EA4"/>
    <w:rsid w:val="000C4EBB"/>
    <w:rsid w:val="000C4F37"/>
    <w:rsid w:val="000C523E"/>
    <w:rsid w:val="000C532A"/>
    <w:rsid w:val="000C53BC"/>
    <w:rsid w:val="000C54B7"/>
    <w:rsid w:val="000C574F"/>
    <w:rsid w:val="000C57B4"/>
    <w:rsid w:val="000C5824"/>
    <w:rsid w:val="000C5908"/>
    <w:rsid w:val="000C59F3"/>
    <w:rsid w:val="000C5B31"/>
    <w:rsid w:val="000C5B99"/>
    <w:rsid w:val="000C5CD1"/>
    <w:rsid w:val="000C5D0B"/>
    <w:rsid w:val="000C5E76"/>
    <w:rsid w:val="000C5EBC"/>
    <w:rsid w:val="000C60B4"/>
    <w:rsid w:val="000C61D9"/>
    <w:rsid w:val="000C622B"/>
    <w:rsid w:val="000C6321"/>
    <w:rsid w:val="000C63A2"/>
    <w:rsid w:val="000C655A"/>
    <w:rsid w:val="000C6ACA"/>
    <w:rsid w:val="000C6B23"/>
    <w:rsid w:val="000C6DB0"/>
    <w:rsid w:val="000C6F95"/>
    <w:rsid w:val="000C70FC"/>
    <w:rsid w:val="000C7188"/>
    <w:rsid w:val="000C7352"/>
    <w:rsid w:val="000C7514"/>
    <w:rsid w:val="000C7576"/>
    <w:rsid w:val="000C763A"/>
    <w:rsid w:val="000C767F"/>
    <w:rsid w:val="000C778F"/>
    <w:rsid w:val="000C78FA"/>
    <w:rsid w:val="000C790A"/>
    <w:rsid w:val="000C7A83"/>
    <w:rsid w:val="000C7AA2"/>
    <w:rsid w:val="000C7CFF"/>
    <w:rsid w:val="000D00FE"/>
    <w:rsid w:val="000D0486"/>
    <w:rsid w:val="000D04AF"/>
    <w:rsid w:val="000D0588"/>
    <w:rsid w:val="000D05D2"/>
    <w:rsid w:val="000D0835"/>
    <w:rsid w:val="000D093D"/>
    <w:rsid w:val="000D0ADD"/>
    <w:rsid w:val="000D0B1E"/>
    <w:rsid w:val="000D0E92"/>
    <w:rsid w:val="000D0FF1"/>
    <w:rsid w:val="000D10B7"/>
    <w:rsid w:val="000D10F6"/>
    <w:rsid w:val="000D1105"/>
    <w:rsid w:val="000D1195"/>
    <w:rsid w:val="000D1198"/>
    <w:rsid w:val="000D11B1"/>
    <w:rsid w:val="000D1298"/>
    <w:rsid w:val="000D1352"/>
    <w:rsid w:val="000D13D6"/>
    <w:rsid w:val="000D156E"/>
    <w:rsid w:val="000D159D"/>
    <w:rsid w:val="000D1719"/>
    <w:rsid w:val="000D17DF"/>
    <w:rsid w:val="000D1824"/>
    <w:rsid w:val="000D18DD"/>
    <w:rsid w:val="000D1ADD"/>
    <w:rsid w:val="000D1AFF"/>
    <w:rsid w:val="000D1C27"/>
    <w:rsid w:val="000D1C7E"/>
    <w:rsid w:val="000D1D42"/>
    <w:rsid w:val="000D1E2E"/>
    <w:rsid w:val="000D1F61"/>
    <w:rsid w:val="000D2133"/>
    <w:rsid w:val="000D2142"/>
    <w:rsid w:val="000D23E5"/>
    <w:rsid w:val="000D24FE"/>
    <w:rsid w:val="000D2585"/>
    <w:rsid w:val="000D269A"/>
    <w:rsid w:val="000D26C5"/>
    <w:rsid w:val="000D2865"/>
    <w:rsid w:val="000D28C6"/>
    <w:rsid w:val="000D28DB"/>
    <w:rsid w:val="000D2AE9"/>
    <w:rsid w:val="000D2BDF"/>
    <w:rsid w:val="000D2D59"/>
    <w:rsid w:val="000D2D79"/>
    <w:rsid w:val="000D2E95"/>
    <w:rsid w:val="000D31BE"/>
    <w:rsid w:val="000D32A3"/>
    <w:rsid w:val="000D32CD"/>
    <w:rsid w:val="000D3516"/>
    <w:rsid w:val="000D3688"/>
    <w:rsid w:val="000D38F1"/>
    <w:rsid w:val="000D39B6"/>
    <w:rsid w:val="000D3AD6"/>
    <w:rsid w:val="000D3B40"/>
    <w:rsid w:val="000D3B86"/>
    <w:rsid w:val="000D3D2E"/>
    <w:rsid w:val="000D3ED6"/>
    <w:rsid w:val="000D4024"/>
    <w:rsid w:val="000D40E5"/>
    <w:rsid w:val="000D411A"/>
    <w:rsid w:val="000D421F"/>
    <w:rsid w:val="000D424A"/>
    <w:rsid w:val="000D43EC"/>
    <w:rsid w:val="000D45CA"/>
    <w:rsid w:val="000D45EA"/>
    <w:rsid w:val="000D488C"/>
    <w:rsid w:val="000D4B0B"/>
    <w:rsid w:val="000D4CEE"/>
    <w:rsid w:val="000D4EB0"/>
    <w:rsid w:val="000D4FC6"/>
    <w:rsid w:val="000D4FDF"/>
    <w:rsid w:val="000D50A0"/>
    <w:rsid w:val="000D50C3"/>
    <w:rsid w:val="000D5132"/>
    <w:rsid w:val="000D51A9"/>
    <w:rsid w:val="000D536A"/>
    <w:rsid w:val="000D54CA"/>
    <w:rsid w:val="000D5607"/>
    <w:rsid w:val="000D566F"/>
    <w:rsid w:val="000D59E5"/>
    <w:rsid w:val="000D5A44"/>
    <w:rsid w:val="000D5AE4"/>
    <w:rsid w:val="000D5B55"/>
    <w:rsid w:val="000D5CF5"/>
    <w:rsid w:val="000D5D4E"/>
    <w:rsid w:val="000D5EE6"/>
    <w:rsid w:val="000D6115"/>
    <w:rsid w:val="000D6158"/>
    <w:rsid w:val="000D61CD"/>
    <w:rsid w:val="000D6211"/>
    <w:rsid w:val="000D635C"/>
    <w:rsid w:val="000D6539"/>
    <w:rsid w:val="000D664B"/>
    <w:rsid w:val="000D6677"/>
    <w:rsid w:val="000D6765"/>
    <w:rsid w:val="000D679A"/>
    <w:rsid w:val="000D67D0"/>
    <w:rsid w:val="000D6824"/>
    <w:rsid w:val="000D68D5"/>
    <w:rsid w:val="000D6911"/>
    <w:rsid w:val="000D697B"/>
    <w:rsid w:val="000D6AC3"/>
    <w:rsid w:val="000D6CA2"/>
    <w:rsid w:val="000D6D37"/>
    <w:rsid w:val="000D6DE5"/>
    <w:rsid w:val="000D7214"/>
    <w:rsid w:val="000D72C4"/>
    <w:rsid w:val="000D7300"/>
    <w:rsid w:val="000D7321"/>
    <w:rsid w:val="000D7425"/>
    <w:rsid w:val="000D75A9"/>
    <w:rsid w:val="000D795C"/>
    <w:rsid w:val="000D7A15"/>
    <w:rsid w:val="000D7D7C"/>
    <w:rsid w:val="000D7DC5"/>
    <w:rsid w:val="000D7FBF"/>
    <w:rsid w:val="000D7FC7"/>
    <w:rsid w:val="000E039D"/>
    <w:rsid w:val="000E0413"/>
    <w:rsid w:val="000E049E"/>
    <w:rsid w:val="000E05C0"/>
    <w:rsid w:val="000E063B"/>
    <w:rsid w:val="000E064C"/>
    <w:rsid w:val="000E0A37"/>
    <w:rsid w:val="000E0BBE"/>
    <w:rsid w:val="000E0BD8"/>
    <w:rsid w:val="000E0C36"/>
    <w:rsid w:val="000E0C64"/>
    <w:rsid w:val="000E0E94"/>
    <w:rsid w:val="000E13BA"/>
    <w:rsid w:val="000E1404"/>
    <w:rsid w:val="000E1643"/>
    <w:rsid w:val="000E1690"/>
    <w:rsid w:val="000E1723"/>
    <w:rsid w:val="000E17DF"/>
    <w:rsid w:val="000E19F5"/>
    <w:rsid w:val="000E1A04"/>
    <w:rsid w:val="000E1CE9"/>
    <w:rsid w:val="000E1D14"/>
    <w:rsid w:val="000E1F37"/>
    <w:rsid w:val="000E1F5C"/>
    <w:rsid w:val="000E1F92"/>
    <w:rsid w:val="000E204F"/>
    <w:rsid w:val="000E209D"/>
    <w:rsid w:val="000E218B"/>
    <w:rsid w:val="000E21C7"/>
    <w:rsid w:val="000E2222"/>
    <w:rsid w:val="000E25F3"/>
    <w:rsid w:val="000E2659"/>
    <w:rsid w:val="000E2699"/>
    <w:rsid w:val="000E2737"/>
    <w:rsid w:val="000E27AE"/>
    <w:rsid w:val="000E289C"/>
    <w:rsid w:val="000E2968"/>
    <w:rsid w:val="000E2D26"/>
    <w:rsid w:val="000E2E21"/>
    <w:rsid w:val="000E2FAE"/>
    <w:rsid w:val="000E312E"/>
    <w:rsid w:val="000E3274"/>
    <w:rsid w:val="000E32B4"/>
    <w:rsid w:val="000E3360"/>
    <w:rsid w:val="000E33AD"/>
    <w:rsid w:val="000E3568"/>
    <w:rsid w:val="000E35F9"/>
    <w:rsid w:val="000E3661"/>
    <w:rsid w:val="000E3873"/>
    <w:rsid w:val="000E3B22"/>
    <w:rsid w:val="000E3B2A"/>
    <w:rsid w:val="000E3BDD"/>
    <w:rsid w:val="000E3BF1"/>
    <w:rsid w:val="000E3C55"/>
    <w:rsid w:val="000E3EA0"/>
    <w:rsid w:val="000E3ED2"/>
    <w:rsid w:val="000E3F4D"/>
    <w:rsid w:val="000E433C"/>
    <w:rsid w:val="000E4459"/>
    <w:rsid w:val="000E445F"/>
    <w:rsid w:val="000E452C"/>
    <w:rsid w:val="000E45BC"/>
    <w:rsid w:val="000E461C"/>
    <w:rsid w:val="000E4652"/>
    <w:rsid w:val="000E4714"/>
    <w:rsid w:val="000E4886"/>
    <w:rsid w:val="000E4904"/>
    <w:rsid w:val="000E4AEC"/>
    <w:rsid w:val="000E4BAD"/>
    <w:rsid w:val="000E4D68"/>
    <w:rsid w:val="000E4DA2"/>
    <w:rsid w:val="000E4E51"/>
    <w:rsid w:val="000E4F4C"/>
    <w:rsid w:val="000E5060"/>
    <w:rsid w:val="000E50D5"/>
    <w:rsid w:val="000E5393"/>
    <w:rsid w:val="000E544A"/>
    <w:rsid w:val="000E54D4"/>
    <w:rsid w:val="000E55C8"/>
    <w:rsid w:val="000E55DC"/>
    <w:rsid w:val="000E56D4"/>
    <w:rsid w:val="000E5900"/>
    <w:rsid w:val="000E5938"/>
    <w:rsid w:val="000E5A8D"/>
    <w:rsid w:val="000E5B6F"/>
    <w:rsid w:val="000E5B73"/>
    <w:rsid w:val="000E5CD0"/>
    <w:rsid w:val="000E5D8B"/>
    <w:rsid w:val="000E5E1B"/>
    <w:rsid w:val="000E5E48"/>
    <w:rsid w:val="000E5EFD"/>
    <w:rsid w:val="000E611B"/>
    <w:rsid w:val="000E626B"/>
    <w:rsid w:val="000E6364"/>
    <w:rsid w:val="000E63A9"/>
    <w:rsid w:val="000E63F9"/>
    <w:rsid w:val="000E64D9"/>
    <w:rsid w:val="000E6613"/>
    <w:rsid w:val="000E674D"/>
    <w:rsid w:val="000E67A6"/>
    <w:rsid w:val="000E67C4"/>
    <w:rsid w:val="000E686C"/>
    <w:rsid w:val="000E6A4C"/>
    <w:rsid w:val="000E6A69"/>
    <w:rsid w:val="000E6AA5"/>
    <w:rsid w:val="000E6CA9"/>
    <w:rsid w:val="000E6CF3"/>
    <w:rsid w:val="000E6D1C"/>
    <w:rsid w:val="000E6E67"/>
    <w:rsid w:val="000E708D"/>
    <w:rsid w:val="000E70AC"/>
    <w:rsid w:val="000E70DB"/>
    <w:rsid w:val="000E70F4"/>
    <w:rsid w:val="000E714E"/>
    <w:rsid w:val="000E74DE"/>
    <w:rsid w:val="000E752F"/>
    <w:rsid w:val="000E75AD"/>
    <w:rsid w:val="000E7A5F"/>
    <w:rsid w:val="000E7A9D"/>
    <w:rsid w:val="000E7AEB"/>
    <w:rsid w:val="000E7CB7"/>
    <w:rsid w:val="000E7D10"/>
    <w:rsid w:val="000E7F65"/>
    <w:rsid w:val="000E7F92"/>
    <w:rsid w:val="000F0034"/>
    <w:rsid w:val="000F010F"/>
    <w:rsid w:val="000F014D"/>
    <w:rsid w:val="000F0368"/>
    <w:rsid w:val="000F058B"/>
    <w:rsid w:val="000F06B0"/>
    <w:rsid w:val="000F07D8"/>
    <w:rsid w:val="000F0AF7"/>
    <w:rsid w:val="000F0B33"/>
    <w:rsid w:val="000F0CD8"/>
    <w:rsid w:val="000F0DAC"/>
    <w:rsid w:val="000F0F5F"/>
    <w:rsid w:val="000F0F6D"/>
    <w:rsid w:val="000F11BE"/>
    <w:rsid w:val="000F12BC"/>
    <w:rsid w:val="000F12C6"/>
    <w:rsid w:val="000F1365"/>
    <w:rsid w:val="000F17D7"/>
    <w:rsid w:val="000F184D"/>
    <w:rsid w:val="000F1857"/>
    <w:rsid w:val="000F1A3E"/>
    <w:rsid w:val="000F1B21"/>
    <w:rsid w:val="000F1CD1"/>
    <w:rsid w:val="000F1CD5"/>
    <w:rsid w:val="000F1DCC"/>
    <w:rsid w:val="000F1E27"/>
    <w:rsid w:val="000F1FF0"/>
    <w:rsid w:val="000F2207"/>
    <w:rsid w:val="000F26A4"/>
    <w:rsid w:val="000F2704"/>
    <w:rsid w:val="000F270B"/>
    <w:rsid w:val="000F2712"/>
    <w:rsid w:val="000F28BB"/>
    <w:rsid w:val="000F294F"/>
    <w:rsid w:val="000F3016"/>
    <w:rsid w:val="000F30A5"/>
    <w:rsid w:val="000F3119"/>
    <w:rsid w:val="000F3232"/>
    <w:rsid w:val="000F324E"/>
    <w:rsid w:val="000F3377"/>
    <w:rsid w:val="000F33B4"/>
    <w:rsid w:val="000F352F"/>
    <w:rsid w:val="000F353E"/>
    <w:rsid w:val="000F3544"/>
    <w:rsid w:val="000F35BB"/>
    <w:rsid w:val="000F367F"/>
    <w:rsid w:val="000F3A4F"/>
    <w:rsid w:val="000F3B86"/>
    <w:rsid w:val="000F3C62"/>
    <w:rsid w:val="000F3C7B"/>
    <w:rsid w:val="000F3D12"/>
    <w:rsid w:val="000F3D2B"/>
    <w:rsid w:val="000F3E68"/>
    <w:rsid w:val="000F3EA0"/>
    <w:rsid w:val="000F3EBF"/>
    <w:rsid w:val="000F3ECC"/>
    <w:rsid w:val="000F3F3B"/>
    <w:rsid w:val="000F412A"/>
    <w:rsid w:val="000F4210"/>
    <w:rsid w:val="000F4283"/>
    <w:rsid w:val="000F4625"/>
    <w:rsid w:val="000F474C"/>
    <w:rsid w:val="000F475C"/>
    <w:rsid w:val="000F48FA"/>
    <w:rsid w:val="000F4931"/>
    <w:rsid w:val="000F4D42"/>
    <w:rsid w:val="000F4FD0"/>
    <w:rsid w:val="000F5290"/>
    <w:rsid w:val="000F52F1"/>
    <w:rsid w:val="000F54A2"/>
    <w:rsid w:val="000F5551"/>
    <w:rsid w:val="000F55E0"/>
    <w:rsid w:val="000F56AE"/>
    <w:rsid w:val="000F573E"/>
    <w:rsid w:val="000F575A"/>
    <w:rsid w:val="000F57FF"/>
    <w:rsid w:val="000F5865"/>
    <w:rsid w:val="000F5902"/>
    <w:rsid w:val="000F5A63"/>
    <w:rsid w:val="000F5B24"/>
    <w:rsid w:val="000F5B68"/>
    <w:rsid w:val="000F5B81"/>
    <w:rsid w:val="000F5BED"/>
    <w:rsid w:val="000F5EC3"/>
    <w:rsid w:val="000F5EC8"/>
    <w:rsid w:val="000F5F44"/>
    <w:rsid w:val="000F5F7A"/>
    <w:rsid w:val="000F5FE6"/>
    <w:rsid w:val="000F6064"/>
    <w:rsid w:val="000F6094"/>
    <w:rsid w:val="000F6209"/>
    <w:rsid w:val="000F6216"/>
    <w:rsid w:val="000F6413"/>
    <w:rsid w:val="000F647A"/>
    <w:rsid w:val="000F64C8"/>
    <w:rsid w:val="000F64D3"/>
    <w:rsid w:val="000F6580"/>
    <w:rsid w:val="000F66E1"/>
    <w:rsid w:val="000F68B5"/>
    <w:rsid w:val="000F69F1"/>
    <w:rsid w:val="000F69FE"/>
    <w:rsid w:val="000F6AC6"/>
    <w:rsid w:val="000F6CBF"/>
    <w:rsid w:val="000F7004"/>
    <w:rsid w:val="000F7026"/>
    <w:rsid w:val="000F7089"/>
    <w:rsid w:val="000F7162"/>
    <w:rsid w:val="000F75F1"/>
    <w:rsid w:val="000F76B9"/>
    <w:rsid w:val="000F76E1"/>
    <w:rsid w:val="000F7769"/>
    <w:rsid w:val="000F796D"/>
    <w:rsid w:val="000F7970"/>
    <w:rsid w:val="000F7A07"/>
    <w:rsid w:val="000F7C7C"/>
    <w:rsid w:val="000F7D36"/>
    <w:rsid w:val="000F7EA0"/>
    <w:rsid w:val="000F7EBD"/>
    <w:rsid w:val="000F7F98"/>
    <w:rsid w:val="0010001D"/>
    <w:rsid w:val="00100169"/>
    <w:rsid w:val="00100178"/>
    <w:rsid w:val="001001B2"/>
    <w:rsid w:val="00100218"/>
    <w:rsid w:val="00100353"/>
    <w:rsid w:val="001004C5"/>
    <w:rsid w:val="0010068E"/>
    <w:rsid w:val="0010086E"/>
    <w:rsid w:val="0010091C"/>
    <w:rsid w:val="001009AF"/>
    <w:rsid w:val="00100B70"/>
    <w:rsid w:val="00100B75"/>
    <w:rsid w:val="00100CCB"/>
    <w:rsid w:val="00100E26"/>
    <w:rsid w:val="00100E92"/>
    <w:rsid w:val="00100ECE"/>
    <w:rsid w:val="00101056"/>
    <w:rsid w:val="001012A6"/>
    <w:rsid w:val="001012BA"/>
    <w:rsid w:val="001012E2"/>
    <w:rsid w:val="001013CC"/>
    <w:rsid w:val="00101540"/>
    <w:rsid w:val="001015A4"/>
    <w:rsid w:val="001017CB"/>
    <w:rsid w:val="00101A60"/>
    <w:rsid w:val="00101C4F"/>
    <w:rsid w:val="00101EF0"/>
    <w:rsid w:val="00101F70"/>
    <w:rsid w:val="0010229C"/>
    <w:rsid w:val="001024DF"/>
    <w:rsid w:val="00102899"/>
    <w:rsid w:val="001028C1"/>
    <w:rsid w:val="0010290E"/>
    <w:rsid w:val="00102A5F"/>
    <w:rsid w:val="00102CC5"/>
    <w:rsid w:val="00102CE7"/>
    <w:rsid w:val="00102D02"/>
    <w:rsid w:val="00102E41"/>
    <w:rsid w:val="00102E9D"/>
    <w:rsid w:val="001030A0"/>
    <w:rsid w:val="001030AF"/>
    <w:rsid w:val="001031E6"/>
    <w:rsid w:val="0010352A"/>
    <w:rsid w:val="00103622"/>
    <w:rsid w:val="00103627"/>
    <w:rsid w:val="00103648"/>
    <w:rsid w:val="00103655"/>
    <w:rsid w:val="00103722"/>
    <w:rsid w:val="001037C6"/>
    <w:rsid w:val="001037E3"/>
    <w:rsid w:val="00103844"/>
    <w:rsid w:val="00103923"/>
    <w:rsid w:val="00103A1B"/>
    <w:rsid w:val="00103C90"/>
    <w:rsid w:val="00103D8A"/>
    <w:rsid w:val="00103E72"/>
    <w:rsid w:val="00103F4F"/>
    <w:rsid w:val="00104088"/>
    <w:rsid w:val="00104201"/>
    <w:rsid w:val="0010435F"/>
    <w:rsid w:val="001045C5"/>
    <w:rsid w:val="001046BE"/>
    <w:rsid w:val="001048F2"/>
    <w:rsid w:val="00104A87"/>
    <w:rsid w:val="00104B3D"/>
    <w:rsid w:val="00104C1C"/>
    <w:rsid w:val="00104CD8"/>
    <w:rsid w:val="00104D56"/>
    <w:rsid w:val="00104EFE"/>
    <w:rsid w:val="00104F5E"/>
    <w:rsid w:val="00104F6B"/>
    <w:rsid w:val="00104F9D"/>
    <w:rsid w:val="00105055"/>
    <w:rsid w:val="001053CC"/>
    <w:rsid w:val="001053D4"/>
    <w:rsid w:val="001053FC"/>
    <w:rsid w:val="0010541C"/>
    <w:rsid w:val="00105466"/>
    <w:rsid w:val="0010548C"/>
    <w:rsid w:val="001056F8"/>
    <w:rsid w:val="0010576F"/>
    <w:rsid w:val="00105955"/>
    <w:rsid w:val="001059D5"/>
    <w:rsid w:val="00105DCD"/>
    <w:rsid w:val="00105EA6"/>
    <w:rsid w:val="00105F1A"/>
    <w:rsid w:val="00105FE5"/>
    <w:rsid w:val="00106072"/>
    <w:rsid w:val="00106169"/>
    <w:rsid w:val="0010625A"/>
    <w:rsid w:val="001062A7"/>
    <w:rsid w:val="00106368"/>
    <w:rsid w:val="001064D8"/>
    <w:rsid w:val="00106651"/>
    <w:rsid w:val="00106722"/>
    <w:rsid w:val="00106A55"/>
    <w:rsid w:val="00106C6D"/>
    <w:rsid w:val="00106D6B"/>
    <w:rsid w:val="00106DF2"/>
    <w:rsid w:val="0010711B"/>
    <w:rsid w:val="00107166"/>
    <w:rsid w:val="00107248"/>
    <w:rsid w:val="0010740F"/>
    <w:rsid w:val="00107473"/>
    <w:rsid w:val="00107514"/>
    <w:rsid w:val="0010769E"/>
    <w:rsid w:val="001077A0"/>
    <w:rsid w:val="001077DC"/>
    <w:rsid w:val="00107874"/>
    <w:rsid w:val="0010787D"/>
    <w:rsid w:val="001078A3"/>
    <w:rsid w:val="00107980"/>
    <w:rsid w:val="001079FD"/>
    <w:rsid w:val="00107A26"/>
    <w:rsid w:val="00107A57"/>
    <w:rsid w:val="00107BAC"/>
    <w:rsid w:val="00107C53"/>
    <w:rsid w:val="00107C9C"/>
    <w:rsid w:val="00107D83"/>
    <w:rsid w:val="00107E87"/>
    <w:rsid w:val="00107F75"/>
    <w:rsid w:val="00110016"/>
    <w:rsid w:val="001102E0"/>
    <w:rsid w:val="001103D8"/>
    <w:rsid w:val="0011049D"/>
    <w:rsid w:val="00110674"/>
    <w:rsid w:val="00110721"/>
    <w:rsid w:val="00110A1A"/>
    <w:rsid w:val="00110A9C"/>
    <w:rsid w:val="00110ADC"/>
    <w:rsid w:val="00110DB1"/>
    <w:rsid w:val="00110DD0"/>
    <w:rsid w:val="00110E87"/>
    <w:rsid w:val="0011104D"/>
    <w:rsid w:val="00111188"/>
    <w:rsid w:val="001111FF"/>
    <w:rsid w:val="00111269"/>
    <w:rsid w:val="001112FB"/>
    <w:rsid w:val="00111535"/>
    <w:rsid w:val="0011156D"/>
    <w:rsid w:val="00111616"/>
    <w:rsid w:val="0011162E"/>
    <w:rsid w:val="00111704"/>
    <w:rsid w:val="00111C5E"/>
    <w:rsid w:val="00111D47"/>
    <w:rsid w:val="00111DC8"/>
    <w:rsid w:val="0011209F"/>
    <w:rsid w:val="001120C3"/>
    <w:rsid w:val="001122E1"/>
    <w:rsid w:val="00112381"/>
    <w:rsid w:val="001123B3"/>
    <w:rsid w:val="001123E2"/>
    <w:rsid w:val="001123F0"/>
    <w:rsid w:val="0011248A"/>
    <w:rsid w:val="001125E6"/>
    <w:rsid w:val="001125FA"/>
    <w:rsid w:val="001126AC"/>
    <w:rsid w:val="001128A3"/>
    <w:rsid w:val="001128E5"/>
    <w:rsid w:val="00112A9C"/>
    <w:rsid w:val="00112C06"/>
    <w:rsid w:val="00112CC8"/>
    <w:rsid w:val="00112CDE"/>
    <w:rsid w:val="00112D43"/>
    <w:rsid w:val="00112E0A"/>
    <w:rsid w:val="00112E50"/>
    <w:rsid w:val="00112E98"/>
    <w:rsid w:val="00113113"/>
    <w:rsid w:val="001131F6"/>
    <w:rsid w:val="001132B6"/>
    <w:rsid w:val="001132D3"/>
    <w:rsid w:val="001132EF"/>
    <w:rsid w:val="00113439"/>
    <w:rsid w:val="001135B2"/>
    <w:rsid w:val="0011361B"/>
    <w:rsid w:val="0011387A"/>
    <w:rsid w:val="0011389C"/>
    <w:rsid w:val="00113921"/>
    <w:rsid w:val="0011394E"/>
    <w:rsid w:val="0011399A"/>
    <w:rsid w:val="00113C4E"/>
    <w:rsid w:val="00113C99"/>
    <w:rsid w:val="00113FDE"/>
    <w:rsid w:val="00114249"/>
    <w:rsid w:val="001142B1"/>
    <w:rsid w:val="00114699"/>
    <w:rsid w:val="001147E1"/>
    <w:rsid w:val="00114878"/>
    <w:rsid w:val="00114DD2"/>
    <w:rsid w:val="00114F14"/>
    <w:rsid w:val="0011537F"/>
    <w:rsid w:val="00115464"/>
    <w:rsid w:val="001154C2"/>
    <w:rsid w:val="001154CC"/>
    <w:rsid w:val="00115510"/>
    <w:rsid w:val="0011553E"/>
    <w:rsid w:val="00115575"/>
    <w:rsid w:val="001155A2"/>
    <w:rsid w:val="001156F2"/>
    <w:rsid w:val="00115782"/>
    <w:rsid w:val="001157C9"/>
    <w:rsid w:val="00115831"/>
    <w:rsid w:val="001158C6"/>
    <w:rsid w:val="00115A43"/>
    <w:rsid w:val="00115A55"/>
    <w:rsid w:val="00115A97"/>
    <w:rsid w:val="00115AF4"/>
    <w:rsid w:val="00115B1E"/>
    <w:rsid w:val="00115BA8"/>
    <w:rsid w:val="00115CDD"/>
    <w:rsid w:val="00115E59"/>
    <w:rsid w:val="0011609F"/>
    <w:rsid w:val="001163E6"/>
    <w:rsid w:val="00116486"/>
    <w:rsid w:val="00116849"/>
    <w:rsid w:val="0011689C"/>
    <w:rsid w:val="00116B1B"/>
    <w:rsid w:val="00116B6A"/>
    <w:rsid w:val="00116BC1"/>
    <w:rsid w:val="00116D56"/>
    <w:rsid w:val="00116EA0"/>
    <w:rsid w:val="00116FF4"/>
    <w:rsid w:val="0011703F"/>
    <w:rsid w:val="00117165"/>
    <w:rsid w:val="0011720A"/>
    <w:rsid w:val="001172B7"/>
    <w:rsid w:val="00117341"/>
    <w:rsid w:val="0011743C"/>
    <w:rsid w:val="001176A5"/>
    <w:rsid w:val="001176FF"/>
    <w:rsid w:val="00117717"/>
    <w:rsid w:val="00117865"/>
    <w:rsid w:val="00117898"/>
    <w:rsid w:val="00117ACD"/>
    <w:rsid w:val="00117AE4"/>
    <w:rsid w:val="00117B58"/>
    <w:rsid w:val="00117B82"/>
    <w:rsid w:val="00117BD7"/>
    <w:rsid w:val="00117C3E"/>
    <w:rsid w:val="00117C4B"/>
    <w:rsid w:val="00117CA7"/>
    <w:rsid w:val="00117CAE"/>
    <w:rsid w:val="00117E58"/>
    <w:rsid w:val="0012014C"/>
    <w:rsid w:val="00120373"/>
    <w:rsid w:val="001206DC"/>
    <w:rsid w:val="001206FC"/>
    <w:rsid w:val="00120834"/>
    <w:rsid w:val="00120A04"/>
    <w:rsid w:val="00120B5C"/>
    <w:rsid w:val="00120BDB"/>
    <w:rsid w:val="00120C22"/>
    <w:rsid w:val="00120EBB"/>
    <w:rsid w:val="001210B6"/>
    <w:rsid w:val="001210EB"/>
    <w:rsid w:val="0012120A"/>
    <w:rsid w:val="001212E7"/>
    <w:rsid w:val="00121547"/>
    <w:rsid w:val="0012159B"/>
    <w:rsid w:val="00121693"/>
    <w:rsid w:val="001216AF"/>
    <w:rsid w:val="00121881"/>
    <w:rsid w:val="001218A1"/>
    <w:rsid w:val="001219D2"/>
    <w:rsid w:val="00121B71"/>
    <w:rsid w:val="00121C5B"/>
    <w:rsid w:val="00121F4C"/>
    <w:rsid w:val="00122099"/>
    <w:rsid w:val="0012226A"/>
    <w:rsid w:val="001225EE"/>
    <w:rsid w:val="00122758"/>
    <w:rsid w:val="0012283C"/>
    <w:rsid w:val="00122A3B"/>
    <w:rsid w:val="00122AAD"/>
    <w:rsid w:val="00122D9E"/>
    <w:rsid w:val="00122E54"/>
    <w:rsid w:val="00122F33"/>
    <w:rsid w:val="001231AE"/>
    <w:rsid w:val="001231ED"/>
    <w:rsid w:val="0012326B"/>
    <w:rsid w:val="00123328"/>
    <w:rsid w:val="00123376"/>
    <w:rsid w:val="00123412"/>
    <w:rsid w:val="00123434"/>
    <w:rsid w:val="001234E1"/>
    <w:rsid w:val="00123598"/>
    <w:rsid w:val="00123609"/>
    <w:rsid w:val="001237BE"/>
    <w:rsid w:val="001238C6"/>
    <w:rsid w:val="00123B75"/>
    <w:rsid w:val="00123B88"/>
    <w:rsid w:val="00123BC5"/>
    <w:rsid w:val="00123C7F"/>
    <w:rsid w:val="00123CFE"/>
    <w:rsid w:val="00123D5B"/>
    <w:rsid w:val="00124062"/>
    <w:rsid w:val="0012408D"/>
    <w:rsid w:val="001240F0"/>
    <w:rsid w:val="00124171"/>
    <w:rsid w:val="001242BE"/>
    <w:rsid w:val="001243E9"/>
    <w:rsid w:val="00124566"/>
    <w:rsid w:val="00124617"/>
    <w:rsid w:val="00124637"/>
    <w:rsid w:val="0012477A"/>
    <w:rsid w:val="001248EB"/>
    <w:rsid w:val="00124B56"/>
    <w:rsid w:val="00124B69"/>
    <w:rsid w:val="00124C1E"/>
    <w:rsid w:val="001251B7"/>
    <w:rsid w:val="0012529F"/>
    <w:rsid w:val="001252CA"/>
    <w:rsid w:val="0012553D"/>
    <w:rsid w:val="001255A0"/>
    <w:rsid w:val="00125756"/>
    <w:rsid w:val="001257AC"/>
    <w:rsid w:val="001258A8"/>
    <w:rsid w:val="001258EB"/>
    <w:rsid w:val="00125A04"/>
    <w:rsid w:val="00125A7B"/>
    <w:rsid w:val="00125BD3"/>
    <w:rsid w:val="00125BD8"/>
    <w:rsid w:val="00125BE2"/>
    <w:rsid w:val="00125C05"/>
    <w:rsid w:val="00125EC8"/>
    <w:rsid w:val="001263F0"/>
    <w:rsid w:val="00126639"/>
    <w:rsid w:val="00126720"/>
    <w:rsid w:val="001267A8"/>
    <w:rsid w:val="00126A7B"/>
    <w:rsid w:val="00126B8D"/>
    <w:rsid w:val="00126BD3"/>
    <w:rsid w:val="00126D3C"/>
    <w:rsid w:val="00126DE6"/>
    <w:rsid w:val="00126E09"/>
    <w:rsid w:val="00126F12"/>
    <w:rsid w:val="00126FF9"/>
    <w:rsid w:val="00127101"/>
    <w:rsid w:val="0012712C"/>
    <w:rsid w:val="00127286"/>
    <w:rsid w:val="0012762F"/>
    <w:rsid w:val="00127698"/>
    <w:rsid w:val="001276A5"/>
    <w:rsid w:val="001276FC"/>
    <w:rsid w:val="00127751"/>
    <w:rsid w:val="00127AF2"/>
    <w:rsid w:val="00127B02"/>
    <w:rsid w:val="00127C49"/>
    <w:rsid w:val="00127D12"/>
    <w:rsid w:val="00127FA3"/>
    <w:rsid w:val="001300F1"/>
    <w:rsid w:val="0013011D"/>
    <w:rsid w:val="001302E5"/>
    <w:rsid w:val="0013049B"/>
    <w:rsid w:val="0013058A"/>
    <w:rsid w:val="001305B0"/>
    <w:rsid w:val="001305F6"/>
    <w:rsid w:val="00130777"/>
    <w:rsid w:val="00130838"/>
    <w:rsid w:val="00130913"/>
    <w:rsid w:val="00130952"/>
    <w:rsid w:val="001309F6"/>
    <w:rsid w:val="00130A29"/>
    <w:rsid w:val="00130B5E"/>
    <w:rsid w:val="00130B94"/>
    <w:rsid w:val="00130CDA"/>
    <w:rsid w:val="00130EFC"/>
    <w:rsid w:val="00131331"/>
    <w:rsid w:val="001313AC"/>
    <w:rsid w:val="00131582"/>
    <w:rsid w:val="00131768"/>
    <w:rsid w:val="0013176A"/>
    <w:rsid w:val="0013176E"/>
    <w:rsid w:val="00131861"/>
    <w:rsid w:val="00131946"/>
    <w:rsid w:val="00131AC8"/>
    <w:rsid w:val="00131C0A"/>
    <w:rsid w:val="00131C9A"/>
    <w:rsid w:val="00131CAB"/>
    <w:rsid w:val="00131D0B"/>
    <w:rsid w:val="00131E1B"/>
    <w:rsid w:val="00131E7A"/>
    <w:rsid w:val="00131F42"/>
    <w:rsid w:val="00131FC3"/>
    <w:rsid w:val="00131FFA"/>
    <w:rsid w:val="00132029"/>
    <w:rsid w:val="00132428"/>
    <w:rsid w:val="0013243B"/>
    <w:rsid w:val="0013265E"/>
    <w:rsid w:val="001326A4"/>
    <w:rsid w:val="0013270E"/>
    <w:rsid w:val="00132766"/>
    <w:rsid w:val="001328C0"/>
    <w:rsid w:val="00132975"/>
    <w:rsid w:val="00132ADD"/>
    <w:rsid w:val="00132B29"/>
    <w:rsid w:val="00132CAA"/>
    <w:rsid w:val="00132CC2"/>
    <w:rsid w:val="00132CD7"/>
    <w:rsid w:val="00132D32"/>
    <w:rsid w:val="00132D4A"/>
    <w:rsid w:val="00132DF1"/>
    <w:rsid w:val="00132EAD"/>
    <w:rsid w:val="001330A7"/>
    <w:rsid w:val="001330B1"/>
    <w:rsid w:val="00133143"/>
    <w:rsid w:val="00133182"/>
    <w:rsid w:val="0013325D"/>
    <w:rsid w:val="0013354F"/>
    <w:rsid w:val="0013375A"/>
    <w:rsid w:val="00133882"/>
    <w:rsid w:val="0013389E"/>
    <w:rsid w:val="00133C83"/>
    <w:rsid w:val="00133EE9"/>
    <w:rsid w:val="00133F18"/>
    <w:rsid w:val="00133FF1"/>
    <w:rsid w:val="001343A4"/>
    <w:rsid w:val="00134493"/>
    <w:rsid w:val="00134538"/>
    <w:rsid w:val="001348AC"/>
    <w:rsid w:val="00134928"/>
    <w:rsid w:val="00134940"/>
    <w:rsid w:val="00134957"/>
    <w:rsid w:val="00134AA0"/>
    <w:rsid w:val="00134C18"/>
    <w:rsid w:val="00134D0E"/>
    <w:rsid w:val="00134E7B"/>
    <w:rsid w:val="00134EA9"/>
    <w:rsid w:val="00134FC0"/>
    <w:rsid w:val="00135033"/>
    <w:rsid w:val="0013524E"/>
    <w:rsid w:val="00135356"/>
    <w:rsid w:val="001353E2"/>
    <w:rsid w:val="00135413"/>
    <w:rsid w:val="0013544E"/>
    <w:rsid w:val="00135477"/>
    <w:rsid w:val="001356DD"/>
    <w:rsid w:val="001357F1"/>
    <w:rsid w:val="00135902"/>
    <w:rsid w:val="00135A6A"/>
    <w:rsid w:val="00135A8F"/>
    <w:rsid w:val="00135AFE"/>
    <w:rsid w:val="00135DA5"/>
    <w:rsid w:val="00135EF7"/>
    <w:rsid w:val="00135F31"/>
    <w:rsid w:val="00135F52"/>
    <w:rsid w:val="00136036"/>
    <w:rsid w:val="00136145"/>
    <w:rsid w:val="001361F6"/>
    <w:rsid w:val="00136240"/>
    <w:rsid w:val="00136337"/>
    <w:rsid w:val="001365B3"/>
    <w:rsid w:val="00136766"/>
    <w:rsid w:val="0013693B"/>
    <w:rsid w:val="001369BA"/>
    <w:rsid w:val="00136E32"/>
    <w:rsid w:val="0013701D"/>
    <w:rsid w:val="00137106"/>
    <w:rsid w:val="00137229"/>
    <w:rsid w:val="001372C2"/>
    <w:rsid w:val="00137381"/>
    <w:rsid w:val="001373C3"/>
    <w:rsid w:val="0013757D"/>
    <w:rsid w:val="001375E7"/>
    <w:rsid w:val="0013779C"/>
    <w:rsid w:val="00137A7F"/>
    <w:rsid w:val="00137BDA"/>
    <w:rsid w:val="00137C59"/>
    <w:rsid w:val="00137E1C"/>
    <w:rsid w:val="00137E53"/>
    <w:rsid w:val="00137E9E"/>
    <w:rsid w:val="00137F26"/>
    <w:rsid w:val="00137F7D"/>
    <w:rsid w:val="00137FC3"/>
    <w:rsid w:val="00137FF7"/>
    <w:rsid w:val="00140085"/>
    <w:rsid w:val="001400A8"/>
    <w:rsid w:val="001400A9"/>
    <w:rsid w:val="00140124"/>
    <w:rsid w:val="001401F2"/>
    <w:rsid w:val="001402C8"/>
    <w:rsid w:val="001405F9"/>
    <w:rsid w:val="00140639"/>
    <w:rsid w:val="00140648"/>
    <w:rsid w:val="0014064B"/>
    <w:rsid w:val="0014075E"/>
    <w:rsid w:val="00140B95"/>
    <w:rsid w:val="00140CAF"/>
    <w:rsid w:val="00140CC3"/>
    <w:rsid w:val="00140D37"/>
    <w:rsid w:val="00140E06"/>
    <w:rsid w:val="00140E78"/>
    <w:rsid w:val="00140E8C"/>
    <w:rsid w:val="00140FA8"/>
    <w:rsid w:val="00140FD4"/>
    <w:rsid w:val="00141040"/>
    <w:rsid w:val="00141124"/>
    <w:rsid w:val="00141149"/>
    <w:rsid w:val="00141198"/>
    <w:rsid w:val="00141310"/>
    <w:rsid w:val="001413AC"/>
    <w:rsid w:val="00141463"/>
    <w:rsid w:val="001414D1"/>
    <w:rsid w:val="0014158D"/>
    <w:rsid w:val="00141632"/>
    <w:rsid w:val="00141849"/>
    <w:rsid w:val="00141982"/>
    <w:rsid w:val="00141B0B"/>
    <w:rsid w:val="00141ECC"/>
    <w:rsid w:val="00141F2B"/>
    <w:rsid w:val="00141FE7"/>
    <w:rsid w:val="00142104"/>
    <w:rsid w:val="0014217F"/>
    <w:rsid w:val="001421EE"/>
    <w:rsid w:val="001425DF"/>
    <w:rsid w:val="00142704"/>
    <w:rsid w:val="0014274D"/>
    <w:rsid w:val="00142760"/>
    <w:rsid w:val="00142840"/>
    <w:rsid w:val="00142860"/>
    <w:rsid w:val="00142991"/>
    <w:rsid w:val="00142A3E"/>
    <w:rsid w:val="00142A4B"/>
    <w:rsid w:val="00142DED"/>
    <w:rsid w:val="00142DEF"/>
    <w:rsid w:val="00142EFA"/>
    <w:rsid w:val="00142FB6"/>
    <w:rsid w:val="00142FC2"/>
    <w:rsid w:val="00142FEB"/>
    <w:rsid w:val="00143045"/>
    <w:rsid w:val="001435B8"/>
    <w:rsid w:val="00143796"/>
    <w:rsid w:val="00143A0E"/>
    <w:rsid w:val="00143A2D"/>
    <w:rsid w:val="00143DDA"/>
    <w:rsid w:val="00143DE2"/>
    <w:rsid w:val="00144093"/>
    <w:rsid w:val="00144094"/>
    <w:rsid w:val="0014411E"/>
    <w:rsid w:val="001441FE"/>
    <w:rsid w:val="001442F6"/>
    <w:rsid w:val="00144468"/>
    <w:rsid w:val="0014453F"/>
    <w:rsid w:val="0014458F"/>
    <w:rsid w:val="001445B2"/>
    <w:rsid w:val="00144603"/>
    <w:rsid w:val="00144627"/>
    <w:rsid w:val="001446F5"/>
    <w:rsid w:val="001446FE"/>
    <w:rsid w:val="0014474B"/>
    <w:rsid w:val="001447C5"/>
    <w:rsid w:val="00144888"/>
    <w:rsid w:val="001449DA"/>
    <w:rsid w:val="00144A2E"/>
    <w:rsid w:val="00144AE7"/>
    <w:rsid w:val="00144B23"/>
    <w:rsid w:val="00144B7A"/>
    <w:rsid w:val="00144BB4"/>
    <w:rsid w:val="00144CAB"/>
    <w:rsid w:val="00144D79"/>
    <w:rsid w:val="00144D88"/>
    <w:rsid w:val="00144E4E"/>
    <w:rsid w:val="00144FED"/>
    <w:rsid w:val="00145081"/>
    <w:rsid w:val="001454A4"/>
    <w:rsid w:val="00145662"/>
    <w:rsid w:val="00145927"/>
    <w:rsid w:val="00145A41"/>
    <w:rsid w:val="00145BEF"/>
    <w:rsid w:val="00145C11"/>
    <w:rsid w:val="00145DBD"/>
    <w:rsid w:val="00145E58"/>
    <w:rsid w:val="00145EA7"/>
    <w:rsid w:val="001461E1"/>
    <w:rsid w:val="001463F0"/>
    <w:rsid w:val="001464D7"/>
    <w:rsid w:val="0014660A"/>
    <w:rsid w:val="00146673"/>
    <w:rsid w:val="00146705"/>
    <w:rsid w:val="0014681B"/>
    <w:rsid w:val="001468C2"/>
    <w:rsid w:val="001468D0"/>
    <w:rsid w:val="00146A33"/>
    <w:rsid w:val="00146A72"/>
    <w:rsid w:val="00146ACB"/>
    <w:rsid w:val="00146C57"/>
    <w:rsid w:val="00146C66"/>
    <w:rsid w:val="00146E1A"/>
    <w:rsid w:val="00146E6B"/>
    <w:rsid w:val="0014728A"/>
    <w:rsid w:val="001473AF"/>
    <w:rsid w:val="0014774D"/>
    <w:rsid w:val="0014795A"/>
    <w:rsid w:val="00147B2B"/>
    <w:rsid w:val="00147EFA"/>
    <w:rsid w:val="00147F1C"/>
    <w:rsid w:val="00147F5C"/>
    <w:rsid w:val="00147F74"/>
    <w:rsid w:val="00147F96"/>
    <w:rsid w:val="001500F9"/>
    <w:rsid w:val="0015010D"/>
    <w:rsid w:val="00150150"/>
    <w:rsid w:val="001501EC"/>
    <w:rsid w:val="00150937"/>
    <w:rsid w:val="00150B4E"/>
    <w:rsid w:val="00150DE0"/>
    <w:rsid w:val="00150FC3"/>
    <w:rsid w:val="0015105D"/>
    <w:rsid w:val="0015108A"/>
    <w:rsid w:val="00151146"/>
    <w:rsid w:val="001511B4"/>
    <w:rsid w:val="001511BE"/>
    <w:rsid w:val="00151353"/>
    <w:rsid w:val="00151396"/>
    <w:rsid w:val="0015150D"/>
    <w:rsid w:val="00151656"/>
    <w:rsid w:val="00151675"/>
    <w:rsid w:val="00151C2D"/>
    <w:rsid w:val="00151C40"/>
    <w:rsid w:val="00151C62"/>
    <w:rsid w:val="00151D2E"/>
    <w:rsid w:val="00151E84"/>
    <w:rsid w:val="00151FED"/>
    <w:rsid w:val="00152054"/>
    <w:rsid w:val="0015207A"/>
    <w:rsid w:val="00152126"/>
    <w:rsid w:val="0015226A"/>
    <w:rsid w:val="00152291"/>
    <w:rsid w:val="0015236E"/>
    <w:rsid w:val="00152537"/>
    <w:rsid w:val="001529F4"/>
    <w:rsid w:val="00152C59"/>
    <w:rsid w:val="00152CE9"/>
    <w:rsid w:val="00152EC6"/>
    <w:rsid w:val="00152F42"/>
    <w:rsid w:val="0015308C"/>
    <w:rsid w:val="0015308F"/>
    <w:rsid w:val="00153243"/>
    <w:rsid w:val="00153444"/>
    <w:rsid w:val="0015381B"/>
    <w:rsid w:val="0015394B"/>
    <w:rsid w:val="0015395E"/>
    <w:rsid w:val="001539AC"/>
    <w:rsid w:val="00153C2F"/>
    <w:rsid w:val="00153FAA"/>
    <w:rsid w:val="001540DB"/>
    <w:rsid w:val="001540F3"/>
    <w:rsid w:val="001544E4"/>
    <w:rsid w:val="001544F2"/>
    <w:rsid w:val="00154548"/>
    <w:rsid w:val="0015456C"/>
    <w:rsid w:val="001549B0"/>
    <w:rsid w:val="001549E4"/>
    <w:rsid w:val="00154A06"/>
    <w:rsid w:val="00154A5C"/>
    <w:rsid w:val="00154AAC"/>
    <w:rsid w:val="00154DBB"/>
    <w:rsid w:val="00154E3C"/>
    <w:rsid w:val="00154FA9"/>
    <w:rsid w:val="00155384"/>
    <w:rsid w:val="00155509"/>
    <w:rsid w:val="0015550A"/>
    <w:rsid w:val="001555E5"/>
    <w:rsid w:val="0015564F"/>
    <w:rsid w:val="00155652"/>
    <w:rsid w:val="00155733"/>
    <w:rsid w:val="00155B48"/>
    <w:rsid w:val="00155DE3"/>
    <w:rsid w:val="0015602C"/>
    <w:rsid w:val="00156299"/>
    <w:rsid w:val="00156323"/>
    <w:rsid w:val="001564DA"/>
    <w:rsid w:val="001565E7"/>
    <w:rsid w:val="00156626"/>
    <w:rsid w:val="00156706"/>
    <w:rsid w:val="00156773"/>
    <w:rsid w:val="001568F4"/>
    <w:rsid w:val="00156976"/>
    <w:rsid w:val="00156A23"/>
    <w:rsid w:val="00156A90"/>
    <w:rsid w:val="00156BF2"/>
    <w:rsid w:val="00156D07"/>
    <w:rsid w:val="00156D3F"/>
    <w:rsid w:val="00156D80"/>
    <w:rsid w:val="00157007"/>
    <w:rsid w:val="001570A3"/>
    <w:rsid w:val="00157183"/>
    <w:rsid w:val="0015723E"/>
    <w:rsid w:val="001573F0"/>
    <w:rsid w:val="001573F2"/>
    <w:rsid w:val="00157435"/>
    <w:rsid w:val="001576EE"/>
    <w:rsid w:val="0015787F"/>
    <w:rsid w:val="001578C0"/>
    <w:rsid w:val="00157A66"/>
    <w:rsid w:val="00157AE5"/>
    <w:rsid w:val="00157B7F"/>
    <w:rsid w:val="00157D41"/>
    <w:rsid w:val="00157D5F"/>
    <w:rsid w:val="00157EE1"/>
    <w:rsid w:val="001601B2"/>
    <w:rsid w:val="001601BD"/>
    <w:rsid w:val="001601F3"/>
    <w:rsid w:val="00160357"/>
    <w:rsid w:val="001604B1"/>
    <w:rsid w:val="0016063D"/>
    <w:rsid w:val="00160641"/>
    <w:rsid w:val="0016075A"/>
    <w:rsid w:val="0016087B"/>
    <w:rsid w:val="00160A37"/>
    <w:rsid w:val="00160A67"/>
    <w:rsid w:val="00160A68"/>
    <w:rsid w:val="00160B7A"/>
    <w:rsid w:val="00160B91"/>
    <w:rsid w:val="00160E56"/>
    <w:rsid w:val="001610F0"/>
    <w:rsid w:val="00161216"/>
    <w:rsid w:val="0016130C"/>
    <w:rsid w:val="00161733"/>
    <w:rsid w:val="001618D7"/>
    <w:rsid w:val="00161A21"/>
    <w:rsid w:val="00161BD6"/>
    <w:rsid w:val="00161C14"/>
    <w:rsid w:val="00161D01"/>
    <w:rsid w:val="00161E93"/>
    <w:rsid w:val="00161F12"/>
    <w:rsid w:val="00161F29"/>
    <w:rsid w:val="00161F32"/>
    <w:rsid w:val="00161F47"/>
    <w:rsid w:val="00162093"/>
    <w:rsid w:val="001620AC"/>
    <w:rsid w:val="001624D8"/>
    <w:rsid w:val="00162771"/>
    <w:rsid w:val="0016285E"/>
    <w:rsid w:val="00162A19"/>
    <w:rsid w:val="00162A55"/>
    <w:rsid w:val="00162C3D"/>
    <w:rsid w:val="00162D2C"/>
    <w:rsid w:val="00162DA0"/>
    <w:rsid w:val="00162E5B"/>
    <w:rsid w:val="00162EBE"/>
    <w:rsid w:val="00162F3A"/>
    <w:rsid w:val="0016302F"/>
    <w:rsid w:val="001630F5"/>
    <w:rsid w:val="00163245"/>
    <w:rsid w:val="0016329B"/>
    <w:rsid w:val="00163477"/>
    <w:rsid w:val="00163479"/>
    <w:rsid w:val="001634A7"/>
    <w:rsid w:val="001636B8"/>
    <w:rsid w:val="001636BA"/>
    <w:rsid w:val="001638B0"/>
    <w:rsid w:val="001638E7"/>
    <w:rsid w:val="00163918"/>
    <w:rsid w:val="001639AB"/>
    <w:rsid w:val="00163A87"/>
    <w:rsid w:val="00163AC5"/>
    <w:rsid w:val="00163B9A"/>
    <w:rsid w:val="00163BC9"/>
    <w:rsid w:val="00163C1A"/>
    <w:rsid w:val="00163D05"/>
    <w:rsid w:val="00163D3F"/>
    <w:rsid w:val="00163DA1"/>
    <w:rsid w:val="00163E9F"/>
    <w:rsid w:val="00164017"/>
    <w:rsid w:val="0016448E"/>
    <w:rsid w:val="0016449B"/>
    <w:rsid w:val="00164668"/>
    <w:rsid w:val="001646DB"/>
    <w:rsid w:val="0016474A"/>
    <w:rsid w:val="001647ED"/>
    <w:rsid w:val="0016482C"/>
    <w:rsid w:val="0016483A"/>
    <w:rsid w:val="0016494F"/>
    <w:rsid w:val="00164959"/>
    <w:rsid w:val="00164A1E"/>
    <w:rsid w:val="00164A3F"/>
    <w:rsid w:val="00164AD0"/>
    <w:rsid w:val="00164B1A"/>
    <w:rsid w:val="00164CD9"/>
    <w:rsid w:val="00164E46"/>
    <w:rsid w:val="00164E7C"/>
    <w:rsid w:val="00164E96"/>
    <w:rsid w:val="00164FD7"/>
    <w:rsid w:val="00165128"/>
    <w:rsid w:val="001651C3"/>
    <w:rsid w:val="001651D3"/>
    <w:rsid w:val="001651D4"/>
    <w:rsid w:val="0016521D"/>
    <w:rsid w:val="0016535D"/>
    <w:rsid w:val="001654BC"/>
    <w:rsid w:val="00165675"/>
    <w:rsid w:val="001656F4"/>
    <w:rsid w:val="00165824"/>
    <w:rsid w:val="00165BA7"/>
    <w:rsid w:val="00165BCC"/>
    <w:rsid w:val="00165D08"/>
    <w:rsid w:val="00165D16"/>
    <w:rsid w:val="00165D64"/>
    <w:rsid w:val="00165DAD"/>
    <w:rsid w:val="00165DD6"/>
    <w:rsid w:val="00165F9A"/>
    <w:rsid w:val="00166154"/>
    <w:rsid w:val="0016624F"/>
    <w:rsid w:val="00166323"/>
    <w:rsid w:val="00166431"/>
    <w:rsid w:val="00166655"/>
    <w:rsid w:val="001667D2"/>
    <w:rsid w:val="001668F9"/>
    <w:rsid w:val="0016693D"/>
    <w:rsid w:val="00166ADB"/>
    <w:rsid w:val="00166B5B"/>
    <w:rsid w:val="00166C3C"/>
    <w:rsid w:val="00166D4B"/>
    <w:rsid w:val="001670EB"/>
    <w:rsid w:val="001670FC"/>
    <w:rsid w:val="0016715B"/>
    <w:rsid w:val="00167475"/>
    <w:rsid w:val="001675D4"/>
    <w:rsid w:val="00167655"/>
    <w:rsid w:val="00167994"/>
    <w:rsid w:val="00167A68"/>
    <w:rsid w:val="00167B21"/>
    <w:rsid w:val="00167B38"/>
    <w:rsid w:val="00167B59"/>
    <w:rsid w:val="00167B75"/>
    <w:rsid w:val="00167C50"/>
    <w:rsid w:val="00167C6E"/>
    <w:rsid w:val="00167CFC"/>
    <w:rsid w:val="00167D83"/>
    <w:rsid w:val="001700F3"/>
    <w:rsid w:val="00170205"/>
    <w:rsid w:val="001702BC"/>
    <w:rsid w:val="0017054A"/>
    <w:rsid w:val="001705CE"/>
    <w:rsid w:val="0017063C"/>
    <w:rsid w:val="001707A3"/>
    <w:rsid w:val="00170920"/>
    <w:rsid w:val="001709E1"/>
    <w:rsid w:val="00170A49"/>
    <w:rsid w:val="00170EF1"/>
    <w:rsid w:val="00170F34"/>
    <w:rsid w:val="00170F9E"/>
    <w:rsid w:val="00170FD3"/>
    <w:rsid w:val="00171135"/>
    <w:rsid w:val="0017116D"/>
    <w:rsid w:val="001711F1"/>
    <w:rsid w:val="00171360"/>
    <w:rsid w:val="00171491"/>
    <w:rsid w:val="00171513"/>
    <w:rsid w:val="001715A5"/>
    <w:rsid w:val="00171613"/>
    <w:rsid w:val="00171835"/>
    <w:rsid w:val="001718BD"/>
    <w:rsid w:val="00171916"/>
    <w:rsid w:val="001719DD"/>
    <w:rsid w:val="00171CBE"/>
    <w:rsid w:val="00171D4E"/>
    <w:rsid w:val="00171FB9"/>
    <w:rsid w:val="00172045"/>
    <w:rsid w:val="00172176"/>
    <w:rsid w:val="001722F0"/>
    <w:rsid w:val="00172994"/>
    <w:rsid w:val="00172B3B"/>
    <w:rsid w:val="00172B46"/>
    <w:rsid w:val="00172CD3"/>
    <w:rsid w:val="00172D32"/>
    <w:rsid w:val="00172D7D"/>
    <w:rsid w:val="00172E32"/>
    <w:rsid w:val="00172EEE"/>
    <w:rsid w:val="00172F57"/>
    <w:rsid w:val="00173148"/>
    <w:rsid w:val="0017316E"/>
    <w:rsid w:val="001731ED"/>
    <w:rsid w:val="0017330C"/>
    <w:rsid w:val="001733CE"/>
    <w:rsid w:val="00173436"/>
    <w:rsid w:val="0017348B"/>
    <w:rsid w:val="001734C8"/>
    <w:rsid w:val="00173576"/>
    <w:rsid w:val="0017379C"/>
    <w:rsid w:val="00173905"/>
    <w:rsid w:val="001739A4"/>
    <w:rsid w:val="00173A72"/>
    <w:rsid w:val="00173A88"/>
    <w:rsid w:val="00173AFD"/>
    <w:rsid w:val="00173BD9"/>
    <w:rsid w:val="00173D08"/>
    <w:rsid w:val="00173F47"/>
    <w:rsid w:val="00174097"/>
    <w:rsid w:val="00174401"/>
    <w:rsid w:val="001744BF"/>
    <w:rsid w:val="001744D7"/>
    <w:rsid w:val="00174519"/>
    <w:rsid w:val="00174577"/>
    <w:rsid w:val="001746FC"/>
    <w:rsid w:val="00174973"/>
    <w:rsid w:val="00174A43"/>
    <w:rsid w:val="00174A45"/>
    <w:rsid w:val="00174A50"/>
    <w:rsid w:val="00174C93"/>
    <w:rsid w:val="00174C96"/>
    <w:rsid w:val="00174C9A"/>
    <w:rsid w:val="00174D32"/>
    <w:rsid w:val="00174E70"/>
    <w:rsid w:val="00175001"/>
    <w:rsid w:val="00175012"/>
    <w:rsid w:val="00175027"/>
    <w:rsid w:val="0017504C"/>
    <w:rsid w:val="0017504D"/>
    <w:rsid w:val="00175398"/>
    <w:rsid w:val="0017568E"/>
    <w:rsid w:val="00175750"/>
    <w:rsid w:val="00175835"/>
    <w:rsid w:val="0017598E"/>
    <w:rsid w:val="00175A58"/>
    <w:rsid w:val="00175B8B"/>
    <w:rsid w:val="00175BD1"/>
    <w:rsid w:val="00175C32"/>
    <w:rsid w:val="00175C86"/>
    <w:rsid w:val="00175D47"/>
    <w:rsid w:val="00175D7E"/>
    <w:rsid w:val="00175D91"/>
    <w:rsid w:val="00175D95"/>
    <w:rsid w:val="00175DE7"/>
    <w:rsid w:val="00176076"/>
    <w:rsid w:val="0017630C"/>
    <w:rsid w:val="00176346"/>
    <w:rsid w:val="0017635D"/>
    <w:rsid w:val="001766E9"/>
    <w:rsid w:val="0017671A"/>
    <w:rsid w:val="00176721"/>
    <w:rsid w:val="001768B9"/>
    <w:rsid w:val="00176D15"/>
    <w:rsid w:val="00177372"/>
    <w:rsid w:val="00177422"/>
    <w:rsid w:val="00177585"/>
    <w:rsid w:val="001777DF"/>
    <w:rsid w:val="00177A15"/>
    <w:rsid w:val="00177A16"/>
    <w:rsid w:val="00177AC7"/>
    <w:rsid w:val="00177C28"/>
    <w:rsid w:val="00177D3D"/>
    <w:rsid w:val="00177D96"/>
    <w:rsid w:val="00177E6C"/>
    <w:rsid w:val="00177E79"/>
    <w:rsid w:val="00177EEA"/>
    <w:rsid w:val="00180496"/>
    <w:rsid w:val="001804DB"/>
    <w:rsid w:val="00180586"/>
    <w:rsid w:val="00180817"/>
    <w:rsid w:val="00180832"/>
    <w:rsid w:val="00180AC0"/>
    <w:rsid w:val="00180B4A"/>
    <w:rsid w:val="00180BFF"/>
    <w:rsid w:val="00180C76"/>
    <w:rsid w:val="00180EF4"/>
    <w:rsid w:val="00180F67"/>
    <w:rsid w:val="00180F8E"/>
    <w:rsid w:val="0018108B"/>
    <w:rsid w:val="00181146"/>
    <w:rsid w:val="001811D2"/>
    <w:rsid w:val="00181364"/>
    <w:rsid w:val="001814B1"/>
    <w:rsid w:val="001814C5"/>
    <w:rsid w:val="0018183F"/>
    <w:rsid w:val="00181868"/>
    <w:rsid w:val="001818AC"/>
    <w:rsid w:val="001818D3"/>
    <w:rsid w:val="0018190D"/>
    <w:rsid w:val="00181A1B"/>
    <w:rsid w:val="00181A53"/>
    <w:rsid w:val="00181B3D"/>
    <w:rsid w:val="00181B9D"/>
    <w:rsid w:val="0018213D"/>
    <w:rsid w:val="001821DB"/>
    <w:rsid w:val="0018223E"/>
    <w:rsid w:val="0018228C"/>
    <w:rsid w:val="001822E3"/>
    <w:rsid w:val="0018236E"/>
    <w:rsid w:val="00182372"/>
    <w:rsid w:val="001823B0"/>
    <w:rsid w:val="001825A0"/>
    <w:rsid w:val="00182A00"/>
    <w:rsid w:val="00182B22"/>
    <w:rsid w:val="00182CBC"/>
    <w:rsid w:val="00182D81"/>
    <w:rsid w:val="00182EB2"/>
    <w:rsid w:val="00182F58"/>
    <w:rsid w:val="001831E0"/>
    <w:rsid w:val="001832E3"/>
    <w:rsid w:val="00183461"/>
    <w:rsid w:val="001834F0"/>
    <w:rsid w:val="0018373C"/>
    <w:rsid w:val="0018376E"/>
    <w:rsid w:val="0018380B"/>
    <w:rsid w:val="001838D0"/>
    <w:rsid w:val="001838EE"/>
    <w:rsid w:val="0018395E"/>
    <w:rsid w:val="001839E2"/>
    <w:rsid w:val="00183AAC"/>
    <w:rsid w:val="00183B3C"/>
    <w:rsid w:val="00183BCE"/>
    <w:rsid w:val="00183C7E"/>
    <w:rsid w:val="00183E26"/>
    <w:rsid w:val="00183E58"/>
    <w:rsid w:val="00183F48"/>
    <w:rsid w:val="001841F3"/>
    <w:rsid w:val="001843A7"/>
    <w:rsid w:val="00184435"/>
    <w:rsid w:val="00184543"/>
    <w:rsid w:val="00184590"/>
    <w:rsid w:val="001845A2"/>
    <w:rsid w:val="00184652"/>
    <w:rsid w:val="00184689"/>
    <w:rsid w:val="0018479F"/>
    <w:rsid w:val="0018484F"/>
    <w:rsid w:val="00184D20"/>
    <w:rsid w:val="00184D84"/>
    <w:rsid w:val="00184E0A"/>
    <w:rsid w:val="00184E21"/>
    <w:rsid w:val="00184F54"/>
    <w:rsid w:val="0018509A"/>
    <w:rsid w:val="001852AD"/>
    <w:rsid w:val="00185410"/>
    <w:rsid w:val="0018543C"/>
    <w:rsid w:val="00185540"/>
    <w:rsid w:val="001858A9"/>
    <w:rsid w:val="00185AF6"/>
    <w:rsid w:val="00185C02"/>
    <w:rsid w:val="00185C18"/>
    <w:rsid w:val="00185C90"/>
    <w:rsid w:val="00185D3A"/>
    <w:rsid w:val="00185D9D"/>
    <w:rsid w:val="00185F63"/>
    <w:rsid w:val="00186370"/>
    <w:rsid w:val="00186668"/>
    <w:rsid w:val="001866F8"/>
    <w:rsid w:val="00186784"/>
    <w:rsid w:val="00186810"/>
    <w:rsid w:val="00186832"/>
    <w:rsid w:val="001868B4"/>
    <w:rsid w:val="00186A2C"/>
    <w:rsid w:val="00186B9B"/>
    <w:rsid w:val="00186C63"/>
    <w:rsid w:val="00186ECA"/>
    <w:rsid w:val="00186F69"/>
    <w:rsid w:val="001870D1"/>
    <w:rsid w:val="0018715C"/>
    <w:rsid w:val="001871E7"/>
    <w:rsid w:val="0018744F"/>
    <w:rsid w:val="00187458"/>
    <w:rsid w:val="001875F8"/>
    <w:rsid w:val="0018761E"/>
    <w:rsid w:val="00187689"/>
    <w:rsid w:val="001877A9"/>
    <w:rsid w:val="00187818"/>
    <w:rsid w:val="0018781E"/>
    <w:rsid w:val="00187826"/>
    <w:rsid w:val="00187956"/>
    <w:rsid w:val="00187CF1"/>
    <w:rsid w:val="00190009"/>
    <w:rsid w:val="0019003A"/>
    <w:rsid w:val="00190152"/>
    <w:rsid w:val="001902F2"/>
    <w:rsid w:val="001905B3"/>
    <w:rsid w:val="001906A4"/>
    <w:rsid w:val="001907D3"/>
    <w:rsid w:val="001908E5"/>
    <w:rsid w:val="0019096D"/>
    <w:rsid w:val="00190B82"/>
    <w:rsid w:val="00190D32"/>
    <w:rsid w:val="00190E4A"/>
    <w:rsid w:val="00190E86"/>
    <w:rsid w:val="00190F30"/>
    <w:rsid w:val="00190FD9"/>
    <w:rsid w:val="001911C4"/>
    <w:rsid w:val="00191241"/>
    <w:rsid w:val="001913CA"/>
    <w:rsid w:val="001913E2"/>
    <w:rsid w:val="001915AF"/>
    <w:rsid w:val="001915CA"/>
    <w:rsid w:val="001915D6"/>
    <w:rsid w:val="00191696"/>
    <w:rsid w:val="00191793"/>
    <w:rsid w:val="001918E7"/>
    <w:rsid w:val="0019195F"/>
    <w:rsid w:val="001919F0"/>
    <w:rsid w:val="00191A6C"/>
    <w:rsid w:val="00191B36"/>
    <w:rsid w:val="00191CE8"/>
    <w:rsid w:val="00191E45"/>
    <w:rsid w:val="00191E6E"/>
    <w:rsid w:val="00191F12"/>
    <w:rsid w:val="00191FAD"/>
    <w:rsid w:val="00191FE9"/>
    <w:rsid w:val="00192054"/>
    <w:rsid w:val="0019207B"/>
    <w:rsid w:val="001921F0"/>
    <w:rsid w:val="00192303"/>
    <w:rsid w:val="001923A5"/>
    <w:rsid w:val="001925B2"/>
    <w:rsid w:val="0019262D"/>
    <w:rsid w:val="0019277B"/>
    <w:rsid w:val="0019278B"/>
    <w:rsid w:val="00192832"/>
    <w:rsid w:val="001929EB"/>
    <w:rsid w:val="00192DFD"/>
    <w:rsid w:val="00192E7E"/>
    <w:rsid w:val="00192F8A"/>
    <w:rsid w:val="00193011"/>
    <w:rsid w:val="001930D9"/>
    <w:rsid w:val="001931A6"/>
    <w:rsid w:val="001931B8"/>
    <w:rsid w:val="001933BC"/>
    <w:rsid w:val="00193577"/>
    <w:rsid w:val="0019374B"/>
    <w:rsid w:val="001937F6"/>
    <w:rsid w:val="001938C2"/>
    <w:rsid w:val="0019398F"/>
    <w:rsid w:val="00193A94"/>
    <w:rsid w:val="00193BA1"/>
    <w:rsid w:val="00193BCE"/>
    <w:rsid w:val="00193EF2"/>
    <w:rsid w:val="00193F02"/>
    <w:rsid w:val="0019415E"/>
    <w:rsid w:val="00194265"/>
    <w:rsid w:val="0019429E"/>
    <w:rsid w:val="00194493"/>
    <w:rsid w:val="001944A7"/>
    <w:rsid w:val="001944B2"/>
    <w:rsid w:val="0019475D"/>
    <w:rsid w:val="001948BA"/>
    <w:rsid w:val="00194999"/>
    <w:rsid w:val="001949EC"/>
    <w:rsid w:val="00194B26"/>
    <w:rsid w:val="00194BE8"/>
    <w:rsid w:val="00194CF0"/>
    <w:rsid w:val="00194D1C"/>
    <w:rsid w:val="00194DA4"/>
    <w:rsid w:val="00194EB5"/>
    <w:rsid w:val="00194F43"/>
    <w:rsid w:val="001951C7"/>
    <w:rsid w:val="001951D1"/>
    <w:rsid w:val="001951F4"/>
    <w:rsid w:val="001953E4"/>
    <w:rsid w:val="001954B6"/>
    <w:rsid w:val="00195695"/>
    <w:rsid w:val="00195A6C"/>
    <w:rsid w:val="00195BCE"/>
    <w:rsid w:val="00195C79"/>
    <w:rsid w:val="00195C9F"/>
    <w:rsid w:val="00195CF0"/>
    <w:rsid w:val="00195DD6"/>
    <w:rsid w:val="00195EEA"/>
    <w:rsid w:val="00195FE2"/>
    <w:rsid w:val="00196079"/>
    <w:rsid w:val="00196154"/>
    <w:rsid w:val="00196213"/>
    <w:rsid w:val="0019635F"/>
    <w:rsid w:val="00196362"/>
    <w:rsid w:val="00196472"/>
    <w:rsid w:val="001964E5"/>
    <w:rsid w:val="00196513"/>
    <w:rsid w:val="001965B3"/>
    <w:rsid w:val="001967CD"/>
    <w:rsid w:val="00196B8E"/>
    <w:rsid w:val="00196BF3"/>
    <w:rsid w:val="00196C08"/>
    <w:rsid w:val="00196C2D"/>
    <w:rsid w:val="00196C47"/>
    <w:rsid w:val="00196C9D"/>
    <w:rsid w:val="00196ED6"/>
    <w:rsid w:val="00197011"/>
    <w:rsid w:val="0019722C"/>
    <w:rsid w:val="001972F6"/>
    <w:rsid w:val="0019730A"/>
    <w:rsid w:val="0019730D"/>
    <w:rsid w:val="0019751E"/>
    <w:rsid w:val="001978FD"/>
    <w:rsid w:val="0019793F"/>
    <w:rsid w:val="00197965"/>
    <w:rsid w:val="001979E0"/>
    <w:rsid w:val="00197A5C"/>
    <w:rsid w:val="00197B02"/>
    <w:rsid w:val="00197CA6"/>
    <w:rsid w:val="00197D06"/>
    <w:rsid w:val="00197DB1"/>
    <w:rsid w:val="001A0264"/>
    <w:rsid w:val="001A02F9"/>
    <w:rsid w:val="001A032C"/>
    <w:rsid w:val="001A037A"/>
    <w:rsid w:val="001A03D8"/>
    <w:rsid w:val="001A04D6"/>
    <w:rsid w:val="001A05EB"/>
    <w:rsid w:val="001A071E"/>
    <w:rsid w:val="001A0816"/>
    <w:rsid w:val="001A08EB"/>
    <w:rsid w:val="001A094F"/>
    <w:rsid w:val="001A095F"/>
    <w:rsid w:val="001A0AEC"/>
    <w:rsid w:val="001A0C31"/>
    <w:rsid w:val="001A0CD4"/>
    <w:rsid w:val="001A0DE0"/>
    <w:rsid w:val="001A0E03"/>
    <w:rsid w:val="001A0E70"/>
    <w:rsid w:val="001A0F04"/>
    <w:rsid w:val="001A0F12"/>
    <w:rsid w:val="001A0F67"/>
    <w:rsid w:val="001A1059"/>
    <w:rsid w:val="001A109E"/>
    <w:rsid w:val="001A10E1"/>
    <w:rsid w:val="001A1109"/>
    <w:rsid w:val="001A1179"/>
    <w:rsid w:val="001A1541"/>
    <w:rsid w:val="001A182D"/>
    <w:rsid w:val="001A1ADD"/>
    <w:rsid w:val="001A1B35"/>
    <w:rsid w:val="001A1D52"/>
    <w:rsid w:val="001A23C2"/>
    <w:rsid w:val="001A25A1"/>
    <w:rsid w:val="001A2691"/>
    <w:rsid w:val="001A283D"/>
    <w:rsid w:val="001A290D"/>
    <w:rsid w:val="001A2A07"/>
    <w:rsid w:val="001A2AD9"/>
    <w:rsid w:val="001A2C1E"/>
    <w:rsid w:val="001A2C29"/>
    <w:rsid w:val="001A2D33"/>
    <w:rsid w:val="001A2D48"/>
    <w:rsid w:val="001A2D6A"/>
    <w:rsid w:val="001A2EBD"/>
    <w:rsid w:val="001A2FFE"/>
    <w:rsid w:val="001A31CF"/>
    <w:rsid w:val="001A327D"/>
    <w:rsid w:val="001A335C"/>
    <w:rsid w:val="001A3595"/>
    <w:rsid w:val="001A3694"/>
    <w:rsid w:val="001A3991"/>
    <w:rsid w:val="001A3B79"/>
    <w:rsid w:val="001A3CEB"/>
    <w:rsid w:val="001A3D0C"/>
    <w:rsid w:val="001A3E30"/>
    <w:rsid w:val="001A3ED6"/>
    <w:rsid w:val="001A3F17"/>
    <w:rsid w:val="001A3F53"/>
    <w:rsid w:val="001A40CD"/>
    <w:rsid w:val="001A4163"/>
    <w:rsid w:val="001A4184"/>
    <w:rsid w:val="001A4342"/>
    <w:rsid w:val="001A4397"/>
    <w:rsid w:val="001A4420"/>
    <w:rsid w:val="001A44B6"/>
    <w:rsid w:val="001A4577"/>
    <w:rsid w:val="001A4707"/>
    <w:rsid w:val="001A47A7"/>
    <w:rsid w:val="001A48A2"/>
    <w:rsid w:val="001A4C83"/>
    <w:rsid w:val="001A4C9D"/>
    <w:rsid w:val="001A4E52"/>
    <w:rsid w:val="001A4EE5"/>
    <w:rsid w:val="001A4F38"/>
    <w:rsid w:val="001A501B"/>
    <w:rsid w:val="001A5026"/>
    <w:rsid w:val="001A5222"/>
    <w:rsid w:val="001A5293"/>
    <w:rsid w:val="001A5341"/>
    <w:rsid w:val="001A540B"/>
    <w:rsid w:val="001A54DC"/>
    <w:rsid w:val="001A595C"/>
    <w:rsid w:val="001A59AC"/>
    <w:rsid w:val="001A5A40"/>
    <w:rsid w:val="001A5AA2"/>
    <w:rsid w:val="001A5B3C"/>
    <w:rsid w:val="001A5CAF"/>
    <w:rsid w:val="001A5F1C"/>
    <w:rsid w:val="001A5F2E"/>
    <w:rsid w:val="001A5F8F"/>
    <w:rsid w:val="001A6216"/>
    <w:rsid w:val="001A64E7"/>
    <w:rsid w:val="001A6581"/>
    <w:rsid w:val="001A65AC"/>
    <w:rsid w:val="001A662D"/>
    <w:rsid w:val="001A6749"/>
    <w:rsid w:val="001A69EE"/>
    <w:rsid w:val="001A6B3D"/>
    <w:rsid w:val="001A6B47"/>
    <w:rsid w:val="001A6DAF"/>
    <w:rsid w:val="001A6E1A"/>
    <w:rsid w:val="001A6F55"/>
    <w:rsid w:val="001A6F61"/>
    <w:rsid w:val="001A6FB4"/>
    <w:rsid w:val="001A70F6"/>
    <w:rsid w:val="001A7358"/>
    <w:rsid w:val="001A7362"/>
    <w:rsid w:val="001A73E2"/>
    <w:rsid w:val="001A7416"/>
    <w:rsid w:val="001A7417"/>
    <w:rsid w:val="001A746E"/>
    <w:rsid w:val="001A7788"/>
    <w:rsid w:val="001A798D"/>
    <w:rsid w:val="001A79CD"/>
    <w:rsid w:val="001A7BC7"/>
    <w:rsid w:val="001A7DD4"/>
    <w:rsid w:val="001A7EE2"/>
    <w:rsid w:val="001A7F61"/>
    <w:rsid w:val="001A7FFB"/>
    <w:rsid w:val="001B00DD"/>
    <w:rsid w:val="001B0113"/>
    <w:rsid w:val="001B01CF"/>
    <w:rsid w:val="001B0245"/>
    <w:rsid w:val="001B0292"/>
    <w:rsid w:val="001B04CE"/>
    <w:rsid w:val="001B06B2"/>
    <w:rsid w:val="001B07C4"/>
    <w:rsid w:val="001B0ABF"/>
    <w:rsid w:val="001B0BF6"/>
    <w:rsid w:val="001B0D35"/>
    <w:rsid w:val="001B0F1B"/>
    <w:rsid w:val="001B1108"/>
    <w:rsid w:val="001B1236"/>
    <w:rsid w:val="001B13A2"/>
    <w:rsid w:val="001B1485"/>
    <w:rsid w:val="001B14ED"/>
    <w:rsid w:val="001B152F"/>
    <w:rsid w:val="001B15F4"/>
    <w:rsid w:val="001B179F"/>
    <w:rsid w:val="001B17BF"/>
    <w:rsid w:val="001B19CB"/>
    <w:rsid w:val="001B1B42"/>
    <w:rsid w:val="001B1BC3"/>
    <w:rsid w:val="001B1CA3"/>
    <w:rsid w:val="001B1DF0"/>
    <w:rsid w:val="001B1EF1"/>
    <w:rsid w:val="001B201B"/>
    <w:rsid w:val="001B2087"/>
    <w:rsid w:val="001B20C3"/>
    <w:rsid w:val="001B20E8"/>
    <w:rsid w:val="001B20FD"/>
    <w:rsid w:val="001B228A"/>
    <w:rsid w:val="001B23D8"/>
    <w:rsid w:val="001B23DA"/>
    <w:rsid w:val="001B242B"/>
    <w:rsid w:val="001B24B8"/>
    <w:rsid w:val="001B263D"/>
    <w:rsid w:val="001B26D4"/>
    <w:rsid w:val="001B28CD"/>
    <w:rsid w:val="001B296C"/>
    <w:rsid w:val="001B2C4A"/>
    <w:rsid w:val="001B2C8F"/>
    <w:rsid w:val="001B2CF8"/>
    <w:rsid w:val="001B2F4F"/>
    <w:rsid w:val="001B3006"/>
    <w:rsid w:val="001B3099"/>
    <w:rsid w:val="001B30C9"/>
    <w:rsid w:val="001B3103"/>
    <w:rsid w:val="001B311A"/>
    <w:rsid w:val="001B312E"/>
    <w:rsid w:val="001B31C8"/>
    <w:rsid w:val="001B3210"/>
    <w:rsid w:val="001B3473"/>
    <w:rsid w:val="001B3574"/>
    <w:rsid w:val="001B358B"/>
    <w:rsid w:val="001B36E7"/>
    <w:rsid w:val="001B3AF5"/>
    <w:rsid w:val="001B3BEC"/>
    <w:rsid w:val="001B3BFB"/>
    <w:rsid w:val="001B3C24"/>
    <w:rsid w:val="001B3E19"/>
    <w:rsid w:val="001B4075"/>
    <w:rsid w:val="001B4171"/>
    <w:rsid w:val="001B420F"/>
    <w:rsid w:val="001B43E1"/>
    <w:rsid w:val="001B43EA"/>
    <w:rsid w:val="001B43F7"/>
    <w:rsid w:val="001B47A3"/>
    <w:rsid w:val="001B48F9"/>
    <w:rsid w:val="001B4947"/>
    <w:rsid w:val="001B49F7"/>
    <w:rsid w:val="001B4A76"/>
    <w:rsid w:val="001B4B43"/>
    <w:rsid w:val="001B4C19"/>
    <w:rsid w:val="001B4C56"/>
    <w:rsid w:val="001B4C93"/>
    <w:rsid w:val="001B4DF9"/>
    <w:rsid w:val="001B4F05"/>
    <w:rsid w:val="001B5240"/>
    <w:rsid w:val="001B5308"/>
    <w:rsid w:val="001B5445"/>
    <w:rsid w:val="001B5503"/>
    <w:rsid w:val="001B557D"/>
    <w:rsid w:val="001B55A8"/>
    <w:rsid w:val="001B55C3"/>
    <w:rsid w:val="001B57D8"/>
    <w:rsid w:val="001B5974"/>
    <w:rsid w:val="001B5A2C"/>
    <w:rsid w:val="001B5A7E"/>
    <w:rsid w:val="001B5BBB"/>
    <w:rsid w:val="001B5E70"/>
    <w:rsid w:val="001B5E75"/>
    <w:rsid w:val="001B63A5"/>
    <w:rsid w:val="001B6673"/>
    <w:rsid w:val="001B668A"/>
    <w:rsid w:val="001B66C6"/>
    <w:rsid w:val="001B66E9"/>
    <w:rsid w:val="001B6704"/>
    <w:rsid w:val="001B671E"/>
    <w:rsid w:val="001B67BD"/>
    <w:rsid w:val="001B67F9"/>
    <w:rsid w:val="001B69CA"/>
    <w:rsid w:val="001B6A64"/>
    <w:rsid w:val="001B6C09"/>
    <w:rsid w:val="001B6D47"/>
    <w:rsid w:val="001B6E58"/>
    <w:rsid w:val="001B707D"/>
    <w:rsid w:val="001B7096"/>
    <w:rsid w:val="001B71FD"/>
    <w:rsid w:val="001B7254"/>
    <w:rsid w:val="001B72B8"/>
    <w:rsid w:val="001B731B"/>
    <w:rsid w:val="001B73C4"/>
    <w:rsid w:val="001B73CF"/>
    <w:rsid w:val="001B7497"/>
    <w:rsid w:val="001B74CF"/>
    <w:rsid w:val="001B77F9"/>
    <w:rsid w:val="001B781E"/>
    <w:rsid w:val="001B7843"/>
    <w:rsid w:val="001B7849"/>
    <w:rsid w:val="001B7A65"/>
    <w:rsid w:val="001B7B0E"/>
    <w:rsid w:val="001B7BCC"/>
    <w:rsid w:val="001B7BD3"/>
    <w:rsid w:val="001B7F61"/>
    <w:rsid w:val="001B7F7F"/>
    <w:rsid w:val="001B7FAA"/>
    <w:rsid w:val="001C010D"/>
    <w:rsid w:val="001C0274"/>
    <w:rsid w:val="001C055E"/>
    <w:rsid w:val="001C06F5"/>
    <w:rsid w:val="001C0901"/>
    <w:rsid w:val="001C0991"/>
    <w:rsid w:val="001C0A33"/>
    <w:rsid w:val="001C0DD3"/>
    <w:rsid w:val="001C0E2D"/>
    <w:rsid w:val="001C0FEA"/>
    <w:rsid w:val="001C10AA"/>
    <w:rsid w:val="001C10DD"/>
    <w:rsid w:val="001C11FA"/>
    <w:rsid w:val="001C1358"/>
    <w:rsid w:val="001C13CD"/>
    <w:rsid w:val="001C1591"/>
    <w:rsid w:val="001C159F"/>
    <w:rsid w:val="001C1708"/>
    <w:rsid w:val="001C17A3"/>
    <w:rsid w:val="001C17AE"/>
    <w:rsid w:val="001C17D0"/>
    <w:rsid w:val="001C182B"/>
    <w:rsid w:val="001C1AD0"/>
    <w:rsid w:val="001C1C61"/>
    <w:rsid w:val="001C1D02"/>
    <w:rsid w:val="001C1E43"/>
    <w:rsid w:val="001C1E5D"/>
    <w:rsid w:val="001C1F4A"/>
    <w:rsid w:val="001C201E"/>
    <w:rsid w:val="001C2306"/>
    <w:rsid w:val="001C231E"/>
    <w:rsid w:val="001C235B"/>
    <w:rsid w:val="001C2410"/>
    <w:rsid w:val="001C2447"/>
    <w:rsid w:val="001C25C7"/>
    <w:rsid w:val="001C2951"/>
    <w:rsid w:val="001C29BE"/>
    <w:rsid w:val="001C2B6C"/>
    <w:rsid w:val="001C2E32"/>
    <w:rsid w:val="001C314F"/>
    <w:rsid w:val="001C335E"/>
    <w:rsid w:val="001C3818"/>
    <w:rsid w:val="001C3A5E"/>
    <w:rsid w:val="001C3A6B"/>
    <w:rsid w:val="001C3B2E"/>
    <w:rsid w:val="001C3B62"/>
    <w:rsid w:val="001C40C9"/>
    <w:rsid w:val="001C419F"/>
    <w:rsid w:val="001C426A"/>
    <w:rsid w:val="001C429C"/>
    <w:rsid w:val="001C4498"/>
    <w:rsid w:val="001C453E"/>
    <w:rsid w:val="001C4540"/>
    <w:rsid w:val="001C4560"/>
    <w:rsid w:val="001C4564"/>
    <w:rsid w:val="001C4670"/>
    <w:rsid w:val="001C46E8"/>
    <w:rsid w:val="001C49FF"/>
    <w:rsid w:val="001C4A2E"/>
    <w:rsid w:val="001C4A89"/>
    <w:rsid w:val="001C4C6D"/>
    <w:rsid w:val="001C4F04"/>
    <w:rsid w:val="001C4F05"/>
    <w:rsid w:val="001C4FA8"/>
    <w:rsid w:val="001C566F"/>
    <w:rsid w:val="001C574F"/>
    <w:rsid w:val="001C5796"/>
    <w:rsid w:val="001C57EC"/>
    <w:rsid w:val="001C57FB"/>
    <w:rsid w:val="001C594A"/>
    <w:rsid w:val="001C5B84"/>
    <w:rsid w:val="001C5EC2"/>
    <w:rsid w:val="001C5F81"/>
    <w:rsid w:val="001C5F8E"/>
    <w:rsid w:val="001C636C"/>
    <w:rsid w:val="001C6372"/>
    <w:rsid w:val="001C6385"/>
    <w:rsid w:val="001C6449"/>
    <w:rsid w:val="001C64B6"/>
    <w:rsid w:val="001C65E1"/>
    <w:rsid w:val="001C6702"/>
    <w:rsid w:val="001C6766"/>
    <w:rsid w:val="001C67AE"/>
    <w:rsid w:val="001C696F"/>
    <w:rsid w:val="001C69AC"/>
    <w:rsid w:val="001C69B3"/>
    <w:rsid w:val="001C69FB"/>
    <w:rsid w:val="001C6AD0"/>
    <w:rsid w:val="001C6B68"/>
    <w:rsid w:val="001C6B6B"/>
    <w:rsid w:val="001C6BF8"/>
    <w:rsid w:val="001C6F7E"/>
    <w:rsid w:val="001C714D"/>
    <w:rsid w:val="001C7195"/>
    <w:rsid w:val="001C7343"/>
    <w:rsid w:val="001C77CC"/>
    <w:rsid w:val="001C781D"/>
    <w:rsid w:val="001C7830"/>
    <w:rsid w:val="001C7A6F"/>
    <w:rsid w:val="001C7AD8"/>
    <w:rsid w:val="001C7C45"/>
    <w:rsid w:val="001C7EC5"/>
    <w:rsid w:val="001C7ECC"/>
    <w:rsid w:val="001D0058"/>
    <w:rsid w:val="001D0086"/>
    <w:rsid w:val="001D01E5"/>
    <w:rsid w:val="001D0346"/>
    <w:rsid w:val="001D035B"/>
    <w:rsid w:val="001D038B"/>
    <w:rsid w:val="001D04C8"/>
    <w:rsid w:val="001D05AE"/>
    <w:rsid w:val="001D05E9"/>
    <w:rsid w:val="001D0783"/>
    <w:rsid w:val="001D0835"/>
    <w:rsid w:val="001D0847"/>
    <w:rsid w:val="001D0862"/>
    <w:rsid w:val="001D0ABE"/>
    <w:rsid w:val="001D0BCE"/>
    <w:rsid w:val="001D0D1E"/>
    <w:rsid w:val="001D0D60"/>
    <w:rsid w:val="001D0DFC"/>
    <w:rsid w:val="001D0E62"/>
    <w:rsid w:val="001D0F23"/>
    <w:rsid w:val="001D11A7"/>
    <w:rsid w:val="001D1301"/>
    <w:rsid w:val="001D155F"/>
    <w:rsid w:val="001D1573"/>
    <w:rsid w:val="001D160C"/>
    <w:rsid w:val="001D17B9"/>
    <w:rsid w:val="001D18B3"/>
    <w:rsid w:val="001D199F"/>
    <w:rsid w:val="001D19E1"/>
    <w:rsid w:val="001D1BF3"/>
    <w:rsid w:val="001D1C2E"/>
    <w:rsid w:val="001D1C2F"/>
    <w:rsid w:val="001D1D62"/>
    <w:rsid w:val="001D1E36"/>
    <w:rsid w:val="001D2019"/>
    <w:rsid w:val="001D2020"/>
    <w:rsid w:val="001D20BB"/>
    <w:rsid w:val="001D24E4"/>
    <w:rsid w:val="001D270F"/>
    <w:rsid w:val="001D297D"/>
    <w:rsid w:val="001D2AB3"/>
    <w:rsid w:val="001D2B52"/>
    <w:rsid w:val="001D2BAA"/>
    <w:rsid w:val="001D2BFD"/>
    <w:rsid w:val="001D2D9E"/>
    <w:rsid w:val="001D2DA1"/>
    <w:rsid w:val="001D2DEF"/>
    <w:rsid w:val="001D2F60"/>
    <w:rsid w:val="001D2FE6"/>
    <w:rsid w:val="001D2FEC"/>
    <w:rsid w:val="001D301D"/>
    <w:rsid w:val="001D342B"/>
    <w:rsid w:val="001D363D"/>
    <w:rsid w:val="001D365A"/>
    <w:rsid w:val="001D3720"/>
    <w:rsid w:val="001D3A50"/>
    <w:rsid w:val="001D3A92"/>
    <w:rsid w:val="001D3BAD"/>
    <w:rsid w:val="001D3BE5"/>
    <w:rsid w:val="001D3C58"/>
    <w:rsid w:val="001D3DE4"/>
    <w:rsid w:val="001D3DF1"/>
    <w:rsid w:val="001D3F53"/>
    <w:rsid w:val="001D3FAF"/>
    <w:rsid w:val="001D422D"/>
    <w:rsid w:val="001D42D5"/>
    <w:rsid w:val="001D439E"/>
    <w:rsid w:val="001D4477"/>
    <w:rsid w:val="001D4604"/>
    <w:rsid w:val="001D470B"/>
    <w:rsid w:val="001D48A1"/>
    <w:rsid w:val="001D48CD"/>
    <w:rsid w:val="001D4914"/>
    <w:rsid w:val="001D491C"/>
    <w:rsid w:val="001D4939"/>
    <w:rsid w:val="001D49C4"/>
    <w:rsid w:val="001D4B67"/>
    <w:rsid w:val="001D4B6F"/>
    <w:rsid w:val="001D4CE2"/>
    <w:rsid w:val="001D4FBA"/>
    <w:rsid w:val="001D501E"/>
    <w:rsid w:val="001D51A2"/>
    <w:rsid w:val="001D5322"/>
    <w:rsid w:val="001D540A"/>
    <w:rsid w:val="001D5422"/>
    <w:rsid w:val="001D5595"/>
    <w:rsid w:val="001D5858"/>
    <w:rsid w:val="001D58EB"/>
    <w:rsid w:val="001D5906"/>
    <w:rsid w:val="001D5926"/>
    <w:rsid w:val="001D597D"/>
    <w:rsid w:val="001D599C"/>
    <w:rsid w:val="001D59B9"/>
    <w:rsid w:val="001D5B84"/>
    <w:rsid w:val="001D5BEE"/>
    <w:rsid w:val="001D5E27"/>
    <w:rsid w:val="001D5EB6"/>
    <w:rsid w:val="001D5F05"/>
    <w:rsid w:val="001D6017"/>
    <w:rsid w:val="001D62B0"/>
    <w:rsid w:val="001D6408"/>
    <w:rsid w:val="001D6547"/>
    <w:rsid w:val="001D6559"/>
    <w:rsid w:val="001D662D"/>
    <w:rsid w:val="001D67E3"/>
    <w:rsid w:val="001D67E6"/>
    <w:rsid w:val="001D6842"/>
    <w:rsid w:val="001D6882"/>
    <w:rsid w:val="001D6914"/>
    <w:rsid w:val="001D6932"/>
    <w:rsid w:val="001D6A5B"/>
    <w:rsid w:val="001D6A7B"/>
    <w:rsid w:val="001D6D70"/>
    <w:rsid w:val="001D6F25"/>
    <w:rsid w:val="001D6FCB"/>
    <w:rsid w:val="001D708C"/>
    <w:rsid w:val="001D70D3"/>
    <w:rsid w:val="001D7188"/>
    <w:rsid w:val="001D71CB"/>
    <w:rsid w:val="001D75A9"/>
    <w:rsid w:val="001D75F4"/>
    <w:rsid w:val="001D7732"/>
    <w:rsid w:val="001D782F"/>
    <w:rsid w:val="001D783B"/>
    <w:rsid w:val="001D7874"/>
    <w:rsid w:val="001D79A7"/>
    <w:rsid w:val="001D7A0C"/>
    <w:rsid w:val="001D7C53"/>
    <w:rsid w:val="001D7C97"/>
    <w:rsid w:val="001D7EA6"/>
    <w:rsid w:val="001D7F22"/>
    <w:rsid w:val="001D7FBE"/>
    <w:rsid w:val="001E013B"/>
    <w:rsid w:val="001E01E0"/>
    <w:rsid w:val="001E030E"/>
    <w:rsid w:val="001E0442"/>
    <w:rsid w:val="001E05D8"/>
    <w:rsid w:val="001E0630"/>
    <w:rsid w:val="001E0720"/>
    <w:rsid w:val="001E0733"/>
    <w:rsid w:val="001E0750"/>
    <w:rsid w:val="001E0770"/>
    <w:rsid w:val="001E0802"/>
    <w:rsid w:val="001E08B0"/>
    <w:rsid w:val="001E0959"/>
    <w:rsid w:val="001E098B"/>
    <w:rsid w:val="001E098C"/>
    <w:rsid w:val="001E0AAB"/>
    <w:rsid w:val="001E0C2B"/>
    <w:rsid w:val="001E0CE9"/>
    <w:rsid w:val="001E0E2F"/>
    <w:rsid w:val="001E0F56"/>
    <w:rsid w:val="001E0FFB"/>
    <w:rsid w:val="001E1325"/>
    <w:rsid w:val="001E1326"/>
    <w:rsid w:val="001E13F1"/>
    <w:rsid w:val="001E1575"/>
    <w:rsid w:val="001E15AF"/>
    <w:rsid w:val="001E15CF"/>
    <w:rsid w:val="001E1A8B"/>
    <w:rsid w:val="001E1C0E"/>
    <w:rsid w:val="001E1CDD"/>
    <w:rsid w:val="001E1CF2"/>
    <w:rsid w:val="001E1D02"/>
    <w:rsid w:val="001E1D67"/>
    <w:rsid w:val="001E1E17"/>
    <w:rsid w:val="001E2085"/>
    <w:rsid w:val="001E2161"/>
    <w:rsid w:val="001E2216"/>
    <w:rsid w:val="001E2244"/>
    <w:rsid w:val="001E235C"/>
    <w:rsid w:val="001E24E2"/>
    <w:rsid w:val="001E27B2"/>
    <w:rsid w:val="001E27F6"/>
    <w:rsid w:val="001E27FB"/>
    <w:rsid w:val="001E27FE"/>
    <w:rsid w:val="001E2909"/>
    <w:rsid w:val="001E29B6"/>
    <w:rsid w:val="001E2C7A"/>
    <w:rsid w:val="001E2EAF"/>
    <w:rsid w:val="001E3072"/>
    <w:rsid w:val="001E31F1"/>
    <w:rsid w:val="001E321B"/>
    <w:rsid w:val="001E3246"/>
    <w:rsid w:val="001E3285"/>
    <w:rsid w:val="001E3360"/>
    <w:rsid w:val="001E3489"/>
    <w:rsid w:val="001E3600"/>
    <w:rsid w:val="001E3696"/>
    <w:rsid w:val="001E37EA"/>
    <w:rsid w:val="001E3A2D"/>
    <w:rsid w:val="001E3A8F"/>
    <w:rsid w:val="001E3A96"/>
    <w:rsid w:val="001E3B0C"/>
    <w:rsid w:val="001E3E42"/>
    <w:rsid w:val="001E3FC7"/>
    <w:rsid w:val="001E418C"/>
    <w:rsid w:val="001E4193"/>
    <w:rsid w:val="001E441E"/>
    <w:rsid w:val="001E44B0"/>
    <w:rsid w:val="001E4555"/>
    <w:rsid w:val="001E47C9"/>
    <w:rsid w:val="001E486C"/>
    <w:rsid w:val="001E48CA"/>
    <w:rsid w:val="001E49A2"/>
    <w:rsid w:val="001E49F0"/>
    <w:rsid w:val="001E4A8E"/>
    <w:rsid w:val="001E4A93"/>
    <w:rsid w:val="001E4AAB"/>
    <w:rsid w:val="001E4B58"/>
    <w:rsid w:val="001E4C01"/>
    <w:rsid w:val="001E4F11"/>
    <w:rsid w:val="001E50D5"/>
    <w:rsid w:val="001E52BB"/>
    <w:rsid w:val="001E540C"/>
    <w:rsid w:val="001E544D"/>
    <w:rsid w:val="001E580B"/>
    <w:rsid w:val="001E5BAA"/>
    <w:rsid w:val="001E5C1E"/>
    <w:rsid w:val="001E5CB1"/>
    <w:rsid w:val="001E5CB3"/>
    <w:rsid w:val="001E5F69"/>
    <w:rsid w:val="001E66B4"/>
    <w:rsid w:val="001E66F2"/>
    <w:rsid w:val="001E67AE"/>
    <w:rsid w:val="001E69A5"/>
    <w:rsid w:val="001E6A15"/>
    <w:rsid w:val="001E6A77"/>
    <w:rsid w:val="001E6DBF"/>
    <w:rsid w:val="001E6E36"/>
    <w:rsid w:val="001E6F29"/>
    <w:rsid w:val="001E7325"/>
    <w:rsid w:val="001E758E"/>
    <w:rsid w:val="001E7675"/>
    <w:rsid w:val="001E767A"/>
    <w:rsid w:val="001E771E"/>
    <w:rsid w:val="001E77CC"/>
    <w:rsid w:val="001E7825"/>
    <w:rsid w:val="001E795D"/>
    <w:rsid w:val="001E7964"/>
    <w:rsid w:val="001E7CDB"/>
    <w:rsid w:val="001E7D05"/>
    <w:rsid w:val="001E7D6B"/>
    <w:rsid w:val="001E7DCF"/>
    <w:rsid w:val="001E7E1A"/>
    <w:rsid w:val="001F009D"/>
    <w:rsid w:val="001F0396"/>
    <w:rsid w:val="001F0495"/>
    <w:rsid w:val="001F04C2"/>
    <w:rsid w:val="001F0561"/>
    <w:rsid w:val="001F05DD"/>
    <w:rsid w:val="001F0774"/>
    <w:rsid w:val="001F07B3"/>
    <w:rsid w:val="001F090A"/>
    <w:rsid w:val="001F0947"/>
    <w:rsid w:val="001F09E5"/>
    <w:rsid w:val="001F09E6"/>
    <w:rsid w:val="001F09F9"/>
    <w:rsid w:val="001F0A51"/>
    <w:rsid w:val="001F0AAC"/>
    <w:rsid w:val="001F0B68"/>
    <w:rsid w:val="001F0D25"/>
    <w:rsid w:val="001F0DCA"/>
    <w:rsid w:val="001F0F17"/>
    <w:rsid w:val="001F0F7E"/>
    <w:rsid w:val="001F0FCF"/>
    <w:rsid w:val="001F10B1"/>
    <w:rsid w:val="001F10B8"/>
    <w:rsid w:val="001F1592"/>
    <w:rsid w:val="001F16E8"/>
    <w:rsid w:val="001F180D"/>
    <w:rsid w:val="001F1982"/>
    <w:rsid w:val="001F1CF7"/>
    <w:rsid w:val="001F1D3B"/>
    <w:rsid w:val="001F1E99"/>
    <w:rsid w:val="001F1F83"/>
    <w:rsid w:val="001F21FD"/>
    <w:rsid w:val="001F2278"/>
    <w:rsid w:val="001F227B"/>
    <w:rsid w:val="001F2374"/>
    <w:rsid w:val="001F2637"/>
    <w:rsid w:val="001F275D"/>
    <w:rsid w:val="001F2829"/>
    <w:rsid w:val="001F283E"/>
    <w:rsid w:val="001F28C3"/>
    <w:rsid w:val="001F2B89"/>
    <w:rsid w:val="001F2C5E"/>
    <w:rsid w:val="001F2F44"/>
    <w:rsid w:val="001F318D"/>
    <w:rsid w:val="001F31CF"/>
    <w:rsid w:val="001F3230"/>
    <w:rsid w:val="001F3256"/>
    <w:rsid w:val="001F326B"/>
    <w:rsid w:val="001F3323"/>
    <w:rsid w:val="001F3347"/>
    <w:rsid w:val="001F344B"/>
    <w:rsid w:val="001F3541"/>
    <w:rsid w:val="001F35DF"/>
    <w:rsid w:val="001F35F4"/>
    <w:rsid w:val="001F3690"/>
    <w:rsid w:val="001F3ADF"/>
    <w:rsid w:val="001F3BE1"/>
    <w:rsid w:val="001F3F41"/>
    <w:rsid w:val="001F3F60"/>
    <w:rsid w:val="001F3F94"/>
    <w:rsid w:val="001F40DF"/>
    <w:rsid w:val="001F426A"/>
    <w:rsid w:val="001F43C4"/>
    <w:rsid w:val="001F4426"/>
    <w:rsid w:val="001F452D"/>
    <w:rsid w:val="001F456E"/>
    <w:rsid w:val="001F45F1"/>
    <w:rsid w:val="001F4637"/>
    <w:rsid w:val="001F4794"/>
    <w:rsid w:val="001F4839"/>
    <w:rsid w:val="001F498E"/>
    <w:rsid w:val="001F4CDF"/>
    <w:rsid w:val="001F4DE0"/>
    <w:rsid w:val="001F4E2A"/>
    <w:rsid w:val="001F4E57"/>
    <w:rsid w:val="001F4E60"/>
    <w:rsid w:val="001F510A"/>
    <w:rsid w:val="001F521E"/>
    <w:rsid w:val="001F522D"/>
    <w:rsid w:val="001F537D"/>
    <w:rsid w:val="001F54F5"/>
    <w:rsid w:val="001F5549"/>
    <w:rsid w:val="001F579B"/>
    <w:rsid w:val="001F5A1D"/>
    <w:rsid w:val="001F61D1"/>
    <w:rsid w:val="001F62C4"/>
    <w:rsid w:val="001F62F8"/>
    <w:rsid w:val="001F6413"/>
    <w:rsid w:val="001F6426"/>
    <w:rsid w:val="001F64B4"/>
    <w:rsid w:val="001F674E"/>
    <w:rsid w:val="001F68FF"/>
    <w:rsid w:val="001F69E4"/>
    <w:rsid w:val="001F6AF1"/>
    <w:rsid w:val="001F6BC2"/>
    <w:rsid w:val="001F6C9D"/>
    <w:rsid w:val="001F6D48"/>
    <w:rsid w:val="001F6E57"/>
    <w:rsid w:val="001F708A"/>
    <w:rsid w:val="001F7151"/>
    <w:rsid w:val="001F715F"/>
    <w:rsid w:val="001F73A9"/>
    <w:rsid w:val="001F761C"/>
    <w:rsid w:val="001F7A2D"/>
    <w:rsid w:val="001F7A6F"/>
    <w:rsid w:val="001F7B65"/>
    <w:rsid w:val="001F7BCA"/>
    <w:rsid w:val="001F7CA0"/>
    <w:rsid w:val="001F7DA8"/>
    <w:rsid w:val="00200031"/>
    <w:rsid w:val="002000D2"/>
    <w:rsid w:val="0020026B"/>
    <w:rsid w:val="0020041F"/>
    <w:rsid w:val="0020049E"/>
    <w:rsid w:val="00200527"/>
    <w:rsid w:val="002006C7"/>
    <w:rsid w:val="00200947"/>
    <w:rsid w:val="00200970"/>
    <w:rsid w:val="0020098F"/>
    <w:rsid w:val="00200A15"/>
    <w:rsid w:val="00200B1A"/>
    <w:rsid w:val="00200BC6"/>
    <w:rsid w:val="00200BFF"/>
    <w:rsid w:val="00200C10"/>
    <w:rsid w:val="00200C2A"/>
    <w:rsid w:val="00200C3B"/>
    <w:rsid w:val="00200C4A"/>
    <w:rsid w:val="00200D53"/>
    <w:rsid w:val="00200D6B"/>
    <w:rsid w:val="00201099"/>
    <w:rsid w:val="002011DE"/>
    <w:rsid w:val="0020134B"/>
    <w:rsid w:val="002014C6"/>
    <w:rsid w:val="002014EA"/>
    <w:rsid w:val="002015E8"/>
    <w:rsid w:val="00201618"/>
    <w:rsid w:val="0020176C"/>
    <w:rsid w:val="0020177A"/>
    <w:rsid w:val="00201785"/>
    <w:rsid w:val="00201903"/>
    <w:rsid w:val="0020194E"/>
    <w:rsid w:val="0020199D"/>
    <w:rsid w:val="00201A09"/>
    <w:rsid w:val="00201AD5"/>
    <w:rsid w:val="00201AF2"/>
    <w:rsid w:val="00201B9B"/>
    <w:rsid w:val="00201C94"/>
    <w:rsid w:val="00201CC6"/>
    <w:rsid w:val="00201E4F"/>
    <w:rsid w:val="00201F01"/>
    <w:rsid w:val="002021B3"/>
    <w:rsid w:val="00202229"/>
    <w:rsid w:val="00202279"/>
    <w:rsid w:val="0020233A"/>
    <w:rsid w:val="00202352"/>
    <w:rsid w:val="00202388"/>
    <w:rsid w:val="002023AA"/>
    <w:rsid w:val="002023D9"/>
    <w:rsid w:val="0020260D"/>
    <w:rsid w:val="0020260E"/>
    <w:rsid w:val="00202713"/>
    <w:rsid w:val="002027FE"/>
    <w:rsid w:val="002029A1"/>
    <w:rsid w:val="00202B18"/>
    <w:rsid w:val="00202B41"/>
    <w:rsid w:val="00202BDC"/>
    <w:rsid w:val="00202E0D"/>
    <w:rsid w:val="00202ECE"/>
    <w:rsid w:val="00203089"/>
    <w:rsid w:val="00203183"/>
    <w:rsid w:val="00203340"/>
    <w:rsid w:val="00203394"/>
    <w:rsid w:val="00203398"/>
    <w:rsid w:val="002033BF"/>
    <w:rsid w:val="002033E2"/>
    <w:rsid w:val="00203551"/>
    <w:rsid w:val="00203645"/>
    <w:rsid w:val="00203686"/>
    <w:rsid w:val="0020369F"/>
    <w:rsid w:val="0020385F"/>
    <w:rsid w:val="00203861"/>
    <w:rsid w:val="00203ACF"/>
    <w:rsid w:val="00203E10"/>
    <w:rsid w:val="00203F69"/>
    <w:rsid w:val="00204067"/>
    <w:rsid w:val="0020413E"/>
    <w:rsid w:val="0020425B"/>
    <w:rsid w:val="002043A9"/>
    <w:rsid w:val="002044A6"/>
    <w:rsid w:val="0020463A"/>
    <w:rsid w:val="00204661"/>
    <w:rsid w:val="0020466F"/>
    <w:rsid w:val="002046A5"/>
    <w:rsid w:val="00204794"/>
    <w:rsid w:val="002047AC"/>
    <w:rsid w:val="0020480F"/>
    <w:rsid w:val="00204865"/>
    <w:rsid w:val="00204993"/>
    <w:rsid w:val="00204A45"/>
    <w:rsid w:val="00204AB1"/>
    <w:rsid w:val="00204BD5"/>
    <w:rsid w:val="00204C26"/>
    <w:rsid w:val="00204FE8"/>
    <w:rsid w:val="002050AC"/>
    <w:rsid w:val="0020515F"/>
    <w:rsid w:val="0020522E"/>
    <w:rsid w:val="00205336"/>
    <w:rsid w:val="00205455"/>
    <w:rsid w:val="00205493"/>
    <w:rsid w:val="002055B7"/>
    <w:rsid w:val="00205804"/>
    <w:rsid w:val="00205854"/>
    <w:rsid w:val="00205978"/>
    <w:rsid w:val="00205D18"/>
    <w:rsid w:val="00205D85"/>
    <w:rsid w:val="00205F78"/>
    <w:rsid w:val="00205FBA"/>
    <w:rsid w:val="002060B2"/>
    <w:rsid w:val="00206169"/>
    <w:rsid w:val="002061EB"/>
    <w:rsid w:val="00206211"/>
    <w:rsid w:val="002062EA"/>
    <w:rsid w:val="00206305"/>
    <w:rsid w:val="0020642D"/>
    <w:rsid w:val="00206477"/>
    <w:rsid w:val="00206504"/>
    <w:rsid w:val="00206577"/>
    <w:rsid w:val="00206636"/>
    <w:rsid w:val="00206638"/>
    <w:rsid w:val="00206730"/>
    <w:rsid w:val="002067A1"/>
    <w:rsid w:val="002069EA"/>
    <w:rsid w:val="00206AB5"/>
    <w:rsid w:val="00206ADB"/>
    <w:rsid w:val="00206AEA"/>
    <w:rsid w:val="00206B33"/>
    <w:rsid w:val="00206D8B"/>
    <w:rsid w:val="00206D96"/>
    <w:rsid w:val="00206DC4"/>
    <w:rsid w:val="00206E7F"/>
    <w:rsid w:val="0020707E"/>
    <w:rsid w:val="0020749B"/>
    <w:rsid w:val="002074E9"/>
    <w:rsid w:val="00207515"/>
    <w:rsid w:val="002076F8"/>
    <w:rsid w:val="0020778E"/>
    <w:rsid w:val="00207B8F"/>
    <w:rsid w:val="00207C2C"/>
    <w:rsid w:val="00207DC6"/>
    <w:rsid w:val="00207E57"/>
    <w:rsid w:val="00207F33"/>
    <w:rsid w:val="0021006D"/>
    <w:rsid w:val="002100C1"/>
    <w:rsid w:val="0021013A"/>
    <w:rsid w:val="0021015E"/>
    <w:rsid w:val="00210483"/>
    <w:rsid w:val="00210552"/>
    <w:rsid w:val="00210580"/>
    <w:rsid w:val="002107C1"/>
    <w:rsid w:val="002107E6"/>
    <w:rsid w:val="002108CA"/>
    <w:rsid w:val="002108DF"/>
    <w:rsid w:val="0021095C"/>
    <w:rsid w:val="00210977"/>
    <w:rsid w:val="00210A27"/>
    <w:rsid w:val="00210B86"/>
    <w:rsid w:val="00210CCA"/>
    <w:rsid w:val="00210D05"/>
    <w:rsid w:val="00210EC5"/>
    <w:rsid w:val="00211132"/>
    <w:rsid w:val="00211184"/>
    <w:rsid w:val="0021118C"/>
    <w:rsid w:val="00211222"/>
    <w:rsid w:val="002114B5"/>
    <w:rsid w:val="002115B5"/>
    <w:rsid w:val="0021197A"/>
    <w:rsid w:val="002119E1"/>
    <w:rsid w:val="00211A96"/>
    <w:rsid w:val="00211DB7"/>
    <w:rsid w:val="00211E02"/>
    <w:rsid w:val="00211E25"/>
    <w:rsid w:val="00211FCB"/>
    <w:rsid w:val="00212162"/>
    <w:rsid w:val="00212194"/>
    <w:rsid w:val="00212287"/>
    <w:rsid w:val="0021229D"/>
    <w:rsid w:val="002123F6"/>
    <w:rsid w:val="002124CE"/>
    <w:rsid w:val="002125B4"/>
    <w:rsid w:val="0021264F"/>
    <w:rsid w:val="00212664"/>
    <w:rsid w:val="002126AA"/>
    <w:rsid w:val="0021289D"/>
    <w:rsid w:val="0021290E"/>
    <w:rsid w:val="00212AC4"/>
    <w:rsid w:val="00212B60"/>
    <w:rsid w:val="00212B9B"/>
    <w:rsid w:val="00212C00"/>
    <w:rsid w:val="00212EDC"/>
    <w:rsid w:val="00212F3C"/>
    <w:rsid w:val="00212FA1"/>
    <w:rsid w:val="00213064"/>
    <w:rsid w:val="002130AC"/>
    <w:rsid w:val="002132D8"/>
    <w:rsid w:val="002133E7"/>
    <w:rsid w:val="002134D7"/>
    <w:rsid w:val="002137B6"/>
    <w:rsid w:val="00213A20"/>
    <w:rsid w:val="00213AC3"/>
    <w:rsid w:val="00213BDD"/>
    <w:rsid w:val="00213C61"/>
    <w:rsid w:val="00213CF1"/>
    <w:rsid w:val="00213D17"/>
    <w:rsid w:val="00213E28"/>
    <w:rsid w:val="00213E6C"/>
    <w:rsid w:val="00213ED9"/>
    <w:rsid w:val="00213F1B"/>
    <w:rsid w:val="00213F37"/>
    <w:rsid w:val="00213F80"/>
    <w:rsid w:val="00213FAB"/>
    <w:rsid w:val="002140A6"/>
    <w:rsid w:val="00214129"/>
    <w:rsid w:val="00214359"/>
    <w:rsid w:val="002145BD"/>
    <w:rsid w:val="002147C5"/>
    <w:rsid w:val="0021486A"/>
    <w:rsid w:val="00214877"/>
    <w:rsid w:val="00214AA0"/>
    <w:rsid w:val="00214AF3"/>
    <w:rsid w:val="00214C41"/>
    <w:rsid w:val="00214C66"/>
    <w:rsid w:val="00214F9F"/>
    <w:rsid w:val="002150AB"/>
    <w:rsid w:val="00215151"/>
    <w:rsid w:val="00215562"/>
    <w:rsid w:val="002155B8"/>
    <w:rsid w:val="002155F1"/>
    <w:rsid w:val="002157EB"/>
    <w:rsid w:val="00215892"/>
    <w:rsid w:val="00215968"/>
    <w:rsid w:val="00215BAD"/>
    <w:rsid w:val="00215CE2"/>
    <w:rsid w:val="00215EDB"/>
    <w:rsid w:val="00215F09"/>
    <w:rsid w:val="00215F94"/>
    <w:rsid w:val="00215FB4"/>
    <w:rsid w:val="00215FB8"/>
    <w:rsid w:val="00216108"/>
    <w:rsid w:val="002162CB"/>
    <w:rsid w:val="002163A8"/>
    <w:rsid w:val="002169DB"/>
    <w:rsid w:val="00216A00"/>
    <w:rsid w:val="00216AEC"/>
    <w:rsid w:val="00216BCA"/>
    <w:rsid w:val="00216D2C"/>
    <w:rsid w:val="00216F58"/>
    <w:rsid w:val="002170E9"/>
    <w:rsid w:val="0021721E"/>
    <w:rsid w:val="002176BA"/>
    <w:rsid w:val="002177ED"/>
    <w:rsid w:val="00217812"/>
    <w:rsid w:val="00217D32"/>
    <w:rsid w:val="00217EF0"/>
    <w:rsid w:val="00217F8F"/>
    <w:rsid w:val="00220222"/>
    <w:rsid w:val="0022028A"/>
    <w:rsid w:val="00220480"/>
    <w:rsid w:val="00220491"/>
    <w:rsid w:val="00220924"/>
    <w:rsid w:val="00220C7C"/>
    <w:rsid w:val="00221059"/>
    <w:rsid w:val="002211D0"/>
    <w:rsid w:val="0022121D"/>
    <w:rsid w:val="0022138E"/>
    <w:rsid w:val="00221490"/>
    <w:rsid w:val="002214DF"/>
    <w:rsid w:val="00221525"/>
    <w:rsid w:val="00221860"/>
    <w:rsid w:val="0022186F"/>
    <w:rsid w:val="002219AF"/>
    <w:rsid w:val="002219DB"/>
    <w:rsid w:val="00221AAC"/>
    <w:rsid w:val="00221ADF"/>
    <w:rsid w:val="00221E3F"/>
    <w:rsid w:val="00221E40"/>
    <w:rsid w:val="00221E83"/>
    <w:rsid w:val="00221F2B"/>
    <w:rsid w:val="002220C7"/>
    <w:rsid w:val="00222254"/>
    <w:rsid w:val="002223D3"/>
    <w:rsid w:val="0022258C"/>
    <w:rsid w:val="0022270F"/>
    <w:rsid w:val="0022281B"/>
    <w:rsid w:val="0022293D"/>
    <w:rsid w:val="00222A80"/>
    <w:rsid w:val="00222A90"/>
    <w:rsid w:val="00222AB4"/>
    <w:rsid w:val="00222B26"/>
    <w:rsid w:val="00222B4E"/>
    <w:rsid w:val="00222FDA"/>
    <w:rsid w:val="002230DF"/>
    <w:rsid w:val="002230E2"/>
    <w:rsid w:val="0022323F"/>
    <w:rsid w:val="002233E8"/>
    <w:rsid w:val="00223581"/>
    <w:rsid w:val="00223601"/>
    <w:rsid w:val="00223798"/>
    <w:rsid w:val="00223935"/>
    <w:rsid w:val="002239F8"/>
    <w:rsid w:val="00223BBF"/>
    <w:rsid w:val="00223CA9"/>
    <w:rsid w:val="00223D18"/>
    <w:rsid w:val="00223F72"/>
    <w:rsid w:val="00224024"/>
    <w:rsid w:val="0022407B"/>
    <w:rsid w:val="0022414A"/>
    <w:rsid w:val="0022415F"/>
    <w:rsid w:val="002242D2"/>
    <w:rsid w:val="0022441F"/>
    <w:rsid w:val="0022460E"/>
    <w:rsid w:val="0022469E"/>
    <w:rsid w:val="00224718"/>
    <w:rsid w:val="00224839"/>
    <w:rsid w:val="00224920"/>
    <w:rsid w:val="002249B2"/>
    <w:rsid w:val="002249C1"/>
    <w:rsid w:val="00224A16"/>
    <w:rsid w:val="00224B0F"/>
    <w:rsid w:val="00224BA8"/>
    <w:rsid w:val="00224BC2"/>
    <w:rsid w:val="00224C8F"/>
    <w:rsid w:val="00224E5B"/>
    <w:rsid w:val="00224E85"/>
    <w:rsid w:val="00224F87"/>
    <w:rsid w:val="00224FA1"/>
    <w:rsid w:val="0022500D"/>
    <w:rsid w:val="002250C4"/>
    <w:rsid w:val="00225166"/>
    <w:rsid w:val="00225311"/>
    <w:rsid w:val="002254EA"/>
    <w:rsid w:val="002255BE"/>
    <w:rsid w:val="0022562E"/>
    <w:rsid w:val="0022566A"/>
    <w:rsid w:val="00225891"/>
    <w:rsid w:val="0022595B"/>
    <w:rsid w:val="00225A60"/>
    <w:rsid w:val="00225C45"/>
    <w:rsid w:val="00225D70"/>
    <w:rsid w:val="00225E74"/>
    <w:rsid w:val="00225F00"/>
    <w:rsid w:val="00225F72"/>
    <w:rsid w:val="00225FF8"/>
    <w:rsid w:val="00226045"/>
    <w:rsid w:val="0022641C"/>
    <w:rsid w:val="00226574"/>
    <w:rsid w:val="00226590"/>
    <w:rsid w:val="002265A1"/>
    <w:rsid w:val="00226A02"/>
    <w:rsid w:val="00226B23"/>
    <w:rsid w:val="00226B76"/>
    <w:rsid w:val="00226C27"/>
    <w:rsid w:val="00226C5E"/>
    <w:rsid w:val="00226D10"/>
    <w:rsid w:val="00226F8F"/>
    <w:rsid w:val="0022706E"/>
    <w:rsid w:val="002270AC"/>
    <w:rsid w:val="0022718E"/>
    <w:rsid w:val="0022719E"/>
    <w:rsid w:val="0022728C"/>
    <w:rsid w:val="0022737C"/>
    <w:rsid w:val="002274D5"/>
    <w:rsid w:val="002274EB"/>
    <w:rsid w:val="00227587"/>
    <w:rsid w:val="00227672"/>
    <w:rsid w:val="002278EC"/>
    <w:rsid w:val="00227C3A"/>
    <w:rsid w:val="00227C91"/>
    <w:rsid w:val="00227CD2"/>
    <w:rsid w:val="00227EAA"/>
    <w:rsid w:val="00227EDB"/>
    <w:rsid w:val="00227F72"/>
    <w:rsid w:val="00230006"/>
    <w:rsid w:val="0023009B"/>
    <w:rsid w:val="002303D9"/>
    <w:rsid w:val="0023041D"/>
    <w:rsid w:val="00230440"/>
    <w:rsid w:val="002305DC"/>
    <w:rsid w:val="00230713"/>
    <w:rsid w:val="002307FC"/>
    <w:rsid w:val="0023086C"/>
    <w:rsid w:val="00230A10"/>
    <w:rsid w:val="00230C63"/>
    <w:rsid w:val="00230E02"/>
    <w:rsid w:val="00230E24"/>
    <w:rsid w:val="00230E46"/>
    <w:rsid w:val="00230E59"/>
    <w:rsid w:val="00230EF7"/>
    <w:rsid w:val="00230FC0"/>
    <w:rsid w:val="00230FFF"/>
    <w:rsid w:val="00231012"/>
    <w:rsid w:val="00231421"/>
    <w:rsid w:val="00231426"/>
    <w:rsid w:val="00231578"/>
    <w:rsid w:val="002317AD"/>
    <w:rsid w:val="002318C1"/>
    <w:rsid w:val="00231958"/>
    <w:rsid w:val="002319D2"/>
    <w:rsid w:val="002319F8"/>
    <w:rsid w:val="00231A1C"/>
    <w:rsid w:val="00231A9B"/>
    <w:rsid w:val="00231C24"/>
    <w:rsid w:val="00231CEF"/>
    <w:rsid w:val="00231D76"/>
    <w:rsid w:val="00231EB8"/>
    <w:rsid w:val="00231FA8"/>
    <w:rsid w:val="002321B2"/>
    <w:rsid w:val="00232241"/>
    <w:rsid w:val="0023225E"/>
    <w:rsid w:val="002322AD"/>
    <w:rsid w:val="00232333"/>
    <w:rsid w:val="0023279D"/>
    <w:rsid w:val="0023280E"/>
    <w:rsid w:val="0023283F"/>
    <w:rsid w:val="002328F5"/>
    <w:rsid w:val="00232A68"/>
    <w:rsid w:val="00232A97"/>
    <w:rsid w:val="00232ACE"/>
    <w:rsid w:val="00232B2D"/>
    <w:rsid w:val="00232D78"/>
    <w:rsid w:val="00232FFF"/>
    <w:rsid w:val="002330B2"/>
    <w:rsid w:val="00233196"/>
    <w:rsid w:val="002332CA"/>
    <w:rsid w:val="0023354E"/>
    <w:rsid w:val="00233701"/>
    <w:rsid w:val="00233766"/>
    <w:rsid w:val="00233800"/>
    <w:rsid w:val="00233C4A"/>
    <w:rsid w:val="00233D38"/>
    <w:rsid w:val="00234087"/>
    <w:rsid w:val="00234090"/>
    <w:rsid w:val="00234188"/>
    <w:rsid w:val="00234207"/>
    <w:rsid w:val="002342C2"/>
    <w:rsid w:val="00234558"/>
    <w:rsid w:val="0023455F"/>
    <w:rsid w:val="00234601"/>
    <w:rsid w:val="002349E7"/>
    <w:rsid w:val="00234A04"/>
    <w:rsid w:val="00234B1B"/>
    <w:rsid w:val="00234D82"/>
    <w:rsid w:val="00234DF1"/>
    <w:rsid w:val="00234F38"/>
    <w:rsid w:val="0023510E"/>
    <w:rsid w:val="0023533D"/>
    <w:rsid w:val="002354C0"/>
    <w:rsid w:val="002354C6"/>
    <w:rsid w:val="0023565A"/>
    <w:rsid w:val="00235711"/>
    <w:rsid w:val="002357BB"/>
    <w:rsid w:val="00235A7A"/>
    <w:rsid w:val="00235C0E"/>
    <w:rsid w:val="00235D79"/>
    <w:rsid w:val="00235DC9"/>
    <w:rsid w:val="00235F94"/>
    <w:rsid w:val="00235FEE"/>
    <w:rsid w:val="002361EC"/>
    <w:rsid w:val="00236242"/>
    <w:rsid w:val="002362A7"/>
    <w:rsid w:val="002362EC"/>
    <w:rsid w:val="00236441"/>
    <w:rsid w:val="0023648D"/>
    <w:rsid w:val="002364CD"/>
    <w:rsid w:val="00236533"/>
    <w:rsid w:val="002365EB"/>
    <w:rsid w:val="002365F4"/>
    <w:rsid w:val="00236614"/>
    <w:rsid w:val="0023674A"/>
    <w:rsid w:val="0023677D"/>
    <w:rsid w:val="00236867"/>
    <w:rsid w:val="00236A44"/>
    <w:rsid w:val="00236B07"/>
    <w:rsid w:val="00236B70"/>
    <w:rsid w:val="00236B93"/>
    <w:rsid w:val="00236CE4"/>
    <w:rsid w:val="00236D34"/>
    <w:rsid w:val="00236FA3"/>
    <w:rsid w:val="00236FF9"/>
    <w:rsid w:val="0023712C"/>
    <w:rsid w:val="0023734B"/>
    <w:rsid w:val="00237368"/>
    <w:rsid w:val="00237376"/>
    <w:rsid w:val="0023755B"/>
    <w:rsid w:val="00237569"/>
    <w:rsid w:val="0023760E"/>
    <w:rsid w:val="00237706"/>
    <w:rsid w:val="002377D1"/>
    <w:rsid w:val="002378B9"/>
    <w:rsid w:val="002378EB"/>
    <w:rsid w:val="00237955"/>
    <w:rsid w:val="00237AD2"/>
    <w:rsid w:val="00237CDD"/>
    <w:rsid w:val="00237D18"/>
    <w:rsid w:val="00237E19"/>
    <w:rsid w:val="00237EAC"/>
    <w:rsid w:val="00240049"/>
    <w:rsid w:val="00240188"/>
    <w:rsid w:val="002401F3"/>
    <w:rsid w:val="00240281"/>
    <w:rsid w:val="00240398"/>
    <w:rsid w:val="002403DF"/>
    <w:rsid w:val="00240447"/>
    <w:rsid w:val="002404D0"/>
    <w:rsid w:val="0024059E"/>
    <w:rsid w:val="002405AC"/>
    <w:rsid w:val="002405C3"/>
    <w:rsid w:val="002406EB"/>
    <w:rsid w:val="00240706"/>
    <w:rsid w:val="00240741"/>
    <w:rsid w:val="002407D7"/>
    <w:rsid w:val="002407E6"/>
    <w:rsid w:val="00240B75"/>
    <w:rsid w:val="00240C07"/>
    <w:rsid w:val="00240C13"/>
    <w:rsid w:val="00240C22"/>
    <w:rsid w:val="00240F8F"/>
    <w:rsid w:val="00240FC1"/>
    <w:rsid w:val="0024104B"/>
    <w:rsid w:val="0024107C"/>
    <w:rsid w:val="0024114B"/>
    <w:rsid w:val="002411CC"/>
    <w:rsid w:val="002412F2"/>
    <w:rsid w:val="002414EE"/>
    <w:rsid w:val="002415BB"/>
    <w:rsid w:val="0024169E"/>
    <w:rsid w:val="002416F7"/>
    <w:rsid w:val="0024171D"/>
    <w:rsid w:val="002417FE"/>
    <w:rsid w:val="0024182F"/>
    <w:rsid w:val="0024185D"/>
    <w:rsid w:val="00241BFF"/>
    <w:rsid w:val="00241D20"/>
    <w:rsid w:val="00241D8A"/>
    <w:rsid w:val="002421AE"/>
    <w:rsid w:val="00242203"/>
    <w:rsid w:val="002423FF"/>
    <w:rsid w:val="0024240C"/>
    <w:rsid w:val="00242415"/>
    <w:rsid w:val="0024263C"/>
    <w:rsid w:val="00242773"/>
    <w:rsid w:val="002427F2"/>
    <w:rsid w:val="002427FF"/>
    <w:rsid w:val="0024285E"/>
    <w:rsid w:val="00242A43"/>
    <w:rsid w:val="00242B9E"/>
    <w:rsid w:val="00242BDB"/>
    <w:rsid w:val="00242C9B"/>
    <w:rsid w:val="00242DC1"/>
    <w:rsid w:val="00243142"/>
    <w:rsid w:val="002431E6"/>
    <w:rsid w:val="00243235"/>
    <w:rsid w:val="002432CB"/>
    <w:rsid w:val="00243342"/>
    <w:rsid w:val="002433EF"/>
    <w:rsid w:val="002434BB"/>
    <w:rsid w:val="0024353C"/>
    <w:rsid w:val="002435C9"/>
    <w:rsid w:val="00243835"/>
    <w:rsid w:val="0024396C"/>
    <w:rsid w:val="00243988"/>
    <w:rsid w:val="00243A91"/>
    <w:rsid w:val="00243E9F"/>
    <w:rsid w:val="00243FAB"/>
    <w:rsid w:val="00243FE0"/>
    <w:rsid w:val="00244232"/>
    <w:rsid w:val="002444BC"/>
    <w:rsid w:val="00244692"/>
    <w:rsid w:val="002446D9"/>
    <w:rsid w:val="0024475B"/>
    <w:rsid w:val="00244807"/>
    <w:rsid w:val="002448BF"/>
    <w:rsid w:val="002449E5"/>
    <w:rsid w:val="00244A98"/>
    <w:rsid w:val="00244A9E"/>
    <w:rsid w:val="00244ADF"/>
    <w:rsid w:val="00244B8A"/>
    <w:rsid w:val="00244C7C"/>
    <w:rsid w:val="00244CE0"/>
    <w:rsid w:val="00244D43"/>
    <w:rsid w:val="00244EA2"/>
    <w:rsid w:val="00244EA4"/>
    <w:rsid w:val="00244F55"/>
    <w:rsid w:val="00244F7A"/>
    <w:rsid w:val="00244FA5"/>
    <w:rsid w:val="00245065"/>
    <w:rsid w:val="00245123"/>
    <w:rsid w:val="002454AE"/>
    <w:rsid w:val="002454F3"/>
    <w:rsid w:val="002454F4"/>
    <w:rsid w:val="00245611"/>
    <w:rsid w:val="00245612"/>
    <w:rsid w:val="002456B1"/>
    <w:rsid w:val="0024573E"/>
    <w:rsid w:val="00245790"/>
    <w:rsid w:val="002457A7"/>
    <w:rsid w:val="002457B7"/>
    <w:rsid w:val="002457DD"/>
    <w:rsid w:val="00245BEA"/>
    <w:rsid w:val="00245D21"/>
    <w:rsid w:val="00245F0A"/>
    <w:rsid w:val="00245F81"/>
    <w:rsid w:val="002460B3"/>
    <w:rsid w:val="00246111"/>
    <w:rsid w:val="00246131"/>
    <w:rsid w:val="0024613F"/>
    <w:rsid w:val="00246177"/>
    <w:rsid w:val="002461C9"/>
    <w:rsid w:val="0024620E"/>
    <w:rsid w:val="002462C4"/>
    <w:rsid w:val="002463A0"/>
    <w:rsid w:val="0024658E"/>
    <w:rsid w:val="002466C3"/>
    <w:rsid w:val="0024691A"/>
    <w:rsid w:val="00246A76"/>
    <w:rsid w:val="00246C9D"/>
    <w:rsid w:val="00246CA3"/>
    <w:rsid w:val="00246CA5"/>
    <w:rsid w:val="00246EB6"/>
    <w:rsid w:val="00246F06"/>
    <w:rsid w:val="00246F7D"/>
    <w:rsid w:val="00247165"/>
    <w:rsid w:val="002471CF"/>
    <w:rsid w:val="002472E2"/>
    <w:rsid w:val="0024742F"/>
    <w:rsid w:val="00247542"/>
    <w:rsid w:val="002477F1"/>
    <w:rsid w:val="00247830"/>
    <w:rsid w:val="00247973"/>
    <w:rsid w:val="00247A70"/>
    <w:rsid w:val="00247ABC"/>
    <w:rsid w:val="00247B16"/>
    <w:rsid w:val="00247B31"/>
    <w:rsid w:val="00247B45"/>
    <w:rsid w:val="00247B9B"/>
    <w:rsid w:val="00247DB1"/>
    <w:rsid w:val="00247E46"/>
    <w:rsid w:val="00247E85"/>
    <w:rsid w:val="0025003B"/>
    <w:rsid w:val="00250056"/>
    <w:rsid w:val="002501A0"/>
    <w:rsid w:val="002505AF"/>
    <w:rsid w:val="0025061C"/>
    <w:rsid w:val="002506A3"/>
    <w:rsid w:val="002506BC"/>
    <w:rsid w:val="002507D6"/>
    <w:rsid w:val="00250985"/>
    <w:rsid w:val="00250A46"/>
    <w:rsid w:val="00250E94"/>
    <w:rsid w:val="00250F63"/>
    <w:rsid w:val="002510DA"/>
    <w:rsid w:val="002512E3"/>
    <w:rsid w:val="002513B2"/>
    <w:rsid w:val="002514FF"/>
    <w:rsid w:val="0025150B"/>
    <w:rsid w:val="00251574"/>
    <w:rsid w:val="00251591"/>
    <w:rsid w:val="002517EF"/>
    <w:rsid w:val="00251897"/>
    <w:rsid w:val="00251B40"/>
    <w:rsid w:val="00251D98"/>
    <w:rsid w:val="00251D9C"/>
    <w:rsid w:val="00251DAD"/>
    <w:rsid w:val="00251EB5"/>
    <w:rsid w:val="0025210F"/>
    <w:rsid w:val="002523D5"/>
    <w:rsid w:val="00252475"/>
    <w:rsid w:val="00252614"/>
    <w:rsid w:val="0025262D"/>
    <w:rsid w:val="002526DA"/>
    <w:rsid w:val="00252960"/>
    <w:rsid w:val="002529C3"/>
    <w:rsid w:val="00252ACE"/>
    <w:rsid w:val="00252B06"/>
    <w:rsid w:val="00252B29"/>
    <w:rsid w:val="00252B45"/>
    <w:rsid w:val="00252BC9"/>
    <w:rsid w:val="00252CCA"/>
    <w:rsid w:val="00252CD5"/>
    <w:rsid w:val="00252D6A"/>
    <w:rsid w:val="0025323A"/>
    <w:rsid w:val="00253496"/>
    <w:rsid w:val="002534B6"/>
    <w:rsid w:val="0025358E"/>
    <w:rsid w:val="002536CB"/>
    <w:rsid w:val="00253775"/>
    <w:rsid w:val="0025392E"/>
    <w:rsid w:val="00253B98"/>
    <w:rsid w:val="00253C40"/>
    <w:rsid w:val="00253CD5"/>
    <w:rsid w:val="00253D54"/>
    <w:rsid w:val="00253E2A"/>
    <w:rsid w:val="00253EC4"/>
    <w:rsid w:val="00254062"/>
    <w:rsid w:val="0025407F"/>
    <w:rsid w:val="0025417C"/>
    <w:rsid w:val="002542E1"/>
    <w:rsid w:val="00254345"/>
    <w:rsid w:val="0025449B"/>
    <w:rsid w:val="002545F0"/>
    <w:rsid w:val="0025462B"/>
    <w:rsid w:val="0025477F"/>
    <w:rsid w:val="00254999"/>
    <w:rsid w:val="002549CA"/>
    <w:rsid w:val="00254C24"/>
    <w:rsid w:val="00254CA2"/>
    <w:rsid w:val="00254D82"/>
    <w:rsid w:val="00254F55"/>
    <w:rsid w:val="00254FBE"/>
    <w:rsid w:val="00254FF8"/>
    <w:rsid w:val="002550D7"/>
    <w:rsid w:val="002551C8"/>
    <w:rsid w:val="002551DC"/>
    <w:rsid w:val="002552DF"/>
    <w:rsid w:val="002552E4"/>
    <w:rsid w:val="00255334"/>
    <w:rsid w:val="00255347"/>
    <w:rsid w:val="0025539D"/>
    <w:rsid w:val="002553C4"/>
    <w:rsid w:val="00255569"/>
    <w:rsid w:val="00255616"/>
    <w:rsid w:val="0025581F"/>
    <w:rsid w:val="00255900"/>
    <w:rsid w:val="002559B7"/>
    <w:rsid w:val="00255C3F"/>
    <w:rsid w:val="00255D30"/>
    <w:rsid w:val="00256042"/>
    <w:rsid w:val="00256110"/>
    <w:rsid w:val="00256128"/>
    <w:rsid w:val="00256473"/>
    <w:rsid w:val="00256504"/>
    <w:rsid w:val="00256556"/>
    <w:rsid w:val="002565E9"/>
    <w:rsid w:val="002566FC"/>
    <w:rsid w:val="002568A7"/>
    <w:rsid w:val="002568ED"/>
    <w:rsid w:val="00256A6D"/>
    <w:rsid w:val="00256AEE"/>
    <w:rsid w:val="00256E64"/>
    <w:rsid w:val="00256E69"/>
    <w:rsid w:val="00256F17"/>
    <w:rsid w:val="00256FAA"/>
    <w:rsid w:val="00257055"/>
    <w:rsid w:val="00257144"/>
    <w:rsid w:val="0025714C"/>
    <w:rsid w:val="0025729D"/>
    <w:rsid w:val="002572A9"/>
    <w:rsid w:val="002572B2"/>
    <w:rsid w:val="0025737D"/>
    <w:rsid w:val="00257486"/>
    <w:rsid w:val="002576DE"/>
    <w:rsid w:val="00257982"/>
    <w:rsid w:val="00257AC1"/>
    <w:rsid w:val="00257AF1"/>
    <w:rsid w:val="00257B03"/>
    <w:rsid w:val="00257D13"/>
    <w:rsid w:val="00257D31"/>
    <w:rsid w:val="00257EAD"/>
    <w:rsid w:val="00257F2A"/>
    <w:rsid w:val="00260127"/>
    <w:rsid w:val="00260153"/>
    <w:rsid w:val="0026026A"/>
    <w:rsid w:val="0026028A"/>
    <w:rsid w:val="00260305"/>
    <w:rsid w:val="002603B5"/>
    <w:rsid w:val="00260457"/>
    <w:rsid w:val="002604DF"/>
    <w:rsid w:val="0026057C"/>
    <w:rsid w:val="002605BB"/>
    <w:rsid w:val="002605CC"/>
    <w:rsid w:val="002605E5"/>
    <w:rsid w:val="00260992"/>
    <w:rsid w:val="00260CA7"/>
    <w:rsid w:val="00260D18"/>
    <w:rsid w:val="00260EB8"/>
    <w:rsid w:val="00261052"/>
    <w:rsid w:val="00261061"/>
    <w:rsid w:val="002610D5"/>
    <w:rsid w:val="00261171"/>
    <w:rsid w:val="002611ED"/>
    <w:rsid w:val="002611FA"/>
    <w:rsid w:val="002612B3"/>
    <w:rsid w:val="002614DC"/>
    <w:rsid w:val="002614EB"/>
    <w:rsid w:val="00261542"/>
    <w:rsid w:val="00261566"/>
    <w:rsid w:val="00261865"/>
    <w:rsid w:val="002618DA"/>
    <w:rsid w:val="00261933"/>
    <w:rsid w:val="00261C39"/>
    <w:rsid w:val="00261CBC"/>
    <w:rsid w:val="00261D46"/>
    <w:rsid w:val="00261E13"/>
    <w:rsid w:val="00261E76"/>
    <w:rsid w:val="0026223D"/>
    <w:rsid w:val="0026235D"/>
    <w:rsid w:val="0026252E"/>
    <w:rsid w:val="0026261A"/>
    <w:rsid w:val="00262644"/>
    <w:rsid w:val="0026267A"/>
    <w:rsid w:val="00262724"/>
    <w:rsid w:val="0026274D"/>
    <w:rsid w:val="002627D9"/>
    <w:rsid w:val="00262967"/>
    <w:rsid w:val="00262A74"/>
    <w:rsid w:val="00262B70"/>
    <w:rsid w:val="00262BB3"/>
    <w:rsid w:val="00262C0D"/>
    <w:rsid w:val="00262D44"/>
    <w:rsid w:val="00262E3A"/>
    <w:rsid w:val="00262E80"/>
    <w:rsid w:val="00262EE0"/>
    <w:rsid w:val="00262EE2"/>
    <w:rsid w:val="00262EF2"/>
    <w:rsid w:val="00262F25"/>
    <w:rsid w:val="00263406"/>
    <w:rsid w:val="00263467"/>
    <w:rsid w:val="002634DA"/>
    <w:rsid w:val="00263817"/>
    <w:rsid w:val="00263818"/>
    <w:rsid w:val="00263A15"/>
    <w:rsid w:val="00263AC2"/>
    <w:rsid w:val="00263AF9"/>
    <w:rsid w:val="00263EE3"/>
    <w:rsid w:val="00263F52"/>
    <w:rsid w:val="00263FD7"/>
    <w:rsid w:val="0026411C"/>
    <w:rsid w:val="002641FE"/>
    <w:rsid w:val="0026432B"/>
    <w:rsid w:val="00264557"/>
    <w:rsid w:val="002645B9"/>
    <w:rsid w:val="002645D0"/>
    <w:rsid w:val="0026461C"/>
    <w:rsid w:val="00264819"/>
    <w:rsid w:val="00264856"/>
    <w:rsid w:val="00264915"/>
    <w:rsid w:val="00264922"/>
    <w:rsid w:val="002649CE"/>
    <w:rsid w:val="00264A20"/>
    <w:rsid w:val="00264E2D"/>
    <w:rsid w:val="00264F86"/>
    <w:rsid w:val="00265028"/>
    <w:rsid w:val="0026503C"/>
    <w:rsid w:val="00265051"/>
    <w:rsid w:val="002650B8"/>
    <w:rsid w:val="00265126"/>
    <w:rsid w:val="00265144"/>
    <w:rsid w:val="00265194"/>
    <w:rsid w:val="002651EB"/>
    <w:rsid w:val="00265245"/>
    <w:rsid w:val="0026539B"/>
    <w:rsid w:val="00265419"/>
    <w:rsid w:val="00265566"/>
    <w:rsid w:val="00265709"/>
    <w:rsid w:val="00265854"/>
    <w:rsid w:val="00265A0C"/>
    <w:rsid w:val="00265A7F"/>
    <w:rsid w:val="00265C72"/>
    <w:rsid w:val="00265CF1"/>
    <w:rsid w:val="00265D02"/>
    <w:rsid w:val="00265D2B"/>
    <w:rsid w:val="00266059"/>
    <w:rsid w:val="0026608B"/>
    <w:rsid w:val="00266225"/>
    <w:rsid w:val="002662CF"/>
    <w:rsid w:val="00266359"/>
    <w:rsid w:val="00266364"/>
    <w:rsid w:val="002666D2"/>
    <w:rsid w:val="0026688C"/>
    <w:rsid w:val="002669D0"/>
    <w:rsid w:val="002669D3"/>
    <w:rsid w:val="00266B5C"/>
    <w:rsid w:val="00266BEC"/>
    <w:rsid w:val="00266C5D"/>
    <w:rsid w:val="00266CE7"/>
    <w:rsid w:val="00266D86"/>
    <w:rsid w:val="00266E0C"/>
    <w:rsid w:val="00266E77"/>
    <w:rsid w:val="00266EAA"/>
    <w:rsid w:val="00266F3E"/>
    <w:rsid w:val="00266F9F"/>
    <w:rsid w:val="00266FCF"/>
    <w:rsid w:val="00267089"/>
    <w:rsid w:val="00267092"/>
    <w:rsid w:val="002671B4"/>
    <w:rsid w:val="002672F2"/>
    <w:rsid w:val="00267374"/>
    <w:rsid w:val="002674CA"/>
    <w:rsid w:val="002674F9"/>
    <w:rsid w:val="0026756C"/>
    <w:rsid w:val="00267695"/>
    <w:rsid w:val="00267781"/>
    <w:rsid w:val="002677BB"/>
    <w:rsid w:val="00267808"/>
    <w:rsid w:val="00267A0B"/>
    <w:rsid w:val="00267C9C"/>
    <w:rsid w:val="00267CB1"/>
    <w:rsid w:val="00267E2E"/>
    <w:rsid w:val="00267E3B"/>
    <w:rsid w:val="00267EC6"/>
    <w:rsid w:val="00267EF4"/>
    <w:rsid w:val="00267F74"/>
    <w:rsid w:val="0027001A"/>
    <w:rsid w:val="00270153"/>
    <w:rsid w:val="002701A2"/>
    <w:rsid w:val="00270236"/>
    <w:rsid w:val="002702C5"/>
    <w:rsid w:val="00270396"/>
    <w:rsid w:val="00270404"/>
    <w:rsid w:val="00270431"/>
    <w:rsid w:val="00270440"/>
    <w:rsid w:val="00270651"/>
    <w:rsid w:val="00270828"/>
    <w:rsid w:val="00270A38"/>
    <w:rsid w:val="00270A71"/>
    <w:rsid w:val="00270BE7"/>
    <w:rsid w:val="00270E08"/>
    <w:rsid w:val="00270F01"/>
    <w:rsid w:val="00270FDE"/>
    <w:rsid w:val="00271068"/>
    <w:rsid w:val="00271158"/>
    <w:rsid w:val="00271264"/>
    <w:rsid w:val="00271299"/>
    <w:rsid w:val="0027129A"/>
    <w:rsid w:val="0027135C"/>
    <w:rsid w:val="00271529"/>
    <w:rsid w:val="00271631"/>
    <w:rsid w:val="0027164B"/>
    <w:rsid w:val="00271666"/>
    <w:rsid w:val="00271711"/>
    <w:rsid w:val="0027179D"/>
    <w:rsid w:val="00271943"/>
    <w:rsid w:val="00271DA7"/>
    <w:rsid w:val="00271E03"/>
    <w:rsid w:val="00271EE6"/>
    <w:rsid w:val="00271EEC"/>
    <w:rsid w:val="00272125"/>
    <w:rsid w:val="00272135"/>
    <w:rsid w:val="00272146"/>
    <w:rsid w:val="00272317"/>
    <w:rsid w:val="00272323"/>
    <w:rsid w:val="002724E0"/>
    <w:rsid w:val="002726B6"/>
    <w:rsid w:val="00272724"/>
    <w:rsid w:val="00272839"/>
    <w:rsid w:val="00272881"/>
    <w:rsid w:val="00272927"/>
    <w:rsid w:val="00272ACB"/>
    <w:rsid w:val="00272BED"/>
    <w:rsid w:val="00272C70"/>
    <w:rsid w:val="00272D4D"/>
    <w:rsid w:val="00272F00"/>
    <w:rsid w:val="00272F51"/>
    <w:rsid w:val="00273032"/>
    <w:rsid w:val="00273421"/>
    <w:rsid w:val="00273497"/>
    <w:rsid w:val="00273524"/>
    <w:rsid w:val="00273640"/>
    <w:rsid w:val="002737D8"/>
    <w:rsid w:val="0027386F"/>
    <w:rsid w:val="0027399F"/>
    <w:rsid w:val="00273A4E"/>
    <w:rsid w:val="00273B40"/>
    <w:rsid w:val="00273C76"/>
    <w:rsid w:val="00273D79"/>
    <w:rsid w:val="00273D7F"/>
    <w:rsid w:val="00273F82"/>
    <w:rsid w:val="00273F84"/>
    <w:rsid w:val="00274114"/>
    <w:rsid w:val="00274129"/>
    <w:rsid w:val="00274389"/>
    <w:rsid w:val="0027453F"/>
    <w:rsid w:val="0027482E"/>
    <w:rsid w:val="002748F9"/>
    <w:rsid w:val="00274B9D"/>
    <w:rsid w:val="00274CC1"/>
    <w:rsid w:val="00275172"/>
    <w:rsid w:val="00275199"/>
    <w:rsid w:val="00275236"/>
    <w:rsid w:val="002754F2"/>
    <w:rsid w:val="00275693"/>
    <w:rsid w:val="002756FE"/>
    <w:rsid w:val="002759D3"/>
    <w:rsid w:val="00275A84"/>
    <w:rsid w:val="00275A86"/>
    <w:rsid w:val="00275B8A"/>
    <w:rsid w:val="00275BF4"/>
    <w:rsid w:val="00275CBE"/>
    <w:rsid w:val="00275D1C"/>
    <w:rsid w:val="00275E3A"/>
    <w:rsid w:val="00275EBC"/>
    <w:rsid w:val="00275FB3"/>
    <w:rsid w:val="00275FEF"/>
    <w:rsid w:val="002760A2"/>
    <w:rsid w:val="002761DA"/>
    <w:rsid w:val="00276519"/>
    <w:rsid w:val="00276679"/>
    <w:rsid w:val="002766D5"/>
    <w:rsid w:val="00276787"/>
    <w:rsid w:val="00276AB5"/>
    <w:rsid w:val="00276B91"/>
    <w:rsid w:val="00276C21"/>
    <w:rsid w:val="00276C67"/>
    <w:rsid w:val="00276E25"/>
    <w:rsid w:val="00276F09"/>
    <w:rsid w:val="002770E4"/>
    <w:rsid w:val="0027749D"/>
    <w:rsid w:val="00277523"/>
    <w:rsid w:val="00277534"/>
    <w:rsid w:val="0027771A"/>
    <w:rsid w:val="00277751"/>
    <w:rsid w:val="00277983"/>
    <w:rsid w:val="002779A8"/>
    <w:rsid w:val="00277A73"/>
    <w:rsid w:val="0028003C"/>
    <w:rsid w:val="00280297"/>
    <w:rsid w:val="00280358"/>
    <w:rsid w:val="002803F1"/>
    <w:rsid w:val="0028044C"/>
    <w:rsid w:val="0028045E"/>
    <w:rsid w:val="002805AB"/>
    <w:rsid w:val="002807AF"/>
    <w:rsid w:val="00280846"/>
    <w:rsid w:val="002809A3"/>
    <w:rsid w:val="00280F99"/>
    <w:rsid w:val="00281058"/>
    <w:rsid w:val="0028112E"/>
    <w:rsid w:val="00281187"/>
    <w:rsid w:val="002811BE"/>
    <w:rsid w:val="0028147E"/>
    <w:rsid w:val="00281509"/>
    <w:rsid w:val="002816D6"/>
    <w:rsid w:val="002816E4"/>
    <w:rsid w:val="002816FC"/>
    <w:rsid w:val="00281B83"/>
    <w:rsid w:val="00281CDD"/>
    <w:rsid w:val="00281D99"/>
    <w:rsid w:val="00281DC4"/>
    <w:rsid w:val="00281E2F"/>
    <w:rsid w:val="00281FFA"/>
    <w:rsid w:val="002820AD"/>
    <w:rsid w:val="002822FF"/>
    <w:rsid w:val="00282461"/>
    <w:rsid w:val="00282645"/>
    <w:rsid w:val="002826D9"/>
    <w:rsid w:val="00282882"/>
    <w:rsid w:val="00282A32"/>
    <w:rsid w:val="00282DD8"/>
    <w:rsid w:val="002830A7"/>
    <w:rsid w:val="002831CF"/>
    <w:rsid w:val="002832A9"/>
    <w:rsid w:val="00283363"/>
    <w:rsid w:val="002833D5"/>
    <w:rsid w:val="002835E9"/>
    <w:rsid w:val="00283907"/>
    <w:rsid w:val="00283A31"/>
    <w:rsid w:val="00283A46"/>
    <w:rsid w:val="00283B28"/>
    <w:rsid w:val="00283D74"/>
    <w:rsid w:val="00283E8B"/>
    <w:rsid w:val="0028417C"/>
    <w:rsid w:val="00284204"/>
    <w:rsid w:val="00284271"/>
    <w:rsid w:val="00284354"/>
    <w:rsid w:val="00284381"/>
    <w:rsid w:val="00284397"/>
    <w:rsid w:val="002843DA"/>
    <w:rsid w:val="00284465"/>
    <w:rsid w:val="00284791"/>
    <w:rsid w:val="002847AF"/>
    <w:rsid w:val="0028496C"/>
    <w:rsid w:val="00284979"/>
    <w:rsid w:val="00284AD4"/>
    <w:rsid w:val="00284E16"/>
    <w:rsid w:val="00285023"/>
    <w:rsid w:val="0028531A"/>
    <w:rsid w:val="00285456"/>
    <w:rsid w:val="00285566"/>
    <w:rsid w:val="002855F4"/>
    <w:rsid w:val="002858E0"/>
    <w:rsid w:val="002859A0"/>
    <w:rsid w:val="00285CDB"/>
    <w:rsid w:val="00285D1A"/>
    <w:rsid w:val="00285DD4"/>
    <w:rsid w:val="00285DEF"/>
    <w:rsid w:val="00285E44"/>
    <w:rsid w:val="00285F9A"/>
    <w:rsid w:val="00285FD0"/>
    <w:rsid w:val="00286025"/>
    <w:rsid w:val="002860DE"/>
    <w:rsid w:val="002861D5"/>
    <w:rsid w:val="0028629E"/>
    <w:rsid w:val="00286318"/>
    <w:rsid w:val="0028635A"/>
    <w:rsid w:val="0028651F"/>
    <w:rsid w:val="00286593"/>
    <w:rsid w:val="002865F0"/>
    <w:rsid w:val="00286631"/>
    <w:rsid w:val="002866A3"/>
    <w:rsid w:val="00286B3C"/>
    <w:rsid w:val="00286B73"/>
    <w:rsid w:val="00286B8F"/>
    <w:rsid w:val="00286D4E"/>
    <w:rsid w:val="00286E4E"/>
    <w:rsid w:val="00286EB2"/>
    <w:rsid w:val="00286FDF"/>
    <w:rsid w:val="00287071"/>
    <w:rsid w:val="002870D5"/>
    <w:rsid w:val="00287220"/>
    <w:rsid w:val="002873B7"/>
    <w:rsid w:val="002873D4"/>
    <w:rsid w:val="00287481"/>
    <w:rsid w:val="0028750A"/>
    <w:rsid w:val="00287531"/>
    <w:rsid w:val="00287554"/>
    <w:rsid w:val="002876CA"/>
    <w:rsid w:val="002877FA"/>
    <w:rsid w:val="00287883"/>
    <w:rsid w:val="00287914"/>
    <w:rsid w:val="00287937"/>
    <w:rsid w:val="00287C69"/>
    <w:rsid w:val="00287E86"/>
    <w:rsid w:val="00287F76"/>
    <w:rsid w:val="00287FF3"/>
    <w:rsid w:val="00290140"/>
    <w:rsid w:val="00290196"/>
    <w:rsid w:val="00290201"/>
    <w:rsid w:val="002904BB"/>
    <w:rsid w:val="00290531"/>
    <w:rsid w:val="00290572"/>
    <w:rsid w:val="00290577"/>
    <w:rsid w:val="002905A4"/>
    <w:rsid w:val="0029066D"/>
    <w:rsid w:val="00290943"/>
    <w:rsid w:val="00290C59"/>
    <w:rsid w:val="00290D00"/>
    <w:rsid w:val="00290D06"/>
    <w:rsid w:val="00290DAA"/>
    <w:rsid w:val="0029130E"/>
    <w:rsid w:val="002914BC"/>
    <w:rsid w:val="0029158A"/>
    <w:rsid w:val="00291773"/>
    <w:rsid w:val="002917DD"/>
    <w:rsid w:val="0029186A"/>
    <w:rsid w:val="00291A0F"/>
    <w:rsid w:val="00291A4A"/>
    <w:rsid w:val="00292070"/>
    <w:rsid w:val="002920BA"/>
    <w:rsid w:val="00292228"/>
    <w:rsid w:val="002923D3"/>
    <w:rsid w:val="0029250D"/>
    <w:rsid w:val="002926D0"/>
    <w:rsid w:val="002927D5"/>
    <w:rsid w:val="002927E6"/>
    <w:rsid w:val="00292975"/>
    <w:rsid w:val="00292A5A"/>
    <w:rsid w:val="00292A72"/>
    <w:rsid w:val="00292BA9"/>
    <w:rsid w:val="00292F72"/>
    <w:rsid w:val="0029305A"/>
    <w:rsid w:val="0029305D"/>
    <w:rsid w:val="00293061"/>
    <w:rsid w:val="00293258"/>
    <w:rsid w:val="00293391"/>
    <w:rsid w:val="002934F5"/>
    <w:rsid w:val="0029358C"/>
    <w:rsid w:val="002935AD"/>
    <w:rsid w:val="002935B9"/>
    <w:rsid w:val="00293603"/>
    <w:rsid w:val="0029360E"/>
    <w:rsid w:val="0029367E"/>
    <w:rsid w:val="00293699"/>
    <w:rsid w:val="00293B90"/>
    <w:rsid w:val="00293D95"/>
    <w:rsid w:val="00293F5E"/>
    <w:rsid w:val="00293FF6"/>
    <w:rsid w:val="002940C7"/>
    <w:rsid w:val="002940CB"/>
    <w:rsid w:val="002941D2"/>
    <w:rsid w:val="00294221"/>
    <w:rsid w:val="0029429E"/>
    <w:rsid w:val="0029434F"/>
    <w:rsid w:val="00294508"/>
    <w:rsid w:val="00294566"/>
    <w:rsid w:val="002948E9"/>
    <w:rsid w:val="00294908"/>
    <w:rsid w:val="00294AB5"/>
    <w:rsid w:val="00294AB7"/>
    <w:rsid w:val="00294AE5"/>
    <w:rsid w:val="00294BD2"/>
    <w:rsid w:val="00294D89"/>
    <w:rsid w:val="00294E76"/>
    <w:rsid w:val="00294E9C"/>
    <w:rsid w:val="00294EA0"/>
    <w:rsid w:val="00294EE6"/>
    <w:rsid w:val="00294F49"/>
    <w:rsid w:val="00295165"/>
    <w:rsid w:val="002951BD"/>
    <w:rsid w:val="00295584"/>
    <w:rsid w:val="0029567C"/>
    <w:rsid w:val="00295763"/>
    <w:rsid w:val="002958A0"/>
    <w:rsid w:val="002958CA"/>
    <w:rsid w:val="00295A3A"/>
    <w:rsid w:val="00295B6F"/>
    <w:rsid w:val="00295C0B"/>
    <w:rsid w:val="00295CB9"/>
    <w:rsid w:val="00295D61"/>
    <w:rsid w:val="00295D86"/>
    <w:rsid w:val="00295DEC"/>
    <w:rsid w:val="00295EAB"/>
    <w:rsid w:val="002960C3"/>
    <w:rsid w:val="0029617B"/>
    <w:rsid w:val="002964F8"/>
    <w:rsid w:val="00296597"/>
    <w:rsid w:val="002966B2"/>
    <w:rsid w:val="00296731"/>
    <w:rsid w:val="00296A29"/>
    <w:rsid w:val="00296AB6"/>
    <w:rsid w:val="00296B85"/>
    <w:rsid w:val="00296C5A"/>
    <w:rsid w:val="00296EAC"/>
    <w:rsid w:val="00296F4B"/>
    <w:rsid w:val="002972FD"/>
    <w:rsid w:val="00297742"/>
    <w:rsid w:val="00297A47"/>
    <w:rsid w:val="00297AD2"/>
    <w:rsid w:val="00297AE3"/>
    <w:rsid w:val="00297AE7"/>
    <w:rsid w:val="00297BE7"/>
    <w:rsid w:val="00297C1F"/>
    <w:rsid w:val="00297C97"/>
    <w:rsid w:val="00297CB7"/>
    <w:rsid w:val="00297D47"/>
    <w:rsid w:val="00297D9F"/>
    <w:rsid w:val="00297E59"/>
    <w:rsid w:val="00297F7B"/>
    <w:rsid w:val="00297FBE"/>
    <w:rsid w:val="002A00B7"/>
    <w:rsid w:val="002A02A3"/>
    <w:rsid w:val="002A044B"/>
    <w:rsid w:val="002A0475"/>
    <w:rsid w:val="002A0662"/>
    <w:rsid w:val="002A080C"/>
    <w:rsid w:val="002A0844"/>
    <w:rsid w:val="002A0AA4"/>
    <w:rsid w:val="002A0AAC"/>
    <w:rsid w:val="002A10ED"/>
    <w:rsid w:val="002A10F2"/>
    <w:rsid w:val="002A1139"/>
    <w:rsid w:val="002A1178"/>
    <w:rsid w:val="002A11F4"/>
    <w:rsid w:val="002A1229"/>
    <w:rsid w:val="002A145A"/>
    <w:rsid w:val="002A145C"/>
    <w:rsid w:val="002A15C7"/>
    <w:rsid w:val="002A168C"/>
    <w:rsid w:val="002A16AF"/>
    <w:rsid w:val="002A187E"/>
    <w:rsid w:val="002A19B2"/>
    <w:rsid w:val="002A1B58"/>
    <w:rsid w:val="002A1BA7"/>
    <w:rsid w:val="002A1CEF"/>
    <w:rsid w:val="002A1E99"/>
    <w:rsid w:val="002A1F22"/>
    <w:rsid w:val="002A1F99"/>
    <w:rsid w:val="002A20FD"/>
    <w:rsid w:val="002A216C"/>
    <w:rsid w:val="002A21E0"/>
    <w:rsid w:val="002A220F"/>
    <w:rsid w:val="002A223E"/>
    <w:rsid w:val="002A2352"/>
    <w:rsid w:val="002A23BF"/>
    <w:rsid w:val="002A2453"/>
    <w:rsid w:val="002A2600"/>
    <w:rsid w:val="002A2704"/>
    <w:rsid w:val="002A2716"/>
    <w:rsid w:val="002A2A53"/>
    <w:rsid w:val="002A2C7D"/>
    <w:rsid w:val="002A2CB5"/>
    <w:rsid w:val="002A2D82"/>
    <w:rsid w:val="002A2DDC"/>
    <w:rsid w:val="002A2DEE"/>
    <w:rsid w:val="002A2E0B"/>
    <w:rsid w:val="002A2EA5"/>
    <w:rsid w:val="002A2EC4"/>
    <w:rsid w:val="002A2EDF"/>
    <w:rsid w:val="002A2F53"/>
    <w:rsid w:val="002A2F8F"/>
    <w:rsid w:val="002A2FA1"/>
    <w:rsid w:val="002A31B7"/>
    <w:rsid w:val="002A3509"/>
    <w:rsid w:val="002A358C"/>
    <w:rsid w:val="002A37B2"/>
    <w:rsid w:val="002A381E"/>
    <w:rsid w:val="002A3856"/>
    <w:rsid w:val="002A38FD"/>
    <w:rsid w:val="002A3A7B"/>
    <w:rsid w:val="002A3C05"/>
    <w:rsid w:val="002A3D64"/>
    <w:rsid w:val="002A3DC7"/>
    <w:rsid w:val="002A3F49"/>
    <w:rsid w:val="002A41E7"/>
    <w:rsid w:val="002A4287"/>
    <w:rsid w:val="002A43F8"/>
    <w:rsid w:val="002A442E"/>
    <w:rsid w:val="002A44DB"/>
    <w:rsid w:val="002A4565"/>
    <w:rsid w:val="002A457E"/>
    <w:rsid w:val="002A4910"/>
    <w:rsid w:val="002A499E"/>
    <w:rsid w:val="002A49A4"/>
    <w:rsid w:val="002A49D8"/>
    <w:rsid w:val="002A4A30"/>
    <w:rsid w:val="002A4A75"/>
    <w:rsid w:val="002A4A88"/>
    <w:rsid w:val="002A4A96"/>
    <w:rsid w:val="002A4AAE"/>
    <w:rsid w:val="002A4B63"/>
    <w:rsid w:val="002A4C18"/>
    <w:rsid w:val="002A4C59"/>
    <w:rsid w:val="002A4D13"/>
    <w:rsid w:val="002A4E98"/>
    <w:rsid w:val="002A5025"/>
    <w:rsid w:val="002A5055"/>
    <w:rsid w:val="002A55BC"/>
    <w:rsid w:val="002A57A1"/>
    <w:rsid w:val="002A5869"/>
    <w:rsid w:val="002A59C2"/>
    <w:rsid w:val="002A5A7A"/>
    <w:rsid w:val="002A5AAE"/>
    <w:rsid w:val="002A5AD7"/>
    <w:rsid w:val="002A5B64"/>
    <w:rsid w:val="002A5CC2"/>
    <w:rsid w:val="002A5D0D"/>
    <w:rsid w:val="002A5DD5"/>
    <w:rsid w:val="002A5E8C"/>
    <w:rsid w:val="002A5F33"/>
    <w:rsid w:val="002A5FC0"/>
    <w:rsid w:val="002A5FC3"/>
    <w:rsid w:val="002A630B"/>
    <w:rsid w:val="002A63AC"/>
    <w:rsid w:val="002A63CB"/>
    <w:rsid w:val="002A65F0"/>
    <w:rsid w:val="002A65FF"/>
    <w:rsid w:val="002A6630"/>
    <w:rsid w:val="002A67AB"/>
    <w:rsid w:val="002A690B"/>
    <w:rsid w:val="002A6ABB"/>
    <w:rsid w:val="002A6AE5"/>
    <w:rsid w:val="002A6B5E"/>
    <w:rsid w:val="002A6B8D"/>
    <w:rsid w:val="002A6C56"/>
    <w:rsid w:val="002A6D04"/>
    <w:rsid w:val="002A6D81"/>
    <w:rsid w:val="002A6ED6"/>
    <w:rsid w:val="002A70EE"/>
    <w:rsid w:val="002A71A7"/>
    <w:rsid w:val="002A74F8"/>
    <w:rsid w:val="002A74FF"/>
    <w:rsid w:val="002A76D1"/>
    <w:rsid w:val="002A76DA"/>
    <w:rsid w:val="002A7874"/>
    <w:rsid w:val="002A7D0E"/>
    <w:rsid w:val="002A7DB9"/>
    <w:rsid w:val="002A7E13"/>
    <w:rsid w:val="002A7E1D"/>
    <w:rsid w:val="002A7F35"/>
    <w:rsid w:val="002B0071"/>
    <w:rsid w:val="002B032B"/>
    <w:rsid w:val="002B037C"/>
    <w:rsid w:val="002B053E"/>
    <w:rsid w:val="002B059C"/>
    <w:rsid w:val="002B05A9"/>
    <w:rsid w:val="002B05BA"/>
    <w:rsid w:val="002B075F"/>
    <w:rsid w:val="002B07B3"/>
    <w:rsid w:val="002B07EC"/>
    <w:rsid w:val="002B08A1"/>
    <w:rsid w:val="002B0942"/>
    <w:rsid w:val="002B0A77"/>
    <w:rsid w:val="002B0C7C"/>
    <w:rsid w:val="002B0CF0"/>
    <w:rsid w:val="002B0E5B"/>
    <w:rsid w:val="002B0EC1"/>
    <w:rsid w:val="002B10E6"/>
    <w:rsid w:val="002B11A6"/>
    <w:rsid w:val="002B11C7"/>
    <w:rsid w:val="002B13FF"/>
    <w:rsid w:val="002B1411"/>
    <w:rsid w:val="002B1588"/>
    <w:rsid w:val="002B177B"/>
    <w:rsid w:val="002B17EE"/>
    <w:rsid w:val="002B1948"/>
    <w:rsid w:val="002B1A7D"/>
    <w:rsid w:val="002B1C94"/>
    <w:rsid w:val="002B1C9D"/>
    <w:rsid w:val="002B1CC9"/>
    <w:rsid w:val="002B1DF9"/>
    <w:rsid w:val="002B1E6D"/>
    <w:rsid w:val="002B1E78"/>
    <w:rsid w:val="002B213A"/>
    <w:rsid w:val="002B225D"/>
    <w:rsid w:val="002B22FF"/>
    <w:rsid w:val="002B238A"/>
    <w:rsid w:val="002B25A3"/>
    <w:rsid w:val="002B295D"/>
    <w:rsid w:val="002B2B85"/>
    <w:rsid w:val="002B2BDF"/>
    <w:rsid w:val="002B2BF0"/>
    <w:rsid w:val="002B2E7E"/>
    <w:rsid w:val="002B3120"/>
    <w:rsid w:val="002B3186"/>
    <w:rsid w:val="002B33CA"/>
    <w:rsid w:val="002B3488"/>
    <w:rsid w:val="002B34DB"/>
    <w:rsid w:val="002B34E2"/>
    <w:rsid w:val="002B357B"/>
    <w:rsid w:val="002B35B1"/>
    <w:rsid w:val="002B3B9B"/>
    <w:rsid w:val="002B3C11"/>
    <w:rsid w:val="002B3C36"/>
    <w:rsid w:val="002B3D3B"/>
    <w:rsid w:val="002B3E99"/>
    <w:rsid w:val="002B3F00"/>
    <w:rsid w:val="002B4113"/>
    <w:rsid w:val="002B4182"/>
    <w:rsid w:val="002B42EA"/>
    <w:rsid w:val="002B431A"/>
    <w:rsid w:val="002B438A"/>
    <w:rsid w:val="002B4453"/>
    <w:rsid w:val="002B44C7"/>
    <w:rsid w:val="002B44F9"/>
    <w:rsid w:val="002B4734"/>
    <w:rsid w:val="002B4944"/>
    <w:rsid w:val="002B49E2"/>
    <w:rsid w:val="002B4BA1"/>
    <w:rsid w:val="002B4D87"/>
    <w:rsid w:val="002B4EC2"/>
    <w:rsid w:val="002B4F17"/>
    <w:rsid w:val="002B4FA7"/>
    <w:rsid w:val="002B4FB2"/>
    <w:rsid w:val="002B5371"/>
    <w:rsid w:val="002B561E"/>
    <w:rsid w:val="002B5699"/>
    <w:rsid w:val="002B577A"/>
    <w:rsid w:val="002B584F"/>
    <w:rsid w:val="002B5912"/>
    <w:rsid w:val="002B59C3"/>
    <w:rsid w:val="002B5A74"/>
    <w:rsid w:val="002B5CE8"/>
    <w:rsid w:val="002B5E10"/>
    <w:rsid w:val="002B5EC4"/>
    <w:rsid w:val="002B5EF7"/>
    <w:rsid w:val="002B5FE2"/>
    <w:rsid w:val="002B605B"/>
    <w:rsid w:val="002B613F"/>
    <w:rsid w:val="002B62D5"/>
    <w:rsid w:val="002B635A"/>
    <w:rsid w:val="002B6474"/>
    <w:rsid w:val="002B6528"/>
    <w:rsid w:val="002B653C"/>
    <w:rsid w:val="002B6599"/>
    <w:rsid w:val="002B664D"/>
    <w:rsid w:val="002B6722"/>
    <w:rsid w:val="002B6723"/>
    <w:rsid w:val="002B67B4"/>
    <w:rsid w:val="002B68C3"/>
    <w:rsid w:val="002B68F3"/>
    <w:rsid w:val="002B6AF8"/>
    <w:rsid w:val="002B6B96"/>
    <w:rsid w:val="002B6BCF"/>
    <w:rsid w:val="002B6C09"/>
    <w:rsid w:val="002B6C0F"/>
    <w:rsid w:val="002B6C2D"/>
    <w:rsid w:val="002B6C32"/>
    <w:rsid w:val="002B6CC4"/>
    <w:rsid w:val="002B6D20"/>
    <w:rsid w:val="002B6D40"/>
    <w:rsid w:val="002B6D5B"/>
    <w:rsid w:val="002B6F4C"/>
    <w:rsid w:val="002B7138"/>
    <w:rsid w:val="002B714E"/>
    <w:rsid w:val="002B7222"/>
    <w:rsid w:val="002B7235"/>
    <w:rsid w:val="002B74A1"/>
    <w:rsid w:val="002B7567"/>
    <w:rsid w:val="002B7582"/>
    <w:rsid w:val="002B7628"/>
    <w:rsid w:val="002B76A9"/>
    <w:rsid w:val="002B770F"/>
    <w:rsid w:val="002B78CA"/>
    <w:rsid w:val="002B79B2"/>
    <w:rsid w:val="002B7A9E"/>
    <w:rsid w:val="002B7B00"/>
    <w:rsid w:val="002B7B3A"/>
    <w:rsid w:val="002B7BFF"/>
    <w:rsid w:val="002B7C44"/>
    <w:rsid w:val="002B7C45"/>
    <w:rsid w:val="002B7C86"/>
    <w:rsid w:val="002B7D2B"/>
    <w:rsid w:val="002C0025"/>
    <w:rsid w:val="002C006E"/>
    <w:rsid w:val="002C0166"/>
    <w:rsid w:val="002C02FF"/>
    <w:rsid w:val="002C0364"/>
    <w:rsid w:val="002C0388"/>
    <w:rsid w:val="002C03E2"/>
    <w:rsid w:val="002C0412"/>
    <w:rsid w:val="002C0491"/>
    <w:rsid w:val="002C05CE"/>
    <w:rsid w:val="002C0624"/>
    <w:rsid w:val="002C0862"/>
    <w:rsid w:val="002C08A3"/>
    <w:rsid w:val="002C08DB"/>
    <w:rsid w:val="002C0AD6"/>
    <w:rsid w:val="002C0B8A"/>
    <w:rsid w:val="002C104A"/>
    <w:rsid w:val="002C11CA"/>
    <w:rsid w:val="002C1232"/>
    <w:rsid w:val="002C1239"/>
    <w:rsid w:val="002C12FE"/>
    <w:rsid w:val="002C141C"/>
    <w:rsid w:val="002C14C2"/>
    <w:rsid w:val="002C1503"/>
    <w:rsid w:val="002C1570"/>
    <w:rsid w:val="002C168D"/>
    <w:rsid w:val="002C18BA"/>
    <w:rsid w:val="002C190E"/>
    <w:rsid w:val="002C1942"/>
    <w:rsid w:val="002C1E53"/>
    <w:rsid w:val="002C1E9F"/>
    <w:rsid w:val="002C1FE9"/>
    <w:rsid w:val="002C222C"/>
    <w:rsid w:val="002C2258"/>
    <w:rsid w:val="002C2350"/>
    <w:rsid w:val="002C23DD"/>
    <w:rsid w:val="002C255D"/>
    <w:rsid w:val="002C25C2"/>
    <w:rsid w:val="002C2693"/>
    <w:rsid w:val="002C27C5"/>
    <w:rsid w:val="002C2942"/>
    <w:rsid w:val="002C2B17"/>
    <w:rsid w:val="002C2B59"/>
    <w:rsid w:val="002C2C66"/>
    <w:rsid w:val="002C2CB2"/>
    <w:rsid w:val="002C2CE1"/>
    <w:rsid w:val="002C3068"/>
    <w:rsid w:val="002C30D0"/>
    <w:rsid w:val="002C3141"/>
    <w:rsid w:val="002C3198"/>
    <w:rsid w:val="002C323A"/>
    <w:rsid w:val="002C33E2"/>
    <w:rsid w:val="002C34F8"/>
    <w:rsid w:val="002C35C3"/>
    <w:rsid w:val="002C38C8"/>
    <w:rsid w:val="002C3C8D"/>
    <w:rsid w:val="002C4077"/>
    <w:rsid w:val="002C4092"/>
    <w:rsid w:val="002C41FE"/>
    <w:rsid w:val="002C42FB"/>
    <w:rsid w:val="002C4365"/>
    <w:rsid w:val="002C43AF"/>
    <w:rsid w:val="002C4626"/>
    <w:rsid w:val="002C46A4"/>
    <w:rsid w:val="002C49C1"/>
    <w:rsid w:val="002C49CD"/>
    <w:rsid w:val="002C4ABE"/>
    <w:rsid w:val="002C4B0F"/>
    <w:rsid w:val="002C4C4F"/>
    <w:rsid w:val="002C4CC9"/>
    <w:rsid w:val="002C4D42"/>
    <w:rsid w:val="002C4F18"/>
    <w:rsid w:val="002C50CD"/>
    <w:rsid w:val="002C5159"/>
    <w:rsid w:val="002C528A"/>
    <w:rsid w:val="002C52B2"/>
    <w:rsid w:val="002C540F"/>
    <w:rsid w:val="002C556D"/>
    <w:rsid w:val="002C5614"/>
    <w:rsid w:val="002C561A"/>
    <w:rsid w:val="002C56AB"/>
    <w:rsid w:val="002C578C"/>
    <w:rsid w:val="002C5C2B"/>
    <w:rsid w:val="002C5D27"/>
    <w:rsid w:val="002C5D5D"/>
    <w:rsid w:val="002C5E91"/>
    <w:rsid w:val="002C5EBA"/>
    <w:rsid w:val="002C603A"/>
    <w:rsid w:val="002C603D"/>
    <w:rsid w:val="002C60F6"/>
    <w:rsid w:val="002C62D6"/>
    <w:rsid w:val="002C6387"/>
    <w:rsid w:val="002C6677"/>
    <w:rsid w:val="002C6767"/>
    <w:rsid w:val="002C6CA6"/>
    <w:rsid w:val="002C6CFE"/>
    <w:rsid w:val="002C6DB2"/>
    <w:rsid w:val="002C6DF8"/>
    <w:rsid w:val="002C6E66"/>
    <w:rsid w:val="002C6EDF"/>
    <w:rsid w:val="002C7043"/>
    <w:rsid w:val="002C70E5"/>
    <w:rsid w:val="002C7115"/>
    <w:rsid w:val="002C71D5"/>
    <w:rsid w:val="002C7254"/>
    <w:rsid w:val="002C75AB"/>
    <w:rsid w:val="002C75E0"/>
    <w:rsid w:val="002C76DF"/>
    <w:rsid w:val="002C77EC"/>
    <w:rsid w:val="002C781E"/>
    <w:rsid w:val="002C7AB3"/>
    <w:rsid w:val="002C7D7B"/>
    <w:rsid w:val="002C7E2C"/>
    <w:rsid w:val="002D003F"/>
    <w:rsid w:val="002D0170"/>
    <w:rsid w:val="002D01AC"/>
    <w:rsid w:val="002D01B9"/>
    <w:rsid w:val="002D028F"/>
    <w:rsid w:val="002D03A5"/>
    <w:rsid w:val="002D0400"/>
    <w:rsid w:val="002D0539"/>
    <w:rsid w:val="002D06B9"/>
    <w:rsid w:val="002D0765"/>
    <w:rsid w:val="002D0767"/>
    <w:rsid w:val="002D0971"/>
    <w:rsid w:val="002D09C1"/>
    <w:rsid w:val="002D0A3A"/>
    <w:rsid w:val="002D0A92"/>
    <w:rsid w:val="002D0CF0"/>
    <w:rsid w:val="002D0D83"/>
    <w:rsid w:val="002D0DD5"/>
    <w:rsid w:val="002D1053"/>
    <w:rsid w:val="002D1107"/>
    <w:rsid w:val="002D113E"/>
    <w:rsid w:val="002D138A"/>
    <w:rsid w:val="002D1446"/>
    <w:rsid w:val="002D1481"/>
    <w:rsid w:val="002D17EC"/>
    <w:rsid w:val="002D19CC"/>
    <w:rsid w:val="002D1A6D"/>
    <w:rsid w:val="002D1B78"/>
    <w:rsid w:val="002D1E01"/>
    <w:rsid w:val="002D1E50"/>
    <w:rsid w:val="002D1F70"/>
    <w:rsid w:val="002D2053"/>
    <w:rsid w:val="002D207F"/>
    <w:rsid w:val="002D221A"/>
    <w:rsid w:val="002D22A3"/>
    <w:rsid w:val="002D22B6"/>
    <w:rsid w:val="002D2330"/>
    <w:rsid w:val="002D244F"/>
    <w:rsid w:val="002D2573"/>
    <w:rsid w:val="002D263C"/>
    <w:rsid w:val="002D26C0"/>
    <w:rsid w:val="002D270E"/>
    <w:rsid w:val="002D293B"/>
    <w:rsid w:val="002D29CE"/>
    <w:rsid w:val="002D2A11"/>
    <w:rsid w:val="002D2A93"/>
    <w:rsid w:val="002D2B27"/>
    <w:rsid w:val="002D2B9A"/>
    <w:rsid w:val="002D2BCD"/>
    <w:rsid w:val="002D2C75"/>
    <w:rsid w:val="002D2CFF"/>
    <w:rsid w:val="002D2D0C"/>
    <w:rsid w:val="002D2D45"/>
    <w:rsid w:val="002D2D50"/>
    <w:rsid w:val="002D2E7D"/>
    <w:rsid w:val="002D2E91"/>
    <w:rsid w:val="002D2F30"/>
    <w:rsid w:val="002D30B7"/>
    <w:rsid w:val="002D30F8"/>
    <w:rsid w:val="002D312C"/>
    <w:rsid w:val="002D313D"/>
    <w:rsid w:val="002D3199"/>
    <w:rsid w:val="002D3223"/>
    <w:rsid w:val="002D32F9"/>
    <w:rsid w:val="002D3652"/>
    <w:rsid w:val="002D3796"/>
    <w:rsid w:val="002D37C0"/>
    <w:rsid w:val="002D382E"/>
    <w:rsid w:val="002D391C"/>
    <w:rsid w:val="002D3BA1"/>
    <w:rsid w:val="002D3C30"/>
    <w:rsid w:val="002D3CB5"/>
    <w:rsid w:val="002D3D71"/>
    <w:rsid w:val="002D3DD0"/>
    <w:rsid w:val="002D4216"/>
    <w:rsid w:val="002D4297"/>
    <w:rsid w:val="002D42E9"/>
    <w:rsid w:val="002D48A8"/>
    <w:rsid w:val="002D48ED"/>
    <w:rsid w:val="002D4902"/>
    <w:rsid w:val="002D496C"/>
    <w:rsid w:val="002D4B72"/>
    <w:rsid w:val="002D4C30"/>
    <w:rsid w:val="002D4E2D"/>
    <w:rsid w:val="002D522C"/>
    <w:rsid w:val="002D5281"/>
    <w:rsid w:val="002D52A8"/>
    <w:rsid w:val="002D545A"/>
    <w:rsid w:val="002D546C"/>
    <w:rsid w:val="002D54AA"/>
    <w:rsid w:val="002D5572"/>
    <w:rsid w:val="002D55CC"/>
    <w:rsid w:val="002D55EC"/>
    <w:rsid w:val="002D577C"/>
    <w:rsid w:val="002D5A85"/>
    <w:rsid w:val="002D5B03"/>
    <w:rsid w:val="002D5B2C"/>
    <w:rsid w:val="002D5B9A"/>
    <w:rsid w:val="002D5CEB"/>
    <w:rsid w:val="002D5E2D"/>
    <w:rsid w:val="002D5E95"/>
    <w:rsid w:val="002D5EB5"/>
    <w:rsid w:val="002D5EE1"/>
    <w:rsid w:val="002D5EF4"/>
    <w:rsid w:val="002D5F3B"/>
    <w:rsid w:val="002D601D"/>
    <w:rsid w:val="002D637A"/>
    <w:rsid w:val="002D64EF"/>
    <w:rsid w:val="002D6543"/>
    <w:rsid w:val="002D65DC"/>
    <w:rsid w:val="002D6757"/>
    <w:rsid w:val="002D6762"/>
    <w:rsid w:val="002D6872"/>
    <w:rsid w:val="002D6C80"/>
    <w:rsid w:val="002D6CC7"/>
    <w:rsid w:val="002D6FF3"/>
    <w:rsid w:val="002D74BD"/>
    <w:rsid w:val="002D757E"/>
    <w:rsid w:val="002D75B7"/>
    <w:rsid w:val="002D75E1"/>
    <w:rsid w:val="002D76F5"/>
    <w:rsid w:val="002D776B"/>
    <w:rsid w:val="002D7812"/>
    <w:rsid w:val="002D782B"/>
    <w:rsid w:val="002D79F8"/>
    <w:rsid w:val="002D7B85"/>
    <w:rsid w:val="002D7BC2"/>
    <w:rsid w:val="002D7D42"/>
    <w:rsid w:val="002D7DFC"/>
    <w:rsid w:val="002D7EBD"/>
    <w:rsid w:val="002D7FD3"/>
    <w:rsid w:val="002E0061"/>
    <w:rsid w:val="002E0090"/>
    <w:rsid w:val="002E00C7"/>
    <w:rsid w:val="002E0208"/>
    <w:rsid w:val="002E0249"/>
    <w:rsid w:val="002E0587"/>
    <w:rsid w:val="002E0616"/>
    <w:rsid w:val="002E0643"/>
    <w:rsid w:val="002E06D2"/>
    <w:rsid w:val="002E0721"/>
    <w:rsid w:val="002E0725"/>
    <w:rsid w:val="002E07BB"/>
    <w:rsid w:val="002E0837"/>
    <w:rsid w:val="002E0A9B"/>
    <w:rsid w:val="002E0C77"/>
    <w:rsid w:val="002E0E3F"/>
    <w:rsid w:val="002E0FA0"/>
    <w:rsid w:val="002E1070"/>
    <w:rsid w:val="002E1341"/>
    <w:rsid w:val="002E14E0"/>
    <w:rsid w:val="002E15A5"/>
    <w:rsid w:val="002E15D5"/>
    <w:rsid w:val="002E1708"/>
    <w:rsid w:val="002E1740"/>
    <w:rsid w:val="002E175B"/>
    <w:rsid w:val="002E177A"/>
    <w:rsid w:val="002E1978"/>
    <w:rsid w:val="002E1A8B"/>
    <w:rsid w:val="002E1BFB"/>
    <w:rsid w:val="002E1C5E"/>
    <w:rsid w:val="002E1CE0"/>
    <w:rsid w:val="002E1D37"/>
    <w:rsid w:val="002E1E46"/>
    <w:rsid w:val="002E1F02"/>
    <w:rsid w:val="002E1F3A"/>
    <w:rsid w:val="002E2068"/>
    <w:rsid w:val="002E229A"/>
    <w:rsid w:val="002E2343"/>
    <w:rsid w:val="002E268C"/>
    <w:rsid w:val="002E26C2"/>
    <w:rsid w:val="002E298A"/>
    <w:rsid w:val="002E2A27"/>
    <w:rsid w:val="002E2B23"/>
    <w:rsid w:val="002E2BCD"/>
    <w:rsid w:val="002E2C8B"/>
    <w:rsid w:val="002E2D7F"/>
    <w:rsid w:val="002E2D87"/>
    <w:rsid w:val="002E30F6"/>
    <w:rsid w:val="002E37C7"/>
    <w:rsid w:val="002E3A1C"/>
    <w:rsid w:val="002E3A93"/>
    <w:rsid w:val="002E3B06"/>
    <w:rsid w:val="002E3BB5"/>
    <w:rsid w:val="002E3C4C"/>
    <w:rsid w:val="002E3CA5"/>
    <w:rsid w:val="002E3D81"/>
    <w:rsid w:val="002E3EEC"/>
    <w:rsid w:val="002E3F4B"/>
    <w:rsid w:val="002E3FC8"/>
    <w:rsid w:val="002E4078"/>
    <w:rsid w:val="002E410A"/>
    <w:rsid w:val="002E4199"/>
    <w:rsid w:val="002E41C1"/>
    <w:rsid w:val="002E42E3"/>
    <w:rsid w:val="002E42F8"/>
    <w:rsid w:val="002E4667"/>
    <w:rsid w:val="002E46A1"/>
    <w:rsid w:val="002E49DE"/>
    <w:rsid w:val="002E49FB"/>
    <w:rsid w:val="002E4ADF"/>
    <w:rsid w:val="002E4B15"/>
    <w:rsid w:val="002E4CF3"/>
    <w:rsid w:val="002E4E2F"/>
    <w:rsid w:val="002E5049"/>
    <w:rsid w:val="002E51A0"/>
    <w:rsid w:val="002E5363"/>
    <w:rsid w:val="002E55D2"/>
    <w:rsid w:val="002E5716"/>
    <w:rsid w:val="002E5DA5"/>
    <w:rsid w:val="002E5EED"/>
    <w:rsid w:val="002E6071"/>
    <w:rsid w:val="002E60A9"/>
    <w:rsid w:val="002E6125"/>
    <w:rsid w:val="002E6180"/>
    <w:rsid w:val="002E62B2"/>
    <w:rsid w:val="002E62B6"/>
    <w:rsid w:val="002E64EC"/>
    <w:rsid w:val="002E6541"/>
    <w:rsid w:val="002E6557"/>
    <w:rsid w:val="002E65DD"/>
    <w:rsid w:val="002E6649"/>
    <w:rsid w:val="002E6678"/>
    <w:rsid w:val="002E667D"/>
    <w:rsid w:val="002E679D"/>
    <w:rsid w:val="002E6954"/>
    <w:rsid w:val="002E6990"/>
    <w:rsid w:val="002E6B1B"/>
    <w:rsid w:val="002E6C0A"/>
    <w:rsid w:val="002E6C8E"/>
    <w:rsid w:val="002E7313"/>
    <w:rsid w:val="002E751D"/>
    <w:rsid w:val="002E757B"/>
    <w:rsid w:val="002E75F2"/>
    <w:rsid w:val="002E7607"/>
    <w:rsid w:val="002E765D"/>
    <w:rsid w:val="002E7739"/>
    <w:rsid w:val="002E77F1"/>
    <w:rsid w:val="002E795F"/>
    <w:rsid w:val="002E7981"/>
    <w:rsid w:val="002E7989"/>
    <w:rsid w:val="002E7B23"/>
    <w:rsid w:val="002E7B5B"/>
    <w:rsid w:val="002E7CF9"/>
    <w:rsid w:val="002E7D51"/>
    <w:rsid w:val="002E7E35"/>
    <w:rsid w:val="002E7FE2"/>
    <w:rsid w:val="002F037A"/>
    <w:rsid w:val="002F05DD"/>
    <w:rsid w:val="002F06AC"/>
    <w:rsid w:val="002F0726"/>
    <w:rsid w:val="002F08B9"/>
    <w:rsid w:val="002F0992"/>
    <w:rsid w:val="002F0C60"/>
    <w:rsid w:val="002F0CC2"/>
    <w:rsid w:val="002F0CD4"/>
    <w:rsid w:val="002F0D69"/>
    <w:rsid w:val="002F0DB5"/>
    <w:rsid w:val="002F0DE4"/>
    <w:rsid w:val="002F0EB5"/>
    <w:rsid w:val="002F1028"/>
    <w:rsid w:val="002F11E5"/>
    <w:rsid w:val="002F138B"/>
    <w:rsid w:val="002F1536"/>
    <w:rsid w:val="002F1579"/>
    <w:rsid w:val="002F158D"/>
    <w:rsid w:val="002F15CA"/>
    <w:rsid w:val="002F1757"/>
    <w:rsid w:val="002F17BC"/>
    <w:rsid w:val="002F17E2"/>
    <w:rsid w:val="002F18A9"/>
    <w:rsid w:val="002F1937"/>
    <w:rsid w:val="002F1986"/>
    <w:rsid w:val="002F1A4A"/>
    <w:rsid w:val="002F1BCC"/>
    <w:rsid w:val="002F1C7A"/>
    <w:rsid w:val="002F1CE2"/>
    <w:rsid w:val="002F1CEE"/>
    <w:rsid w:val="002F1D89"/>
    <w:rsid w:val="002F1EC4"/>
    <w:rsid w:val="002F1EDC"/>
    <w:rsid w:val="002F1F1F"/>
    <w:rsid w:val="002F1FEA"/>
    <w:rsid w:val="002F21BB"/>
    <w:rsid w:val="002F2251"/>
    <w:rsid w:val="002F232F"/>
    <w:rsid w:val="002F241E"/>
    <w:rsid w:val="002F2603"/>
    <w:rsid w:val="002F2643"/>
    <w:rsid w:val="002F2BDB"/>
    <w:rsid w:val="002F2C39"/>
    <w:rsid w:val="002F2E99"/>
    <w:rsid w:val="002F2EF4"/>
    <w:rsid w:val="002F2F33"/>
    <w:rsid w:val="002F2FA0"/>
    <w:rsid w:val="002F3254"/>
    <w:rsid w:val="002F3273"/>
    <w:rsid w:val="002F33DF"/>
    <w:rsid w:val="002F3597"/>
    <w:rsid w:val="002F387C"/>
    <w:rsid w:val="002F388D"/>
    <w:rsid w:val="002F3981"/>
    <w:rsid w:val="002F39E6"/>
    <w:rsid w:val="002F39ED"/>
    <w:rsid w:val="002F3A9A"/>
    <w:rsid w:val="002F3CDE"/>
    <w:rsid w:val="002F3D44"/>
    <w:rsid w:val="002F42A3"/>
    <w:rsid w:val="002F4365"/>
    <w:rsid w:val="002F45C2"/>
    <w:rsid w:val="002F4635"/>
    <w:rsid w:val="002F46D9"/>
    <w:rsid w:val="002F46FD"/>
    <w:rsid w:val="002F4786"/>
    <w:rsid w:val="002F493E"/>
    <w:rsid w:val="002F49BE"/>
    <w:rsid w:val="002F4A82"/>
    <w:rsid w:val="002F4AAA"/>
    <w:rsid w:val="002F4B7F"/>
    <w:rsid w:val="002F4C15"/>
    <w:rsid w:val="002F4D6E"/>
    <w:rsid w:val="002F4E88"/>
    <w:rsid w:val="002F518A"/>
    <w:rsid w:val="002F5287"/>
    <w:rsid w:val="002F55CD"/>
    <w:rsid w:val="002F57AA"/>
    <w:rsid w:val="002F5858"/>
    <w:rsid w:val="002F58D6"/>
    <w:rsid w:val="002F591B"/>
    <w:rsid w:val="002F5A86"/>
    <w:rsid w:val="002F5B03"/>
    <w:rsid w:val="002F5B93"/>
    <w:rsid w:val="002F5BB3"/>
    <w:rsid w:val="002F5BD7"/>
    <w:rsid w:val="002F5BF2"/>
    <w:rsid w:val="002F5D3C"/>
    <w:rsid w:val="002F5D55"/>
    <w:rsid w:val="002F5DE0"/>
    <w:rsid w:val="002F5DFB"/>
    <w:rsid w:val="002F5F0F"/>
    <w:rsid w:val="002F5FF2"/>
    <w:rsid w:val="002F601F"/>
    <w:rsid w:val="002F623F"/>
    <w:rsid w:val="002F6339"/>
    <w:rsid w:val="002F63C6"/>
    <w:rsid w:val="002F63ED"/>
    <w:rsid w:val="002F6427"/>
    <w:rsid w:val="002F658A"/>
    <w:rsid w:val="002F6592"/>
    <w:rsid w:val="002F6A1C"/>
    <w:rsid w:val="002F6A2E"/>
    <w:rsid w:val="002F6A6E"/>
    <w:rsid w:val="002F6B30"/>
    <w:rsid w:val="002F6C79"/>
    <w:rsid w:val="002F6C98"/>
    <w:rsid w:val="002F6DD7"/>
    <w:rsid w:val="002F6E80"/>
    <w:rsid w:val="002F71BD"/>
    <w:rsid w:val="002F72AA"/>
    <w:rsid w:val="002F73B6"/>
    <w:rsid w:val="002F73C1"/>
    <w:rsid w:val="002F73E5"/>
    <w:rsid w:val="002F7416"/>
    <w:rsid w:val="002F7500"/>
    <w:rsid w:val="002F76EB"/>
    <w:rsid w:val="002F7874"/>
    <w:rsid w:val="002F78C5"/>
    <w:rsid w:val="002F7AC5"/>
    <w:rsid w:val="002F7AC6"/>
    <w:rsid w:val="002F7AD8"/>
    <w:rsid w:val="002F7B00"/>
    <w:rsid w:val="002F7B0B"/>
    <w:rsid w:val="002F7C7A"/>
    <w:rsid w:val="002F7CA2"/>
    <w:rsid w:val="002F7D1E"/>
    <w:rsid w:val="002F7D82"/>
    <w:rsid w:val="002F7DBE"/>
    <w:rsid w:val="002F7F5B"/>
    <w:rsid w:val="002F7FB0"/>
    <w:rsid w:val="003000DB"/>
    <w:rsid w:val="00300194"/>
    <w:rsid w:val="00300197"/>
    <w:rsid w:val="00300211"/>
    <w:rsid w:val="00300268"/>
    <w:rsid w:val="00300272"/>
    <w:rsid w:val="0030038B"/>
    <w:rsid w:val="00300776"/>
    <w:rsid w:val="0030078D"/>
    <w:rsid w:val="003008B6"/>
    <w:rsid w:val="003009F4"/>
    <w:rsid w:val="00300A11"/>
    <w:rsid w:val="00300B76"/>
    <w:rsid w:val="00300D2F"/>
    <w:rsid w:val="00300D77"/>
    <w:rsid w:val="00301037"/>
    <w:rsid w:val="0030103B"/>
    <w:rsid w:val="0030111A"/>
    <w:rsid w:val="00301141"/>
    <w:rsid w:val="00301252"/>
    <w:rsid w:val="003012CD"/>
    <w:rsid w:val="00301301"/>
    <w:rsid w:val="00301314"/>
    <w:rsid w:val="0030141A"/>
    <w:rsid w:val="003016DA"/>
    <w:rsid w:val="003017E7"/>
    <w:rsid w:val="003018C1"/>
    <w:rsid w:val="003018C8"/>
    <w:rsid w:val="003018CC"/>
    <w:rsid w:val="00301964"/>
    <w:rsid w:val="00301978"/>
    <w:rsid w:val="00301A1D"/>
    <w:rsid w:val="00301BB1"/>
    <w:rsid w:val="00301C12"/>
    <w:rsid w:val="00301C57"/>
    <w:rsid w:val="00301CC7"/>
    <w:rsid w:val="00301D1E"/>
    <w:rsid w:val="00301DD9"/>
    <w:rsid w:val="00301DDA"/>
    <w:rsid w:val="00301F65"/>
    <w:rsid w:val="00302224"/>
    <w:rsid w:val="003023FD"/>
    <w:rsid w:val="003025AF"/>
    <w:rsid w:val="00302CC0"/>
    <w:rsid w:val="00302DDE"/>
    <w:rsid w:val="00302EBA"/>
    <w:rsid w:val="00303122"/>
    <w:rsid w:val="0030332C"/>
    <w:rsid w:val="0030336D"/>
    <w:rsid w:val="0030337D"/>
    <w:rsid w:val="003034A2"/>
    <w:rsid w:val="00303568"/>
    <w:rsid w:val="0030381C"/>
    <w:rsid w:val="00303882"/>
    <w:rsid w:val="0030398C"/>
    <w:rsid w:val="003039B6"/>
    <w:rsid w:val="00303B17"/>
    <w:rsid w:val="00303B40"/>
    <w:rsid w:val="00303C43"/>
    <w:rsid w:val="00303CBC"/>
    <w:rsid w:val="00303E8E"/>
    <w:rsid w:val="00303F2B"/>
    <w:rsid w:val="00303F98"/>
    <w:rsid w:val="00304038"/>
    <w:rsid w:val="00304287"/>
    <w:rsid w:val="0030441C"/>
    <w:rsid w:val="0030442B"/>
    <w:rsid w:val="003044BE"/>
    <w:rsid w:val="003044F1"/>
    <w:rsid w:val="00304624"/>
    <w:rsid w:val="00304890"/>
    <w:rsid w:val="00304952"/>
    <w:rsid w:val="00304985"/>
    <w:rsid w:val="00304A3C"/>
    <w:rsid w:val="00304CF4"/>
    <w:rsid w:val="00304E46"/>
    <w:rsid w:val="00304EC7"/>
    <w:rsid w:val="00304FD2"/>
    <w:rsid w:val="003050B0"/>
    <w:rsid w:val="00305101"/>
    <w:rsid w:val="00305104"/>
    <w:rsid w:val="003051C2"/>
    <w:rsid w:val="003051CA"/>
    <w:rsid w:val="00305200"/>
    <w:rsid w:val="003052C9"/>
    <w:rsid w:val="00305348"/>
    <w:rsid w:val="0030545B"/>
    <w:rsid w:val="0030548A"/>
    <w:rsid w:val="00305509"/>
    <w:rsid w:val="003055F4"/>
    <w:rsid w:val="00305665"/>
    <w:rsid w:val="0030571F"/>
    <w:rsid w:val="0030597D"/>
    <w:rsid w:val="00305A98"/>
    <w:rsid w:val="00305FC4"/>
    <w:rsid w:val="00306070"/>
    <w:rsid w:val="003060B2"/>
    <w:rsid w:val="003060B6"/>
    <w:rsid w:val="003061B6"/>
    <w:rsid w:val="0030629C"/>
    <w:rsid w:val="0030648A"/>
    <w:rsid w:val="00306601"/>
    <w:rsid w:val="0030661F"/>
    <w:rsid w:val="00306766"/>
    <w:rsid w:val="00306885"/>
    <w:rsid w:val="00306895"/>
    <w:rsid w:val="00306A95"/>
    <w:rsid w:val="00306BCA"/>
    <w:rsid w:val="00306D5C"/>
    <w:rsid w:val="00306F3B"/>
    <w:rsid w:val="00306F58"/>
    <w:rsid w:val="00307084"/>
    <w:rsid w:val="003070FF"/>
    <w:rsid w:val="00307283"/>
    <w:rsid w:val="003072B0"/>
    <w:rsid w:val="00307402"/>
    <w:rsid w:val="00307453"/>
    <w:rsid w:val="0030745B"/>
    <w:rsid w:val="003076DD"/>
    <w:rsid w:val="0030788F"/>
    <w:rsid w:val="00307AF6"/>
    <w:rsid w:val="00307C2A"/>
    <w:rsid w:val="0031001A"/>
    <w:rsid w:val="00310166"/>
    <w:rsid w:val="003101C3"/>
    <w:rsid w:val="00310329"/>
    <w:rsid w:val="00310344"/>
    <w:rsid w:val="0031053A"/>
    <w:rsid w:val="00310542"/>
    <w:rsid w:val="003106B0"/>
    <w:rsid w:val="003108E7"/>
    <w:rsid w:val="003109D5"/>
    <w:rsid w:val="00310D1C"/>
    <w:rsid w:val="00310E64"/>
    <w:rsid w:val="0031110E"/>
    <w:rsid w:val="0031116B"/>
    <w:rsid w:val="003111FD"/>
    <w:rsid w:val="003112ED"/>
    <w:rsid w:val="0031135E"/>
    <w:rsid w:val="00311446"/>
    <w:rsid w:val="00311530"/>
    <w:rsid w:val="00311851"/>
    <w:rsid w:val="003119BA"/>
    <w:rsid w:val="00311A1C"/>
    <w:rsid w:val="00311ADC"/>
    <w:rsid w:val="00311AF3"/>
    <w:rsid w:val="00311BF2"/>
    <w:rsid w:val="00311CD8"/>
    <w:rsid w:val="00311D5E"/>
    <w:rsid w:val="0031212C"/>
    <w:rsid w:val="00312296"/>
    <w:rsid w:val="0031234D"/>
    <w:rsid w:val="003123D2"/>
    <w:rsid w:val="0031245E"/>
    <w:rsid w:val="00312546"/>
    <w:rsid w:val="00312630"/>
    <w:rsid w:val="00312719"/>
    <w:rsid w:val="0031271A"/>
    <w:rsid w:val="003128BA"/>
    <w:rsid w:val="00312941"/>
    <w:rsid w:val="00312B5E"/>
    <w:rsid w:val="00312B69"/>
    <w:rsid w:val="00312C48"/>
    <w:rsid w:val="00312CAF"/>
    <w:rsid w:val="00312D60"/>
    <w:rsid w:val="00312D67"/>
    <w:rsid w:val="00312E35"/>
    <w:rsid w:val="00312FAC"/>
    <w:rsid w:val="00313216"/>
    <w:rsid w:val="00313589"/>
    <w:rsid w:val="003135F4"/>
    <w:rsid w:val="00313767"/>
    <w:rsid w:val="003137BB"/>
    <w:rsid w:val="00313ADC"/>
    <w:rsid w:val="00313B12"/>
    <w:rsid w:val="00313B18"/>
    <w:rsid w:val="00313C04"/>
    <w:rsid w:val="00313CCA"/>
    <w:rsid w:val="00313F19"/>
    <w:rsid w:val="00313F26"/>
    <w:rsid w:val="0031410D"/>
    <w:rsid w:val="00314275"/>
    <w:rsid w:val="003142B9"/>
    <w:rsid w:val="00314482"/>
    <w:rsid w:val="00314569"/>
    <w:rsid w:val="003145ED"/>
    <w:rsid w:val="0031463C"/>
    <w:rsid w:val="00314720"/>
    <w:rsid w:val="0031473F"/>
    <w:rsid w:val="003147BD"/>
    <w:rsid w:val="00314964"/>
    <w:rsid w:val="003149B9"/>
    <w:rsid w:val="003149CD"/>
    <w:rsid w:val="00314A06"/>
    <w:rsid w:val="00314A92"/>
    <w:rsid w:val="00314B9B"/>
    <w:rsid w:val="00314CA8"/>
    <w:rsid w:val="00314CC1"/>
    <w:rsid w:val="00314D20"/>
    <w:rsid w:val="00314F0E"/>
    <w:rsid w:val="0031501C"/>
    <w:rsid w:val="0031501F"/>
    <w:rsid w:val="0031531A"/>
    <w:rsid w:val="0031536A"/>
    <w:rsid w:val="003153EF"/>
    <w:rsid w:val="003155B3"/>
    <w:rsid w:val="00315622"/>
    <w:rsid w:val="0031563C"/>
    <w:rsid w:val="00315A6F"/>
    <w:rsid w:val="00315AEA"/>
    <w:rsid w:val="00315C1D"/>
    <w:rsid w:val="00315F0F"/>
    <w:rsid w:val="003162BB"/>
    <w:rsid w:val="003162C4"/>
    <w:rsid w:val="003162E6"/>
    <w:rsid w:val="0031630D"/>
    <w:rsid w:val="00316356"/>
    <w:rsid w:val="003163A4"/>
    <w:rsid w:val="00316405"/>
    <w:rsid w:val="003167BD"/>
    <w:rsid w:val="0031680C"/>
    <w:rsid w:val="0031685D"/>
    <w:rsid w:val="003168F3"/>
    <w:rsid w:val="00316996"/>
    <w:rsid w:val="00316A74"/>
    <w:rsid w:val="00316AC5"/>
    <w:rsid w:val="00316AE4"/>
    <w:rsid w:val="00316B32"/>
    <w:rsid w:val="00316C7D"/>
    <w:rsid w:val="00316D48"/>
    <w:rsid w:val="00317078"/>
    <w:rsid w:val="003170C4"/>
    <w:rsid w:val="0031727D"/>
    <w:rsid w:val="003174E6"/>
    <w:rsid w:val="0031759E"/>
    <w:rsid w:val="003175CA"/>
    <w:rsid w:val="003176AD"/>
    <w:rsid w:val="00317717"/>
    <w:rsid w:val="00317750"/>
    <w:rsid w:val="003178E0"/>
    <w:rsid w:val="00317B66"/>
    <w:rsid w:val="00317CB5"/>
    <w:rsid w:val="00317CF3"/>
    <w:rsid w:val="00317DA8"/>
    <w:rsid w:val="00317FBA"/>
    <w:rsid w:val="003200C9"/>
    <w:rsid w:val="00320155"/>
    <w:rsid w:val="003203CC"/>
    <w:rsid w:val="0032055A"/>
    <w:rsid w:val="00320584"/>
    <w:rsid w:val="003206E5"/>
    <w:rsid w:val="0032070A"/>
    <w:rsid w:val="0032072F"/>
    <w:rsid w:val="0032077C"/>
    <w:rsid w:val="00320867"/>
    <w:rsid w:val="00320962"/>
    <w:rsid w:val="00320A7E"/>
    <w:rsid w:val="00320AEF"/>
    <w:rsid w:val="00320BCA"/>
    <w:rsid w:val="00320FB0"/>
    <w:rsid w:val="003210F0"/>
    <w:rsid w:val="0032116E"/>
    <w:rsid w:val="003211BE"/>
    <w:rsid w:val="003212AE"/>
    <w:rsid w:val="003213D6"/>
    <w:rsid w:val="003214A4"/>
    <w:rsid w:val="00321573"/>
    <w:rsid w:val="00321746"/>
    <w:rsid w:val="003218B5"/>
    <w:rsid w:val="003219EE"/>
    <w:rsid w:val="00321AEE"/>
    <w:rsid w:val="00321B41"/>
    <w:rsid w:val="00321D8E"/>
    <w:rsid w:val="00321EF8"/>
    <w:rsid w:val="00321F3E"/>
    <w:rsid w:val="00322000"/>
    <w:rsid w:val="0032205A"/>
    <w:rsid w:val="003220D1"/>
    <w:rsid w:val="003221D1"/>
    <w:rsid w:val="003221E6"/>
    <w:rsid w:val="003225F1"/>
    <w:rsid w:val="0032266E"/>
    <w:rsid w:val="00322779"/>
    <w:rsid w:val="003227C3"/>
    <w:rsid w:val="003227E6"/>
    <w:rsid w:val="0032283C"/>
    <w:rsid w:val="003229DB"/>
    <w:rsid w:val="00322A63"/>
    <w:rsid w:val="00322BC4"/>
    <w:rsid w:val="00322C0B"/>
    <w:rsid w:val="00322C4C"/>
    <w:rsid w:val="00322D34"/>
    <w:rsid w:val="00322D3A"/>
    <w:rsid w:val="00322E18"/>
    <w:rsid w:val="0032308F"/>
    <w:rsid w:val="00323190"/>
    <w:rsid w:val="00323475"/>
    <w:rsid w:val="003234F1"/>
    <w:rsid w:val="003235AA"/>
    <w:rsid w:val="00323625"/>
    <w:rsid w:val="00323740"/>
    <w:rsid w:val="00323798"/>
    <w:rsid w:val="00323818"/>
    <w:rsid w:val="00323A51"/>
    <w:rsid w:val="00323AE6"/>
    <w:rsid w:val="00323B3E"/>
    <w:rsid w:val="00323CAF"/>
    <w:rsid w:val="00323FC8"/>
    <w:rsid w:val="00324094"/>
    <w:rsid w:val="00324164"/>
    <w:rsid w:val="00324187"/>
    <w:rsid w:val="003241C7"/>
    <w:rsid w:val="003242A5"/>
    <w:rsid w:val="003242BF"/>
    <w:rsid w:val="003242D9"/>
    <w:rsid w:val="00324330"/>
    <w:rsid w:val="00324359"/>
    <w:rsid w:val="00324390"/>
    <w:rsid w:val="003244D1"/>
    <w:rsid w:val="003245A8"/>
    <w:rsid w:val="0032460C"/>
    <w:rsid w:val="003246DA"/>
    <w:rsid w:val="003246F5"/>
    <w:rsid w:val="00324790"/>
    <w:rsid w:val="003247E7"/>
    <w:rsid w:val="00324A0D"/>
    <w:rsid w:val="00324A48"/>
    <w:rsid w:val="00324A76"/>
    <w:rsid w:val="00324D29"/>
    <w:rsid w:val="00324D2E"/>
    <w:rsid w:val="00324DBA"/>
    <w:rsid w:val="00324E95"/>
    <w:rsid w:val="00324F28"/>
    <w:rsid w:val="003250D4"/>
    <w:rsid w:val="00325163"/>
    <w:rsid w:val="0032521B"/>
    <w:rsid w:val="003253BF"/>
    <w:rsid w:val="00325413"/>
    <w:rsid w:val="003254F2"/>
    <w:rsid w:val="0032555D"/>
    <w:rsid w:val="00325799"/>
    <w:rsid w:val="00325928"/>
    <w:rsid w:val="00325955"/>
    <w:rsid w:val="00325A30"/>
    <w:rsid w:val="00325A73"/>
    <w:rsid w:val="00325A87"/>
    <w:rsid w:val="00325D0D"/>
    <w:rsid w:val="00325DD9"/>
    <w:rsid w:val="00326005"/>
    <w:rsid w:val="00326017"/>
    <w:rsid w:val="003260F6"/>
    <w:rsid w:val="003262D4"/>
    <w:rsid w:val="00326576"/>
    <w:rsid w:val="0032685D"/>
    <w:rsid w:val="00326963"/>
    <w:rsid w:val="00326B04"/>
    <w:rsid w:val="00326B26"/>
    <w:rsid w:val="00326B5B"/>
    <w:rsid w:val="00326B6B"/>
    <w:rsid w:val="00326BD5"/>
    <w:rsid w:val="00326C0F"/>
    <w:rsid w:val="00326D2B"/>
    <w:rsid w:val="00326DF4"/>
    <w:rsid w:val="00326E47"/>
    <w:rsid w:val="00326F30"/>
    <w:rsid w:val="00326FFE"/>
    <w:rsid w:val="0032748E"/>
    <w:rsid w:val="003274C1"/>
    <w:rsid w:val="0032759D"/>
    <w:rsid w:val="0032765C"/>
    <w:rsid w:val="003278C7"/>
    <w:rsid w:val="00327923"/>
    <w:rsid w:val="003279E5"/>
    <w:rsid w:val="00327EF4"/>
    <w:rsid w:val="003300A6"/>
    <w:rsid w:val="003300CC"/>
    <w:rsid w:val="00330271"/>
    <w:rsid w:val="00330814"/>
    <w:rsid w:val="003308AE"/>
    <w:rsid w:val="00330926"/>
    <w:rsid w:val="003309D0"/>
    <w:rsid w:val="00330E13"/>
    <w:rsid w:val="00330F4A"/>
    <w:rsid w:val="00331086"/>
    <w:rsid w:val="0033114A"/>
    <w:rsid w:val="0033126F"/>
    <w:rsid w:val="0033136A"/>
    <w:rsid w:val="003313B8"/>
    <w:rsid w:val="00331416"/>
    <w:rsid w:val="00331497"/>
    <w:rsid w:val="003314A5"/>
    <w:rsid w:val="0033171F"/>
    <w:rsid w:val="00331799"/>
    <w:rsid w:val="00331953"/>
    <w:rsid w:val="00331EDA"/>
    <w:rsid w:val="00331FBA"/>
    <w:rsid w:val="00331FF0"/>
    <w:rsid w:val="003320DF"/>
    <w:rsid w:val="00332162"/>
    <w:rsid w:val="003322DE"/>
    <w:rsid w:val="00332385"/>
    <w:rsid w:val="003324CB"/>
    <w:rsid w:val="0033250E"/>
    <w:rsid w:val="00332515"/>
    <w:rsid w:val="00332721"/>
    <w:rsid w:val="0033281A"/>
    <w:rsid w:val="00332863"/>
    <w:rsid w:val="003329CA"/>
    <w:rsid w:val="00332B06"/>
    <w:rsid w:val="00332B36"/>
    <w:rsid w:val="00332B3D"/>
    <w:rsid w:val="00332CE1"/>
    <w:rsid w:val="00332E0C"/>
    <w:rsid w:val="00332F5A"/>
    <w:rsid w:val="00333058"/>
    <w:rsid w:val="00333634"/>
    <w:rsid w:val="00333662"/>
    <w:rsid w:val="00333758"/>
    <w:rsid w:val="00333873"/>
    <w:rsid w:val="003338A4"/>
    <w:rsid w:val="003339FC"/>
    <w:rsid w:val="00333A07"/>
    <w:rsid w:val="00333B31"/>
    <w:rsid w:val="00333B79"/>
    <w:rsid w:val="00333C13"/>
    <w:rsid w:val="00333E72"/>
    <w:rsid w:val="00333F8D"/>
    <w:rsid w:val="00333FF0"/>
    <w:rsid w:val="0033409B"/>
    <w:rsid w:val="003340B4"/>
    <w:rsid w:val="0033411D"/>
    <w:rsid w:val="00334173"/>
    <w:rsid w:val="0033428C"/>
    <w:rsid w:val="00334394"/>
    <w:rsid w:val="003343DE"/>
    <w:rsid w:val="00334699"/>
    <w:rsid w:val="003346E5"/>
    <w:rsid w:val="003346E9"/>
    <w:rsid w:val="003349CB"/>
    <w:rsid w:val="003349FE"/>
    <w:rsid w:val="00334A50"/>
    <w:rsid w:val="00334A72"/>
    <w:rsid w:val="00334B19"/>
    <w:rsid w:val="00334BD8"/>
    <w:rsid w:val="00334C2A"/>
    <w:rsid w:val="00334C67"/>
    <w:rsid w:val="00334E41"/>
    <w:rsid w:val="00334E5E"/>
    <w:rsid w:val="00334F07"/>
    <w:rsid w:val="00334F87"/>
    <w:rsid w:val="0033500A"/>
    <w:rsid w:val="003351DA"/>
    <w:rsid w:val="00335236"/>
    <w:rsid w:val="00335324"/>
    <w:rsid w:val="003353C6"/>
    <w:rsid w:val="003354C9"/>
    <w:rsid w:val="00335582"/>
    <w:rsid w:val="003355DF"/>
    <w:rsid w:val="003355E7"/>
    <w:rsid w:val="0033582E"/>
    <w:rsid w:val="00335911"/>
    <w:rsid w:val="00335960"/>
    <w:rsid w:val="00335A16"/>
    <w:rsid w:val="00335B93"/>
    <w:rsid w:val="00335EB0"/>
    <w:rsid w:val="003360DC"/>
    <w:rsid w:val="00336142"/>
    <w:rsid w:val="00336155"/>
    <w:rsid w:val="00336327"/>
    <w:rsid w:val="0033635E"/>
    <w:rsid w:val="003363F6"/>
    <w:rsid w:val="00336478"/>
    <w:rsid w:val="00336481"/>
    <w:rsid w:val="00336801"/>
    <w:rsid w:val="00336842"/>
    <w:rsid w:val="0033684D"/>
    <w:rsid w:val="003368D2"/>
    <w:rsid w:val="00336A17"/>
    <w:rsid w:val="00336A20"/>
    <w:rsid w:val="00336B7B"/>
    <w:rsid w:val="00336C0F"/>
    <w:rsid w:val="00336C2A"/>
    <w:rsid w:val="00336FA7"/>
    <w:rsid w:val="00336FD1"/>
    <w:rsid w:val="003374A1"/>
    <w:rsid w:val="0033757D"/>
    <w:rsid w:val="003377F7"/>
    <w:rsid w:val="00337810"/>
    <w:rsid w:val="00337B42"/>
    <w:rsid w:val="00337D9B"/>
    <w:rsid w:val="0034020F"/>
    <w:rsid w:val="0034021C"/>
    <w:rsid w:val="00340259"/>
    <w:rsid w:val="003402B4"/>
    <w:rsid w:val="00340590"/>
    <w:rsid w:val="00340643"/>
    <w:rsid w:val="003406B2"/>
    <w:rsid w:val="003406FB"/>
    <w:rsid w:val="00340851"/>
    <w:rsid w:val="00340862"/>
    <w:rsid w:val="0034091F"/>
    <w:rsid w:val="003409AA"/>
    <w:rsid w:val="00340C06"/>
    <w:rsid w:val="00340CAE"/>
    <w:rsid w:val="00340DA7"/>
    <w:rsid w:val="00340E3B"/>
    <w:rsid w:val="00340F47"/>
    <w:rsid w:val="00340F69"/>
    <w:rsid w:val="00340FE7"/>
    <w:rsid w:val="003410F7"/>
    <w:rsid w:val="00341170"/>
    <w:rsid w:val="0034145E"/>
    <w:rsid w:val="00341818"/>
    <w:rsid w:val="0034198A"/>
    <w:rsid w:val="00341B26"/>
    <w:rsid w:val="00341B42"/>
    <w:rsid w:val="00341BB3"/>
    <w:rsid w:val="00341C75"/>
    <w:rsid w:val="00341D57"/>
    <w:rsid w:val="00341D7B"/>
    <w:rsid w:val="00341F3A"/>
    <w:rsid w:val="0034208A"/>
    <w:rsid w:val="003421AB"/>
    <w:rsid w:val="00342292"/>
    <w:rsid w:val="003422BC"/>
    <w:rsid w:val="003424BB"/>
    <w:rsid w:val="003424F2"/>
    <w:rsid w:val="003425BF"/>
    <w:rsid w:val="00342724"/>
    <w:rsid w:val="003427BC"/>
    <w:rsid w:val="00342847"/>
    <w:rsid w:val="00342BF0"/>
    <w:rsid w:val="00342D41"/>
    <w:rsid w:val="00342DE1"/>
    <w:rsid w:val="00342E6E"/>
    <w:rsid w:val="00342EE2"/>
    <w:rsid w:val="00342F66"/>
    <w:rsid w:val="003430E3"/>
    <w:rsid w:val="003430F8"/>
    <w:rsid w:val="003430FB"/>
    <w:rsid w:val="00343200"/>
    <w:rsid w:val="0034321F"/>
    <w:rsid w:val="00343395"/>
    <w:rsid w:val="0034348F"/>
    <w:rsid w:val="0034362E"/>
    <w:rsid w:val="00343691"/>
    <w:rsid w:val="003436FB"/>
    <w:rsid w:val="00343742"/>
    <w:rsid w:val="0034381F"/>
    <w:rsid w:val="003438F5"/>
    <w:rsid w:val="0034390A"/>
    <w:rsid w:val="0034390E"/>
    <w:rsid w:val="003439E9"/>
    <w:rsid w:val="00343DA6"/>
    <w:rsid w:val="00343E14"/>
    <w:rsid w:val="00343EA6"/>
    <w:rsid w:val="00343FC4"/>
    <w:rsid w:val="0034411A"/>
    <w:rsid w:val="00344192"/>
    <w:rsid w:val="00344275"/>
    <w:rsid w:val="003443AB"/>
    <w:rsid w:val="00344484"/>
    <w:rsid w:val="003444FF"/>
    <w:rsid w:val="003445D8"/>
    <w:rsid w:val="0034466B"/>
    <w:rsid w:val="00344767"/>
    <w:rsid w:val="00344877"/>
    <w:rsid w:val="003448E7"/>
    <w:rsid w:val="0034494F"/>
    <w:rsid w:val="003449BF"/>
    <w:rsid w:val="00344A9A"/>
    <w:rsid w:val="00344BAD"/>
    <w:rsid w:val="00344F34"/>
    <w:rsid w:val="00344F84"/>
    <w:rsid w:val="00344FE8"/>
    <w:rsid w:val="00344FF9"/>
    <w:rsid w:val="003451AF"/>
    <w:rsid w:val="003451FD"/>
    <w:rsid w:val="0034535B"/>
    <w:rsid w:val="003453C2"/>
    <w:rsid w:val="00345485"/>
    <w:rsid w:val="003454F6"/>
    <w:rsid w:val="003455FC"/>
    <w:rsid w:val="003456E0"/>
    <w:rsid w:val="00345AC2"/>
    <w:rsid w:val="00345BEB"/>
    <w:rsid w:val="00345C5F"/>
    <w:rsid w:val="00345C64"/>
    <w:rsid w:val="00345C6A"/>
    <w:rsid w:val="00345CC1"/>
    <w:rsid w:val="00345EFE"/>
    <w:rsid w:val="00345F7B"/>
    <w:rsid w:val="00345FF6"/>
    <w:rsid w:val="00346026"/>
    <w:rsid w:val="00346156"/>
    <w:rsid w:val="0034624E"/>
    <w:rsid w:val="0034649E"/>
    <w:rsid w:val="00346526"/>
    <w:rsid w:val="003467DF"/>
    <w:rsid w:val="0034680D"/>
    <w:rsid w:val="00346A45"/>
    <w:rsid w:val="00346B89"/>
    <w:rsid w:val="00346BA3"/>
    <w:rsid w:val="00346BE5"/>
    <w:rsid w:val="00346F68"/>
    <w:rsid w:val="0034701C"/>
    <w:rsid w:val="003470D7"/>
    <w:rsid w:val="00347198"/>
    <w:rsid w:val="0034723E"/>
    <w:rsid w:val="003472E9"/>
    <w:rsid w:val="003473C5"/>
    <w:rsid w:val="00347523"/>
    <w:rsid w:val="003475DD"/>
    <w:rsid w:val="00347707"/>
    <w:rsid w:val="00347810"/>
    <w:rsid w:val="00347855"/>
    <w:rsid w:val="00347AFA"/>
    <w:rsid w:val="00347B5E"/>
    <w:rsid w:val="00347B78"/>
    <w:rsid w:val="00347B92"/>
    <w:rsid w:val="00347D8F"/>
    <w:rsid w:val="00347FE5"/>
    <w:rsid w:val="00350003"/>
    <w:rsid w:val="00350010"/>
    <w:rsid w:val="003501FE"/>
    <w:rsid w:val="0035022F"/>
    <w:rsid w:val="003502CB"/>
    <w:rsid w:val="003502FC"/>
    <w:rsid w:val="003503F8"/>
    <w:rsid w:val="0035042E"/>
    <w:rsid w:val="00350502"/>
    <w:rsid w:val="00350527"/>
    <w:rsid w:val="0035052D"/>
    <w:rsid w:val="0035075A"/>
    <w:rsid w:val="00350800"/>
    <w:rsid w:val="00350851"/>
    <w:rsid w:val="0035086C"/>
    <w:rsid w:val="00350879"/>
    <w:rsid w:val="00350885"/>
    <w:rsid w:val="00350A41"/>
    <w:rsid w:val="00350C34"/>
    <w:rsid w:val="00350E15"/>
    <w:rsid w:val="00350EAF"/>
    <w:rsid w:val="00350F31"/>
    <w:rsid w:val="00351013"/>
    <w:rsid w:val="003510A6"/>
    <w:rsid w:val="00351266"/>
    <w:rsid w:val="00351283"/>
    <w:rsid w:val="00351305"/>
    <w:rsid w:val="003515B9"/>
    <w:rsid w:val="0035167A"/>
    <w:rsid w:val="003516A7"/>
    <w:rsid w:val="00351735"/>
    <w:rsid w:val="00351744"/>
    <w:rsid w:val="00351D07"/>
    <w:rsid w:val="00351D8A"/>
    <w:rsid w:val="00351E74"/>
    <w:rsid w:val="00351ED4"/>
    <w:rsid w:val="0035211F"/>
    <w:rsid w:val="003521C8"/>
    <w:rsid w:val="0035223B"/>
    <w:rsid w:val="00352274"/>
    <w:rsid w:val="00352519"/>
    <w:rsid w:val="0035264F"/>
    <w:rsid w:val="00352664"/>
    <w:rsid w:val="003526A3"/>
    <w:rsid w:val="003527B7"/>
    <w:rsid w:val="00352A73"/>
    <w:rsid w:val="00352A8D"/>
    <w:rsid w:val="00352C37"/>
    <w:rsid w:val="00352CAF"/>
    <w:rsid w:val="00352D0E"/>
    <w:rsid w:val="00352D83"/>
    <w:rsid w:val="00352F4C"/>
    <w:rsid w:val="003530DD"/>
    <w:rsid w:val="0035314A"/>
    <w:rsid w:val="0035315D"/>
    <w:rsid w:val="003531F3"/>
    <w:rsid w:val="0035330D"/>
    <w:rsid w:val="003535A9"/>
    <w:rsid w:val="003535AA"/>
    <w:rsid w:val="0035361E"/>
    <w:rsid w:val="00353622"/>
    <w:rsid w:val="0035376E"/>
    <w:rsid w:val="00353783"/>
    <w:rsid w:val="00353892"/>
    <w:rsid w:val="00353D43"/>
    <w:rsid w:val="00353F22"/>
    <w:rsid w:val="00353FCF"/>
    <w:rsid w:val="0035406F"/>
    <w:rsid w:val="00354084"/>
    <w:rsid w:val="00354468"/>
    <w:rsid w:val="00354608"/>
    <w:rsid w:val="003547A6"/>
    <w:rsid w:val="003547F6"/>
    <w:rsid w:val="00354832"/>
    <w:rsid w:val="003548F3"/>
    <w:rsid w:val="00354907"/>
    <w:rsid w:val="00354ADE"/>
    <w:rsid w:val="00354F81"/>
    <w:rsid w:val="00355098"/>
    <w:rsid w:val="003551D1"/>
    <w:rsid w:val="00355507"/>
    <w:rsid w:val="003555BE"/>
    <w:rsid w:val="003556AC"/>
    <w:rsid w:val="003556EC"/>
    <w:rsid w:val="00355803"/>
    <w:rsid w:val="00355816"/>
    <w:rsid w:val="003559EF"/>
    <w:rsid w:val="00355A0C"/>
    <w:rsid w:val="00355BEE"/>
    <w:rsid w:val="00355CBC"/>
    <w:rsid w:val="00355CCD"/>
    <w:rsid w:val="00355E33"/>
    <w:rsid w:val="00355F17"/>
    <w:rsid w:val="00356027"/>
    <w:rsid w:val="0035603D"/>
    <w:rsid w:val="003560C1"/>
    <w:rsid w:val="003561EB"/>
    <w:rsid w:val="003564B6"/>
    <w:rsid w:val="00356653"/>
    <w:rsid w:val="00356712"/>
    <w:rsid w:val="0035673E"/>
    <w:rsid w:val="003567B2"/>
    <w:rsid w:val="00356922"/>
    <w:rsid w:val="0035692E"/>
    <w:rsid w:val="0035694F"/>
    <w:rsid w:val="0035699C"/>
    <w:rsid w:val="00356A99"/>
    <w:rsid w:val="00356AD8"/>
    <w:rsid w:val="00356BED"/>
    <w:rsid w:val="00356CDA"/>
    <w:rsid w:val="00356DF0"/>
    <w:rsid w:val="00356E19"/>
    <w:rsid w:val="00357206"/>
    <w:rsid w:val="00357391"/>
    <w:rsid w:val="00357421"/>
    <w:rsid w:val="0035743F"/>
    <w:rsid w:val="00357522"/>
    <w:rsid w:val="00357692"/>
    <w:rsid w:val="003576A1"/>
    <w:rsid w:val="00357A15"/>
    <w:rsid w:val="00357B42"/>
    <w:rsid w:val="00357B6E"/>
    <w:rsid w:val="00357BE2"/>
    <w:rsid w:val="00357C01"/>
    <w:rsid w:val="00357C79"/>
    <w:rsid w:val="00357CAC"/>
    <w:rsid w:val="00357D57"/>
    <w:rsid w:val="00357EC9"/>
    <w:rsid w:val="00357ED3"/>
    <w:rsid w:val="00357F3A"/>
    <w:rsid w:val="00357FEE"/>
    <w:rsid w:val="00360067"/>
    <w:rsid w:val="003600E8"/>
    <w:rsid w:val="00360316"/>
    <w:rsid w:val="0036032A"/>
    <w:rsid w:val="0036036F"/>
    <w:rsid w:val="003603D7"/>
    <w:rsid w:val="00360521"/>
    <w:rsid w:val="0036053E"/>
    <w:rsid w:val="003605BE"/>
    <w:rsid w:val="003605F6"/>
    <w:rsid w:val="00360646"/>
    <w:rsid w:val="003606E8"/>
    <w:rsid w:val="0036077C"/>
    <w:rsid w:val="00360912"/>
    <w:rsid w:val="00360953"/>
    <w:rsid w:val="00360C96"/>
    <w:rsid w:val="00360DF3"/>
    <w:rsid w:val="00360F00"/>
    <w:rsid w:val="00361075"/>
    <w:rsid w:val="003611C5"/>
    <w:rsid w:val="00361470"/>
    <w:rsid w:val="00361606"/>
    <w:rsid w:val="0036170C"/>
    <w:rsid w:val="003617B0"/>
    <w:rsid w:val="00361852"/>
    <w:rsid w:val="003618C3"/>
    <w:rsid w:val="00361972"/>
    <w:rsid w:val="00361994"/>
    <w:rsid w:val="003619CF"/>
    <w:rsid w:val="003619FB"/>
    <w:rsid w:val="00361B12"/>
    <w:rsid w:val="00361B48"/>
    <w:rsid w:val="00361BC7"/>
    <w:rsid w:val="00361BD9"/>
    <w:rsid w:val="00361C16"/>
    <w:rsid w:val="00361C27"/>
    <w:rsid w:val="00361CD1"/>
    <w:rsid w:val="00361DF2"/>
    <w:rsid w:val="00361E72"/>
    <w:rsid w:val="00361F38"/>
    <w:rsid w:val="00362321"/>
    <w:rsid w:val="00362353"/>
    <w:rsid w:val="00362401"/>
    <w:rsid w:val="003625F7"/>
    <w:rsid w:val="00362723"/>
    <w:rsid w:val="003628F5"/>
    <w:rsid w:val="00362BD2"/>
    <w:rsid w:val="00362D9E"/>
    <w:rsid w:val="00362F0A"/>
    <w:rsid w:val="0036358C"/>
    <w:rsid w:val="003635CC"/>
    <w:rsid w:val="0036366C"/>
    <w:rsid w:val="0036376F"/>
    <w:rsid w:val="003638C2"/>
    <w:rsid w:val="00363ABF"/>
    <w:rsid w:val="00363BC5"/>
    <w:rsid w:val="00363C01"/>
    <w:rsid w:val="00363C2F"/>
    <w:rsid w:val="00363D2B"/>
    <w:rsid w:val="00363D7B"/>
    <w:rsid w:val="00363E76"/>
    <w:rsid w:val="00363F7A"/>
    <w:rsid w:val="00363F9A"/>
    <w:rsid w:val="003640C0"/>
    <w:rsid w:val="0036412B"/>
    <w:rsid w:val="00364522"/>
    <w:rsid w:val="0036452E"/>
    <w:rsid w:val="00364533"/>
    <w:rsid w:val="00364748"/>
    <w:rsid w:val="003647A9"/>
    <w:rsid w:val="0036483B"/>
    <w:rsid w:val="0036495C"/>
    <w:rsid w:val="003649E2"/>
    <w:rsid w:val="00364A87"/>
    <w:rsid w:val="00364B0D"/>
    <w:rsid w:val="00364B96"/>
    <w:rsid w:val="00364BB9"/>
    <w:rsid w:val="00364D4E"/>
    <w:rsid w:val="00364DA7"/>
    <w:rsid w:val="00364ECA"/>
    <w:rsid w:val="00365016"/>
    <w:rsid w:val="00365265"/>
    <w:rsid w:val="0036535F"/>
    <w:rsid w:val="00365360"/>
    <w:rsid w:val="003653A4"/>
    <w:rsid w:val="00365426"/>
    <w:rsid w:val="0036545A"/>
    <w:rsid w:val="0036578E"/>
    <w:rsid w:val="003657CC"/>
    <w:rsid w:val="00365987"/>
    <w:rsid w:val="00365B51"/>
    <w:rsid w:val="00365D7A"/>
    <w:rsid w:val="00365DC1"/>
    <w:rsid w:val="00366180"/>
    <w:rsid w:val="00366251"/>
    <w:rsid w:val="00366371"/>
    <w:rsid w:val="00366487"/>
    <w:rsid w:val="003664B7"/>
    <w:rsid w:val="003664E9"/>
    <w:rsid w:val="00366504"/>
    <w:rsid w:val="003665E9"/>
    <w:rsid w:val="003667D7"/>
    <w:rsid w:val="003668B1"/>
    <w:rsid w:val="00366A8C"/>
    <w:rsid w:val="00366C1F"/>
    <w:rsid w:val="00366DCB"/>
    <w:rsid w:val="00366E0F"/>
    <w:rsid w:val="00366F2B"/>
    <w:rsid w:val="00366FB3"/>
    <w:rsid w:val="0036701C"/>
    <w:rsid w:val="003670ED"/>
    <w:rsid w:val="0036729D"/>
    <w:rsid w:val="00367573"/>
    <w:rsid w:val="003678A6"/>
    <w:rsid w:val="003678A8"/>
    <w:rsid w:val="00367912"/>
    <w:rsid w:val="00367A23"/>
    <w:rsid w:val="00367BB3"/>
    <w:rsid w:val="00367BD7"/>
    <w:rsid w:val="00367C7B"/>
    <w:rsid w:val="00367DDC"/>
    <w:rsid w:val="00370065"/>
    <w:rsid w:val="003701C3"/>
    <w:rsid w:val="003701D5"/>
    <w:rsid w:val="003701F6"/>
    <w:rsid w:val="003703FE"/>
    <w:rsid w:val="00370486"/>
    <w:rsid w:val="00370629"/>
    <w:rsid w:val="0037062D"/>
    <w:rsid w:val="00370704"/>
    <w:rsid w:val="00370803"/>
    <w:rsid w:val="00370863"/>
    <w:rsid w:val="0037089C"/>
    <w:rsid w:val="003709CE"/>
    <w:rsid w:val="00370B30"/>
    <w:rsid w:val="00370C42"/>
    <w:rsid w:val="00370C4C"/>
    <w:rsid w:val="00370E51"/>
    <w:rsid w:val="00370F0B"/>
    <w:rsid w:val="00370FF0"/>
    <w:rsid w:val="003710AC"/>
    <w:rsid w:val="003713D2"/>
    <w:rsid w:val="00371552"/>
    <w:rsid w:val="0037156F"/>
    <w:rsid w:val="00371747"/>
    <w:rsid w:val="003719DA"/>
    <w:rsid w:val="00371A93"/>
    <w:rsid w:val="00371CC9"/>
    <w:rsid w:val="00371D9E"/>
    <w:rsid w:val="00371EBA"/>
    <w:rsid w:val="00371F6F"/>
    <w:rsid w:val="00372112"/>
    <w:rsid w:val="00372224"/>
    <w:rsid w:val="003722E5"/>
    <w:rsid w:val="003725A3"/>
    <w:rsid w:val="00372635"/>
    <w:rsid w:val="003726B1"/>
    <w:rsid w:val="00372759"/>
    <w:rsid w:val="003728B4"/>
    <w:rsid w:val="00372972"/>
    <w:rsid w:val="003729C1"/>
    <w:rsid w:val="003729E8"/>
    <w:rsid w:val="00372AA3"/>
    <w:rsid w:val="00372AE2"/>
    <w:rsid w:val="00372B84"/>
    <w:rsid w:val="00372C7D"/>
    <w:rsid w:val="00372CC4"/>
    <w:rsid w:val="00372D48"/>
    <w:rsid w:val="00372D9A"/>
    <w:rsid w:val="00372EC8"/>
    <w:rsid w:val="00372ECA"/>
    <w:rsid w:val="00372FBD"/>
    <w:rsid w:val="0037303E"/>
    <w:rsid w:val="00373054"/>
    <w:rsid w:val="00373117"/>
    <w:rsid w:val="0037312B"/>
    <w:rsid w:val="0037327F"/>
    <w:rsid w:val="003732BC"/>
    <w:rsid w:val="00373357"/>
    <w:rsid w:val="00373807"/>
    <w:rsid w:val="003738E8"/>
    <w:rsid w:val="00373A74"/>
    <w:rsid w:val="00373B50"/>
    <w:rsid w:val="00373B71"/>
    <w:rsid w:val="00373B88"/>
    <w:rsid w:val="00373C12"/>
    <w:rsid w:val="00373C53"/>
    <w:rsid w:val="00373CD3"/>
    <w:rsid w:val="00373E19"/>
    <w:rsid w:val="00373E70"/>
    <w:rsid w:val="00373F80"/>
    <w:rsid w:val="0037429C"/>
    <w:rsid w:val="003745F9"/>
    <w:rsid w:val="003746FA"/>
    <w:rsid w:val="00374B1F"/>
    <w:rsid w:val="00374B29"/>
    <w:rsid w:val="00374B8A"/>
    <w:rsid w:val="00374C45"/>
    <w:rsid w:val="00374CF4"/>
    <w:rsid w:val="00374D62"/>
    <w:rsid w:val="00374F4D"/>
    <w:rsid w:val="00374F99"/>
    <w:rsid w:val="0037505B"/>
    <w:rsid w:val="003750B5"/>
    <w:rsid w:val="003750EE"/>
    <w:rsid w:val="0037530C"/>
    <w:rsid w:val="003753B8"/>
    <w:rsid w:val="00375424"/>
    <w:rsid w:val="0037596B"/>
    <w:rsid w:val="00375A84"/>
    <w:rsid w:val="00375A8B"/>
    <w:rsid w:val="00375AA0"/>
    <w:rsid w:val="00375AD6"/>
    <w:rsid w:val="00375BE4"/>
    <w:rsid w:val="00375CB2"/>
    <w:rsid w:val="00375CCE"/>
    <w:rsid w:val="00375EE0"/>
    <w:rsid w:val="00376024"/>
    <w:rsid w:val="00376085"/>
    <w:rsid w:val="00376222"/>
    <w:rsid w:val="00376231"/>
    <w:rsid w:val="0037660F"/>
    <w:rsid w:val="00376650"/>
    <w:rsid w:val="00376772"/>
    <w:rsid w:val="003769F4"/>
    <w:rsid w:val="00376A75"/>
    <w:rsid w:val="00376BC0"/>
    <w:rsid w:val="00376C30"/>
    <w:rsid w:val="00376ED6"/>
    <w:rsid w:val="00376F92"/>
    <w:rsid w:val="00377246"/>
    <w:rsid w:val="00377590"/>
    <w:rsid w:val="003777C7"/>
    <w:rsid w:val="003777D6"/>
    <w:rsid w:val="003778DB"/>
    <w:rsid w:val="003779C2"/>
    <w:rsid w:val="00377C63"/>
    <w:rsid w:val="00377FB7"/>
    <w:rsid w:val="0038035A"/>
    <w:rsid w:val="00380425"/>
    <w:rsid w:val="0038050D"/>
    <w:rsid w:val="00380642"/>
    <w:rsid w:val="00380745"/>
    <w:rsid w:val="003807B9"/>
    <w:rsid w:val="003808B6"/>
    <w:rsid w:val="0038090C"/>
    <w:rsid w:val="00380924"/>
    <w:rsid w:val="00380A36"/>
    <w:rsid w:val="00381039"/>
    <w:rsid w:val="00381111"/>
    <w:rsid w:val="0038128E"/>
    <w:rsid w:val="003812EC"/>
    <w:rsid w:val="00381324"/>
    <w:rsid w:val="0038133B"/>
    <w:rsid w:val="003814A9"/>
    <w:rsid w:val="0038155D"/>
    <w:rsid w:val="00381566"/>
    <w:rsid w:val="00381575"/>
    <w:rsid w:val="00381705"/>
    <w:rsid w:val="00381781"/>
    <w:rsid w:val="003817B4"/>
    <w:rsid w:val="003818E7"/>
    <w:rsid w:val="003819BB"/>
    <w:rsid w:val="003819D4"/>
    <w:rsid w:val="00381A08"/>
    <w:rsid w:val="00381A4C"/>
    <w:rsid w:val="00381A72"/>
    <w:rsid w:val="00381B55"/>
    <w:rsid w:val="00381C2B"/>
    <w:rsid w:val="00381DB5"/>
    <w:rsid w:val="00381DC4"/>
    <w:rsid w:val="00381E9B"/>
    <w:rsid w:val="00381F63"/>
    <w:rsid w:val="00381F84"/>
    <w:rsid w:val="00382019"/>
    <w:rsid w:val="00382029"/>
    <w:rsid w:val="003820D7"/>
    <w:rsid w:val="003820D8"/>
    <w:rsid w:val="003820DB"/>
    <w:rsid w:val="00382100"/>
    <w:rsid w:val="0038211D"/>
    <w:rsid w:val="00382231"/>
    <w:rsid w:val="0038246F"/>
    <w:rsid w:val="00382520"/>
    <w:rsid w:val="003825A7"/>
    <w:rsid w:val="003825D1"/>
    <w:rsid w:val="0038263A"/>
    <w:rsid w:val="00382765"/>
    <w:rsid w:val="00382878"/>
    <w:rsid w:val="003829AF"/>
    <w:rsid w:val="00382B48"/>
    <w:rsid w:val="00382B6A"/>
    <w:rsid w:val="00382EEC"/>
    <w:rsid w:val="0038307E"/>
    <w:rsid w:val="003830BF"/>
    <w:rsid w:val="003830C0"/>
    <w:rsid w:val="00383211"/>
    <w:rsid w:val="003832A1"/>
    <w:rsid w:val="003832EF"/>
    <w:rsid w:val="003833FC"/>
    <w:rsid w:val="0038347A"/>
    <w:rsid w:val="00383486"/>
    <w:rsid w:val="0038366D"/>
    <w:rsid w:val="0038369A"/>
    <w:rsid w:val="0038374D"/>
    <w:rsid w:val="00383856"/>
    <w:rsid w:val="003838EF"/>
    <w:rsid w:val="00383A4B"/>
    <w:rsid w:val="00383B24"/>
    <w:rsid w:val="00383BE8"/>
    <w:rsid w:val="00383EE4"/>
    <w:rsid w:val="00384016"/>
    <w:rsid w:val="00384020"/>
    <w:rsid w:val="003840E7"/>
    <w:rsid w:val="003840FF"/>
    <w:rsid w:val="0038423B"/>
    <w:rsid w:val="0038424F"/>
    <w:rsid w:val="00384489"/>
    <w:rsid w:val="00384676"/>
    <w:rsid w:val="0038474F"/>
    <w:rsid w:val="0038483D"/>
    <w:rsid w:val="00384882"/>
    <w:rsid w:val="00384AA2"/>
    <w:rsid w:val="00384C3A"/>
    <w:rsid w:val="00384D7D"/>
    <w:rsid w:val="00384E41"/>
    <w:rsid w:val="00384EAD"/>
    <w:rsid w:val="00384F4A"/>
    <w:rsid w:val="003851F8"/>
    <w:rsid w:val="003853B3"/>
    <w:rsid w:val="00385478"/>
    <w:rsid w:val="00385488"/>
    <w:rsid w:val="0038550A"/>
    <w:rsid w:val="00385635"/>
    <w:rsid w:val="003856D7"/>
    <w:rsid w:val="00385707"/>
    <w:rsid w:val="003857C4"/>
    <w:rsid w:val="00385C42"/>
    <w:rsid w:val="00385EED"/>
    <w:rsid w:val="00386097"/>
    <w:rsid w:val="00386251"/>
    <w:rsid w:val="00386455"/>
    <w:rsid w:val="00386845"/>
    <w:rsid w:val="003868D8"/>
    <w:rsid w:val="003869A5"/>
    <w:rsid w:val="00386B00"/>
    <w:rsid w:val="00386B07"/>
    <w:rsid w:val="00386CCF"/>
    <w:rsid w:val="00386EB5"/>
    <w:rsid w:val="00386FB3"/>
    <w:rsid w:val="003870D3"/>
    <w:rsid w:val="00387144"/>
    <w:rsid w:val="003872C0"/>
    <w:rsid w:val="003874D6"/>
    <w:rsid w:val="003874FC"/>
    <w:rsid w:val="00387744"/>
    <w:rsid w:val="003877A0"/>
    <w:rsid w:val="0038787A"/>
    <w:rsid w:val="00387A69"/>
    <w:rsid w:val="00387BF2"/>
    <w:rsid w:val="00387CF8"/>
    <w:rsid w:val="00387E2D"/>
    <w:rsid w:val="00387EE6"/>
    <w:rsid w:val="00390189"/>
    <w:rsid w:val="0039021C"/>
    <w:rsid w:val="0039057B"/>
    <w:rsid w:val="003905AF"/>
    <w:rsid w:val="003906A2"/>
    <w:rsid w:val="003907B3"/>
    <w:rsid w:val="00390857"/>
    <w:rsid w:val="00390963"/>
    <w:rsid w:val="003909C9"/>
    <w:rsid w:val="00390B90"/>
    <w:rsid w:val="00390CBA"/>
    <w:rsid w:val="00390D78"/>
    <w:rsid w:val="00390D99"/>
    <w:rsid w:val="00390DA4"/>
    <w:rsid w:val="00390DF7"/>
    <w:rsid w:val="003912FA"/>
    <w:rsid w:val="003915E5"/>
    <w:rsid w:val="0039172B"/>
    <w:rsid w:val="003917BF"/>
    <w:rsid w:val="00391977"/>
    <w:rsid w:val="00391A86"/>
    <w:rsid w:val="00391A8A"/>
    <w:rsid w:val="00391B12"/>
    <w:rsid w:val="00391B52"/>
    <w:rsid w:val="00391C49"/>
    <w:rsid w:val="00391D39"/>
    <w:rsid w:val="00391D4E"/>
    <w:rsid w:val="00391EFC"/>
    <w:rsid w:val="0039217B"/>
    <w:rsid w:val="00392269"/>
    <w:rsid w:val="0039228D"/>
    <w:rsid w:val="0039255F"/>
    <w:rsid w:val="003925EE"/>
    <w:rsid w:val="003926A2"/>
    <w:rsid w:val="003926CD"/>
    <w:rsid w:val="00392758"/>
    <w:rsid w:val="00392953"/>
    <w:rsid w:val="003929B6"/>
    <w:rsid w:val="003929E3"/>
    <w:rsid w:val="00392A1C"/>
    <w:rsid w:val="00392A77"/>
    <w:rsid w:val="00392AB1"/>
    <w:rsid w:val="00392B9B"/>
    <w:rsid w:val="00392BFD"/>
    <w:rsid w:val="00392C15"/>
    <w:rsid w:val="00392C8E"/>
    <w:rsid w:val="00392DEA"/>
    <w:rsid w:val="00392DF2"/>
    <w:rsid w:val="00392F4D"/>
    <w:rsid w:val="00393022"/>
    <w:rsid w:val="003930BC"/>
    <w:rsid w:val="003930C9"/>
    <w:rsid w:val="003933AF"/>
    <w:rsid w:val="0039381A"/>
    <w:rsid w:val="00393942"/>
    <w:rsid w:val="00393FD7"/>
    <w:rsid w:val="00394030"/>
    <w:rsid w:val="00394299"/>
    <w:rsid w:val="003942B9"/>
    <w:rsid w:val="003942D0"/>
    <w:rsid w:val="00394463"/>
    <w:rsid w:val="00394480"/>
    <w:rsid w:val="003945CB"/>
    <w:rsid w:val="00394736"/>
    <w:rsid w:val="003949A2"/>
    <w:rsid w:val="00394A76"/>
    <w:rsid w:val="00394A96"/>
    <w:rsid w:val="00394AFD"/>
    <w:rsid w:val="00394B9A"/>
    <w:rsid w:val="00394CBF"/>
    <w:rsid w:val="00394D4F"/>
    <w:rsid w:val="00394E60"/>
    <w:rsid w:val="00394ED3"/>
    <w:rsid w:val="00394F14"/>
    <w:rsid w:val="00394FF4"/>
    <w:rsid w:val="0039504B"/>
    <w:rsid w:val="0039521A"/>
    <w:rsid w:val="00395236"/>
    <w:rsid w:val="00395424"/>
    <w:rsid w:val="00395513"/>
    <w:rsid w:val="0039564E"/>
    <w:rsid w:val="0039567C"/>
    <w:rsid w:val="003956B9"/>
    <w:rsid w:val="00395748"/>
    <w:rsid w:val="003957EC"/>
    <w:rsid w:val="003958FC"/>
    <w:rsid w:val="00395F09"/>
    <w:rsid w:val="0039623A"/>
    <w:rsid w:val="00396462"/>
    <w:rsid w:val="003964AF"/>
    <w:rsid w:val="00396571"/>
    <w:rsid w:val="0039659A"/>
    <w:rsid w:val="003967D4"/>
    <w:rsid w:val="0039680E"/>
    <w:rsid w:val="00397039"/>
    <w:rsid w:val="00397333"/>
    <w:rsid w:val="003974EA"/>
    <w:rsid w:val="0039758D"/>
    <w:rsid w:val="0039777E"/>
    <w:rsid w:val="003977B0"/>
    <w:rsid w:val="003977D6"/>
    <w:rsid w:val="00397929"/>
    <w:rsid w:val="00397B35"/>
    <w:rsid w:val="00397B9B"/>
    <w:rsid w:val="00397CFA"/>
    <w:rsid w:val="00397D71"/>
    <w:rsid w:val="00397D9C"/>
    <w:rsid w:val="003A0087"/>
    <w:rsid w:val="003A0200"/>
    <w:rsid w:val="003A022A"/>
    <w:rsid w:val="003A03FE"/>
    <w:rsid w:val="003A0558"/>
    <w:rsid w:val="003A07B0"/>
    <w:rsid w:val="003A07B5"/>
    <w:rsid w:val="003A084B"/>
    <w:rsid w:val="003A08BB"/>
    <w:rsid w:val="003A08FF"/>
    <w:rsid w:val="003A096C"/>
    <w:rsid w:val="003A0AFA"/>
    <w:rsid w:val="003A0C47"/>
    <w:rsid w:val="003A0EFF"/>
    <w:rsid w:val="003A0F2D"/>
    <w:rsid w:val="003A0F8B"/>
    <w:rsid w:val="003A1173"/>
    <w:rsid w:val="003A11DD"/>
    <w:rsid w:val="003A11F4"/>
    <w:rsid w:val="003A12B1"/>
    <w:rsid w:val="003A12CE"/>
    <w:rsid w:val="003A1339"/>
    <w:rsid w:val="003A13B9"/>
    <w:rsid w:val="003A13D4"/>
    <w:rsid w:val="003A143B"/>
    <w:rsid w:val="003A1467"/>
    <w:rsid w:val="003A1482"/>
    <w:rsid w:val="003A1633"/>
    <w:rsid w:val="003A1639"/>
    <w:rsid w:val="003A1674"/>
    <w:rsid w:val="003A182B"/>
    <w:rsid w:val="003A1958"/>
    <w:rsid w:val="003A1A0F"/>
    <w:rsid w:val="003A2097"/>
    <w:rsid w:val="003A217B"/>
    <w:rsid w:val="003A218C"/>
    <w:rsid w:val="003A219D"/>
    <w:rsid w:val="003A2217"/>
    <w:rsid w:val="003A2298"/>
    <w:rsid w:val="003A25F9"/>
    <w:rsid w:val="003A273C"/>
    <w:rsid w:val="003A27D1"/>
    <w:rsid w:val="003A2A81"/>
    <w:rsid w:val="003A2B23"/>
    <w:rsid w:val="003A2D1A"/>
    <w:rsid w:val="003A2D6D"/>
    <w:rsid w:val="003A2E55"/>
    <w:rsid w:val="003A2FBD"/>
    <w:rsid w:val="003A305E"/>
    <w:rsid w:val="003A30A7"/>
    <w:rsid w:val="003A30DF"/>
    <w:rsid w:val="003A322F"/>
    <w:rsid w:val="003A3269"/>
    <w:rsid w:val="003A32EE"/>
    <w:rsid w:val="003A3315"/>
    <w:rsid w:val="003A3593"/>
    <w:rsid w:val="003A3660"/>
    <w:rsid w:val="003A3725"/>
    <w:rsid w:val="003A37DB"/>
    <w:rsid w:val="003A3857"/>
    <w:rsid w:val="003A3AF3"/>
    <w:rsid w:val="003A3D24"/>
    <w:rsid w:val="003A3D74"/>
    <w:rsid w:val="003A3DB3"/>
    <w:rsid w:val="003A3ED5"/>
    <w:rsid w:val="003A3F32"/>
    <w:rsid w:val="003A4004"/>
    <w:rsid w:val="003A4102"/>
    <w:rsid w:val="003A42E9"/>
    <w:rsid w:val="003A42F3"/>
    <w:rsid w:val="003A4312"/>
    <w:rsid w:val="003A4351"/>
    <w:rsid w:val="003A4378"/>
    <w:rsid w:val="003A43F3"/>
    <w:rsid w:val="003A47BC"/>
    <w:rsid w:val="003A4835"/>
    <w:rsid w:val="003A4850"/>
    <w:rsid w:val="003A48C7"/>
    <w:rsid w:val="003A48FB"/>
    <w:rsid w:val="003A4A1D"/>
    <w:rsid w:val="003A4B96"/>
    <w:rsid w:val="003A4BF3"/>
    <w:rsid w:val="003A4D50"/>
    <w:rsid w:val="003A4D7F"/>
    <w:rsid w:val="003A5052"/>
    <w:rsid w:val="003A5172"/>
    <w:rsid w:val="003A51D4"/>
    <w:rsid w:val="003A5289"/>
    <w:rsid w:val="003A5501"/>
    <w:rsid w:val="003A55DF"/>
    <w:rsid w:val="003A56D0"/>
    <w:rsid w:val="003A5798"/>
    <w:rsid w:val="003A57E5"/>
    <w:rsid w:val="003A58CC"/>
    <w:rsid w:val="003A58F6"/>
    <w:rsid w:val="003A5AD3"/>
    <w:rsid w:val="003A5BCC"/>
    <w:rsid w:val="003A5BD1"/>
    <w:rsid w:val="003A5C0D"/>
    <w:rsid w:val="003A5C21"/>
    <w:rsid w:val="003A5CDD"/>
    <w:rsid w:val="003A5CE1"/>
    <w:rsid w:val="003A5D07"/>
    <w:rsid w:val="003A6116"/>
    <w:rsid w:val="003A6202"/>
    <w:rsid w:val="003A625A"/>
    <w:rsid w:val="003A6526"/>
    <w:rsid w:val="003A6618"/>
    <w:rsid w:val="003A6653"/>
    <w:rsid w:val="003A677E"/>
    <w:rsid w:val="003A687F"/>
    <w:rsid w:val="003A68CD"/>
    <w:rsid w:val="003A696F"/>
    <w:rsid w:val="003A69A1"/>
    <w:rsid w:val="003A69EB"/>
    <w:rsid w:val="003A6A17"/>
    <w:rsid w:val="003A6D0A"/>
    <w:rsid w:val="003A6DF4"/>
    <w:rsid w:val="003A6E0D"/>
    <w:rsid w:val="003A6E0F"/>
    <w:rsid w:val="003A73FF"/>
    <w:rsid w:val="003A7434"/>
    <w:rsid w:val="003A74EB"/>
    <w:rsid w:val="003A7512"/>
    <w:rsid w:val="003A75CF"/>
    <w:rsid w:val="003A7782"/>
    <w:rsid w:val="003A7F05"/>
    <w:rsid w:val="003B003E"/>
    <w:rsid w:val="003B0175"/>
    <w:rsid w:val="003B0357"/>
    <w:rsid w:val="003B039D"/>
    <w:rsid w:val="003B03CF"/>
    <w:rsid w:val="003B045C"/>
    <w:rsid w:val="003B0501"/>
    <w:rsid w:val="003B061B"/>
    <w:rsid w:val="003B0635"/>
    <w:rsid w:val="003B075A"/>
    <w:rsid w:val="003B088E"/>
    <w:rsid w:val="003B0A8A"/>
    <w:rsid w:val="003B0AB1"/>
    <w:rsid w:val="003B0C75"/>
    <w:rsid w:val="003B0CAE"/>
    <w:rsid w:val="003B0CDE"/>
    <w:rsid w:val="003B0CFB"/>
    <w:rsid w:val="003B0D94"/>
    <w:rsid w:val="003B1183"/>
    <w:rsid w:val="003B1223"/>
    <w:rsid w:val="003B1282"/>
    <w:rsid w:val="003B1320"/>
    <w:rsid w:val="003B1419"/>
    <w:rsid w:val="003B148B"/>
    <w:rsid w:val="003B14C5"/>
    <w:rsid w:val="003B151E"/>
    <w:rsid w:val="003B18AC"/>
    <w:rsid w:val="003B18E1"/>
    <w:rsid w:val="003B196E"/>
    <w:rsid w:val="003B1A73"/>
    <w:rsid w:val="003B1BC7"/>
    <w:rsid w:val="003B1D6B"/>
    <w:rsid w:val="003B1F2E"/>
    <w:rsid w:val="003B1FF2"/>
    <w:rsid w:val="003B2001"/>
    <w:rsid w:val="003B206A"/>
    <w:rsid w:val="003B2083"/>
    <w:rsid w:val="003B222D"/>
    <w:rsid w:val="003B2384"/>
    <w:rsid w:val="003B23F0"/>
    <w:rsid w:val="003B24ED"/>
    <w:rsid w:val="003B2634"/>
    <w:rsid w:val="003B2667"/>
    <w:rsid w:val="003B26A3"/>
    <w:rsid w:val="003B279F"/>
    <w:rsid w:val="003B27C2"/>
    <w:rsid w:val="003B27CB"/>
    <w:rsid w:val="003B2856"/>
    <w:rsid w:val="003B293A"/>
    <w:rsid w:val="003B2F46"/>
    <w:rsid w:val="003B310D"/>
    <w:rsid w:val="003B3121"/>
    <w:rsid w:val="003B3175"/>
    <w:rsid w:val="003B32BD"/>
    <w:rsid w:val="003B358A"/>
    <w:rsid w:val="003B377E"/>
    <w:rsid w:val="003B38A0"/>
    <w:rsid w:val="003B39FA"/>
    <w:rsid w:val="003B3A25"/>
    <w:rsid w:val="003B3A36"/>
    <w:rsid w:val="003B3C80"/>
    <w:rsid w:val="003B3CA9"/>
    <w:rsid w:val="003B3D86"/>
    <w:rsid w:val="003B3DEB"/>
    <w:rsid w:val="003B3F1C"/>
    <w:rsid w:val="003B3F8E"/>
    <w:rsid w:val="003B3F98"/>
    <w:rsid w:val="003B40B0"/>
    <w:rsid w:val="003B415B"/>
    <w:rsid w:val="003B41BD"/>
    <w:rsid w:val="003B420D"/>
    <w:rsid w:val="003B4237"/>
    <w:rsid w:val="003B427B"/>
    <w:rsid w:val="003B4392"/>
    <w:rsid w:val="003B44C0"/>
    <w:rsid w:val="003B4590"/>
    <w:rsid w:val="003B4893"/>
    <w:rsid w:val="003B4901"/>
    <w:rsid w:val="003B49A0"/>
    <w:rsid w:val="003B4E45"/>
    <w:rsid w:val="003B4EC2"/>
    <w:rsid w:val="003B5047"/>
    <w:rsid w:val="003B50FF"/>
    <w:rsid w:val="003B51AF"/>
    <w:rsid w:val="003B51CB"/>
    <w:rsid w:val="003B523D"/>
    <w:rsid w:val="003B5338"/>
    <w:rsid w:val="003B53AC"/>
    <w:rsid w:val="003B541D"/>
    <w:rsid w:val="003B5567"/>
    <w:rsid w:val="003B5790"/>
    <w:rsid w:val="003B58EE"/>
    <w:rsid w:val="003B59D2"/>
    <w:rsid w:val="003B5C3D"/>
    <w:rsid w:val="003B61CD"/>
    <w:rsid w:val="003B61E2"/>
    <w:rsid w:val="003B6279"/>
    <w:rsid w:val="003B63AA"/>
    <w:rsid w:val="003B63F0"/>
    <w:rsid w:val="003B6447"/>
    <w:rsid w:val="003B668B"/>
    <w:rsid w:val="003B6999"/>
    <w:rsid w:val="003B69B3"/>
    <w:rsid w:val="003B69F3"/>
    <w:rsid w:val="003B6BB5"/>
    <w:rsid w:val="003B6C90"/>
    <w:rsid w:val="003B6E01"/>
    <w:rsid w:val="003B6FD8"/>
    <w:rsid w:val="003B7184"/>
    <w:rsid w:val="003B72E2"/>
    <w:rsid w:val="003B73E7"/>
    <w:rsid w:val="003B745A"/>
    <w:rsid w:val="003B7B00"/>
    <w:rsid w:val="003B7B67"/>
    <w:rsid w:val="003B7BA2"/>
    <w:rsid w:val="003B7D78"/>
    <w:rsid w:val="003B7EFD"/>
    <w:rsid w:val="003C007A"/>
    <w:rsid w:val="003C034B"/>
    <w:rsid w:val="003C0438"/>
    <w:rsid w:val="003C045E"/>
    <w:rsid w:val="003C05AB"/>
    <w:rsid w:val="003C0658"/>
    <w:rsid w:val="003C06D9"/>
    <w:rsid w:val="003C0807"/>
    <w:rsid w:val="003C09CA"/>
    <w:rsid w:val="003C0A4D"/>
    <w:rsid w:val="003C0B46"/>
    <w:rsid w:val="003C0B59"/>
    <w:rsid w:val="003C0CE6"/>
    <w:rsid w:val="003C0CEB"/>
    <w:rsid w:val="003C0D0A"/>
    <w:rsid w:val="003C0FC1"/>
    <w:rsid w:val="003C1147"/>
    <w:rsid w:val="003C1342"/>
    <w:rsid w:val="003C1450"/>
    <w:rsid w:val="003C1488"/>
    <w:rsid w:val="003C1499"/>
    <w:rsid w:val="003C1548"/>
    <w:rsid w:val="003C16E4"/>
    <w:rsid w:val="003C17F8"/>
    <w:rsid w:val="003C185E"/>
    <w:rsid w:val="003C194F"/>
    <w:rsid w:val="003C1C3E"/>
    <w:rsid w:val="003C1C53"/>
    <w:rsid w:val="003C1C62"/>
    <w:rsid w:val="003C1CCC"/>
    <w:rsid w:val="003C1D00"/>
    <w:rsid w:val="003C1F0F"/>
    <w:rsid w:val="003C1F4C"/>
    <w:rsid w:val="003C1FF6"/>
    <w:rsid w:val="003C2053"/>
    <w:rsid w:val="003C22FA"/>
    <w:rsid w:val="003C236E"/>
    <w:rsid w:val="003C23E5"/>
    <w:rsid w:val="003C2735"/>
    <w:rsid w:val="003C2A04"/>
    <w:rsid w:val="003C2AFB"/>
    <w:rsid w:val="003C2C71"/>
    <w:rsid w:val="003C2F8D"/>
    <w:rsid w:val="003C30E3"/>
    <w:rsid w:val="003C329F"/>
    <w:rsid w:val="003C32EE"/>
    <w:rsid w:val="003C33F7"/>
    <w:rsid w:val="003C35A5"/>
    <w:rsid w:val="003C35B1"/>
    <w:rsid w:val="003C35EA"/>
    <w:rsid w:val="003C361F"/>
    <w:rsid w:val="003C3655"/>
    <w:rsid w:val="003C3692"/>
    <w:rsid w:val="003C36D5"/>
    <w:rsid w:val="003C384C"/>
    <w:rsid w:val="003C389E"/>
    <w:rsid w:val="003C3B79"/>
    <w:rsid w:val="003C3BA7"/>
    <w:rsid w:val="003C3C4C"/>
    <w:rsid w:val="003C3CE5"/>
    <w:rsid w:val="003C3DBC"/>
    <w:rsid w:val="003C3E90"/>
    <w:rsid w:val="003C3ED6"/>
    <w:rsid w:val="003C3F8E"/>
    <w:rsid w:val="003C400C"/>
    <w:rsid w:val="003C4048"/>
    <w:rsid w:val="003C41F7"/>
    <w:rsid w:val="003C4269"/>
    <w:rsid w:val="003C441E"/>
    <w:rsid w:val="003C4524"/>
    <w:rsid w:val="003C4612"/>
    <w:rsid w:val="003C4647"/>
    <w:rsid w:val="003C47A0"/>
    <w:rsid w:val="003C49BE"/>
    <w:rsid w:val="003C49F7"/>
    <w:rsid w:val="003C4A70"/>
    <w:rsid w:val="003C4AEE"/>
    <w:rsid w:val="003C4C5C"/>
    <w:rsid w:val="003C4F67"/>
    <w:rsid w:val="003C51C9"/>
    <w:rsid w:val="003C534D"/>
    <w:rsid w:val="003C5453"/>
    <w:rsid w:val="003C54F3"/>
    <w:rsid w:val="003C55FF"/>
    <w:rsid w:val="003C56C2"/>
    <w:rsid w:val="003C5734"/>
    <w:rsid w:val="003C576F"/>
    <w:rsid w:val="003C5836"/>
    <w:rsid w:val="003C5896"/>
    <w:rsid w:val="003C5BC7"/>
    <w:rsid w:val="003C5BD4"/>
    <w:rsid w:val="003C5C92"/>
    <w:rsid w:val="003C5D0A"/>
    <w:rsid w:val="003C5D7D"/>
    <w:rsid w:val="003C5E99"/>
    <w:rsid w:val="003C5E9B"/>
    <w:rsid w:val="003C5EA2"/>
    <w:rsid w:val="003C619C"/>
    <w:rsid w:val="003C6219"/>
    <w:rsid w:val="003C6240"/>
    <w:rsid w:val="003C6265"/>
    <w:rsid w:val="003C6311"/>
    <w:rsid w:val="003C63C6"/>
    <w:rsid w:val="003C63E2"/>
    <w:rsid w:val="003C66AB"/>
    <w:rsid w:val="003C6877"/>
    <w:rsid w:val="003C688A"/>
    <w:rsid w:val="003C6C16"/>
    <w:rsid w:val="003C6C26"/>
    <w:rsid w:val="003C6C4D"/>
    <w:rsid w:val="003C6D74"/>
    <w:rsid w:val="003C6DBE"/>
    <w:rsid w:val="003C6DE6"/>
    <w:rsid w:val="003C6F5E"/>
    <w:rsid w:val="003C6F72"/>
    <w:rsid w:val="003C701E"/>
    <w:rsid w:val="003C715A"/>
    <w:rsid w:val="003C7337"/>
    <w:rsid w:val="003C7340"/>
    <w:rsid w:val="003C73AC"/>
    <w:rsid w:val="003C7472"/>
    <w:rsid w:val="003C7529"/>
    <w:rsid w:val="003C75A8"/>
    <w:rsid w:val="003C76CF"/>
    <w:rsid w:val="003C7702"/>
    <w:rsid w:val="003C7761"/>
    <w:rsid w:val="003C77E6"/>
    <w:rsid w:val="003C790A"/>
    <w:rsid w:val="003C79B9"/>
    <w:rsid w:val="003C7A22"/>
    <w:rsid w:val="003C7A51"/>
    <w:rsid w:val="003C7B6C"/>
    <w:rsid w:val="003C7C53"/>
    <w:rsid w:val="003C7EA4"/>
    <w:rsid w:val="003C7EAD"/>
    <w:rsid w:val="003D00CE"/>
    <w:rsid w:val="003D0190"/>
    <w:rsid w:val="003D0212"/>
    <w:rsid w:val="003D04E2"/>
    <w:rsid w:val="003D053F"/>
    <w:rsid w:val="003D0544"/>
    <w:rsid w:val="003D0550"/>
    <w:rsid w:val="003D0553"/>
    <w:rsid w:val="003D06C6"/>
    <w:rsid w:val="003D06CC"/>
    <w:rsid w:val="003D0733"/>
    <w:rsid w:val="003D091F"/>
    <w:rsid w:val="003D09C7"/>
    <w:rsid w:val="003D0A79"/>
    <w:rsid w:val="003D0C52"/>
    <w:rsid w:val="003D0CF2"/>
    <w:rsid w:val="003D0DB7"/>
    <w:rsid w:val="003D0E1A"/>
    <w:rsid w:val="003D0FE0"/>
    <w:rsid w:val="003D10BC"/>
    <w:rsid w:val="003D115B"/>
    <w:rsid w:val="003D1464"/>
    <w:rsid w:val="003D15E2"/>
    <w:rsid w:val="003D18DD"/>
    <w:rsid w:val="003D1A23"/>
    <w:rsid w:val="003D1C50"/>
    <w:rsid w:val="003D1C6F"/>
    <w:rsid w:val="003D1C8D"/>
    <w:rsid w:val="003D1D3B"/>
    <w:rsid w:val="003D1DD5"/>
    <w:rsid w:val="003D1EE1"/>
    <w:rsid w:val="003D1FA5"/>
    <w:rsid w:val="003D2097"/>
    <w:rsid w:val="003D2173"/>
    <w:rsid w:val="003D21EE"/>
    <w:rsid w:val="003D2210"/>
    <w:rsid w:val="003D22CD"/>
    <w:rsid w:val="003D23AC"/>
    <w:rsid w:val="003D23AD"/>
    <w:rsid w:val="003D2405"/>
    <w:rsid w:val="003D2589"/>
    <w:rsid w:val="003D2725"/>
    <w:rsid w:val="003D27EE"/>
    <w:rsid w:val="003D27EF"/>
    <w:rsid w:val="003D2B0A"/>
    <w:rsid w:val="003D2D78"/>
    <w:rsid w:val="003D2D95"/>
    <w:rsid w:val="003D312E"/>
    <w:rsid w:val="003D3278"/>
    <w:rsid w:val="003D3401"/>
    <w:rsid w:val="003D34C2"/>
    <w:rsid w:val="003D35CE"/>
    <w:rsid w:val="003D3712"/>
    <w:rsid w:val="003D3769"/>
    <w:rsid w:val="003D3922"/>
    <w:rsid w:val="003D3924"/>
    <w:rsid w:val="003D399D"/>
    <w:rsid w:val="003D3A62"/>
    <w:rsid w:val="003D3B9A"/>
    <w:rsid w:val="003D3C39"/>
    <w:rsid w:val="003D3D87"/>
    <w:rsid w:val="003D3DD1"/>
    <w:rsid w:val="003D3E2B"/>
    <w:rsid w:val="003D3E41"/>
    <w:rsid w:val="003D3F4B"/>
    <w:rsid w:val="003D4026"/>
    <w:rsid w:val="003D4108"/>
    <w:rsid w:val="003D412A"/>
    <w:rsid w:val="003D4251"/>
    <w:rsid w:val="003D44C9"/>
    <w:rsid w:val="003D44E4"/>
    <w:rsid w:val="003D4552"/>
    <w:rsid w:val="003D4554"/>
    <w:rsid w:val="003D45EA"/>
    <w:rsid w:val="003D466F"/>
    <w:rsid w:val="003D46AE"/>
    <w:rsid w:val="003D4735"/>
    <w:rsid w:val="003D4AC1"/>
    <w:rsid w:val="003D4B44"/>
    <w:rsid w:val="003D4D08"/>
    <w:rsid w:val="003D4DDC"/>
    <w:rsid w:val="003D4E79"/>
    <w:rsid w:val="003D4F45"/>
    <w:rsid w:val="003D500E"/>
    <w:rsid w:val="003D5030"/>
    <w:rsid w:val="003D50AD"/>
    <w:rsid w:val="003D5111"/>
    <w:rsid w:val="003D53AC"/>
    <w:rsid w:val="003D5401"/>
    <w:rsid w:val="003D54B3"/>
    <w:rsid w:val="003D54FB"/>
    <w:rsid w:val="003D555E"/>
    <w:rsid w:val="003D557C"/>
    <w:rsid w:val="003D55A6"/>
    <w:rsid w:val="003D5674"/>
    <w:rsid w:val="003D5750"/>
    <w:rsid w:val="003D57DA"/>
    <w:rsid w:val="003D59D0"/>
    <w:rsid w:val="003D5C6B"/>
    <w:rsid w:val="003D5DAB"/>
    <w:rsid w:val="003D5FD3"/>
    <w:rsid w:val="003D6044"/>
    <w:rsid w:val="003D6059"/>
    <w:rsid w:val="003D6079"/>
    <w:rsid w:val="003D60B5"/>
    <w:rsid w:val="003D60EE"/>
    <w:rsid w:val="003D6222"/>
    <w:rsid w:val="003D6240"/>
    <w:rsid w:val="003D624B"/>
    <w:rsid w:val="003D62AE"/>
    <w:rsid w:val="003D6594"/>
    <w:rsid w:val="003D6625"/>
    <w:rsid w:val="003D66D4"/>
    <w:rsid w:val="003D6778"/>
    <w:rsid w:val="003D68CB"/>
    <w:rsid w:val="003D6912"/>
    <w:rsid w:val="003D69FE"/>
    <w:rsid w:val="003D6AC7"/>
    <w:rsid w:val="003D6BEE"/>
    <w:rsid w:val="003D6C16"/>
    <w:rsid w:val="003D6E15"/>
    <w:rsid w:val="003D6EC0"/>
    <w:rsid w:val="003D6F2E"/>
    <w:rsid w:val="003D6F8B"/>
    <w:rsid w:val="003D7056"/>
    <w:rsid w:val="003D706E"/>
    <w:rsid w:val="003D7522"/>
    <w:rsid w:val="003D7756"/>
    <w:rsid w:val="003D789B"/>
    <w:rsid w:val="003D794D"/>
    <w:rsid w:val="003D796A"/>
    <w:rsid w:val="003D7B22"/>
    <w:rsid w:val="003D7B49"/>
    <w:rsid w:val="003D7B4B"/>
    <w:rsid w:val="003D7BA2"/>
    <w:rsid w:val="003D7C5A"/>
    <w:rsid w:val="003D7D3D"/>
    <w:rsid w:val="003D7EBB"/>
    <w:rsid w:val="003E002E"/>
    <w:rsid w:val="003E01E5"/>
    <w:rsid w:val="003E0349"/>
    <w:rsid w:val="003E04BC"/>
    <w:rsid w:val="003E059D"/>
    <w:rsid w:val="003E05E4"/>
    <w:rsid w:val="003E073A"/>
    <w:rsid w:val="003E09BD"/>
    <w:rsid w:val="003E0A02"/>
    <w:rsid w:val="003E0A54"/>
    <w:rsid w:val="003E0B53"/>
    <w:rsid w:val="003E0C66"/>
    <w:rsid w:val="003E1004"/>
    <w:rsid w:val="003E10C1"/>
    <w:rsid w:val="003E127E"/>
    <w:rsid w:val="003E1280"/>
    <w:rsid w:val="003E14DE"/>
    <w:rsid w:val="003E15D5"/>
    <w:rsid w:val="003E15F8"/>
    <w:rsid w:val="003E17D9"/>
    <w:rsid w:val="003E1868"/>
    <w:rsid w:val="003E193D"/>
    <w:rsid w:val="003E19C4"/>
    <w:rsid w:val="003E1AC2"/>
    <w:rsid w:val="003E1CA0"/>
    <w:rsid w:val="003E1E74"/>
    <w:rsid w:val="003E1E76"/>
    <w:rsid w:val="003E1F29"/>
    <w:rsid w:val="003E209C"/>
    <w:rsid w:val="003E2352"/>
    <w:rsid w:val="003E245E"/>
    <w:rsid w:val="003E25DC"/>
    <w:rsid w:val="003E27AF"/>
    <w:rsid w:val="003E28D6"/>
    <w:rsid w:val="003E299C"/>
    <w:rsid w:val="003E2BD4"/>
    <w:rsid w:val="003E2C1B"/>
    <w:rsid w:val="003E2C84"/>
    <w:rsid w:val="003E2CDF"/>
    <w:rsid w:val="003E2E2D"/>
    <w:rsid w:val="003E3004"/>
    <w:rsid w:val="003E3011"/>
    <w:rsid w:val="003E3058"/>
    <w:rsid w:val="003E3278"/>
    <w:rsid w:val="003E33B0"/>
    <w:rsid w:val="003E341D"/>
    <w:rsid w:val="003E3485"/>
    <w:rsid w:val="003E34B0"/>
    <w:rsid w:val="003E34DD"/>
    <w:rsid w:val="003E3546"/>
    <w:rsid w:val="003E3620"/>
    <w:rsid w:val="003E37F5"/>
    <w:rsid w:val="003E38C2"/>
    <w:rsid w:val="003E39B9"/>
    <w:rsid w:val="003E3A76"/>
    <w:rsid w:val="003E3BD4"/>
    <w:rsid w:val="003E3D74"/>
    <w:rsid w:val="003E3E45"/>
    <w:rsid w:val="003E3E53"/>
    <w:rsid w:val="003E402C"/>
    <w:rsid w:val="003E42D2"/>
    <w:rsid w:val="003E445D"/>
    <w:rsid w:val="003E4586"/>
    <w:rsid w:val="003E478B"/>
    <w:rsid w:val="003E47EF"/>
    <w:rsid w:val="003E49BA"/>
    <w:rsid w:val="003E4AAB"/>
    <w:rsid w:val="003E4B8F"/>
    <w:rsid w:val="003E4CC6"/>
    <w:rsid w:val="003E4DED"/>
    <w:rsid w:val="003E4E87"/>
    <w:rsid w:val="003E51B7"/>
    <w:rsid w:val="003E523D"/>
    <w:rsid w:val="003E5267"/>
    <w:rsid w:val="003E53B1"/>
    <w:rsid w:val="003E5474"/>
    <w:rsid w:val="003E54A0"/>
    <w:rsid w:val="003E59CB"/>
    <w:rsid w:val="003E5E6D"/>
    <w:rsid w:val="003E60C6"/>
    <w:rsid w:val="003E624D"/>
    <w:rsid w:val="003E6366"/>
    <w:rsid w:val="003E6393"/>
    <w:rsid w:val="003E680C"/>
    <w:rsid w:val="003E681A"/>
    <w:rsid w:val="003E6831"/>
    <w:rsid w:val="003E6B92"/>
    <w:rsid w:val="003E6BCA"/>
    <w:rsid w:val="003E6EC5"/>
    <w:rsid w:val="003E6F48"/>
    <w:rsid w:val="003E6FC9"/>
    <w:rsid w:val="003E716B"/>
    <w:rsid w:val="003E72B5"/>
    <w:rsid w:val="003E72E4"/>
    <w:rsid w:val="003E736C"/>
    <w:rsid w:val="003E741E"/>
    <w:rsid w:val="003E7486"/>
    <w:rsid w:val="003E76A9"/>
    <w:rsid w:val="003E7730"/>
    <w:rsid w:val="003E78FD"/>
    <w:rsid w:val="003E7C12"/>
    <w:rsid w:val="003E7CF1"/>
    <w:rsid w:val="003E7E3C"/>
    <w:rsid w:val="003F0015"/>
    <w:rsid w:val="003F0328"/>
    <w:rsid w:val="003F056B"/>
    <w:rsid w:val="003F07A1"/>
    <w:rsid w:val="003F0809"/>
    <w:rsid w:val="003F08CD"/>
    <w:rsid w:val="003F0B04"/>
    <w:rsid w:val="003F0B12"/>
    <w:rsid w:val="003F0B67"/>
    <w:rsid w:val="003F0CAE"/>
    <w:rsid w:val="003F0D97"/>
    <w:rsid w:val="003F10FE"/>
    <w:rsid w:val="003F1162"/>
    <w:rsid w:val="003F1285"/>
    <w:rsid w:val="003F12A1"/>
    <w:rsid w:val="003F12DE"/>
    <w:rsid w:val="003F14A0"/>
    <w:rsid w:val="003F169D"/>
    <w:rsid w:val="003F16BD"/>
    <w:rsid w:val="003F17B6"/>
    <w:rsid w:val="003F1833"/>
    <w:rsid w:val="003F1877"/>
    <w:rsid w:val="003F18AE"/>
    <w:rsid w:val="003F1954"/>
    <w:rsid w:val="003F19AD"/>
    <w:rsid w:val="003F1CA0"/>
    <w:rsid w:val="003F1CCD"/>
    <w:rsid w:val="003F1D81"/>
    <w:rsid w:val="003F1DDC"/>
    <w:rsid w:val="003F1F2A"/>
    <w:rsid w:val="003F1FE2"/>
    <w:rsid w:val="003F2073"/>
    <w:rsid w:val="003F20AF"/>
    <w:rsid w:val="003F22CB"/>
    <w:rsid w:val="003F2393"/>
    <w:rsid w:val="003F23B6"/>
    <w:rsid w:val="003F23BD"/>
    <w:rsid w:val="003F2404"/>
    <w:rsid w:val="003F2429"/>
    <w:rsid w:val="003F2662"/>
    <w:rsid w:val="003F2814"/>
    <w:rsid w:val="003F287C"/>
    <w:rsid w:val="003F2983"/>
    <w:rsid w:val="003F29E4"/>
    <w:rsid w:val="003F2A44"/>
    <w:rsid w:val="003F2A9D"/>
    <w:rsid w:val="003F2ACD"/>
    <w:rsid w:val="003F2AF7"/>
    <w:rsid w:val="003F2AFF"/>
    <w:rsid w:val="003F2D07"/>
    <w:rsid w:val="003F2D09"/>
    <w:rsid w:val="003F3010"/>
    <w:rsid w:val="003F30C8"/>
    <w:rsid w:val="003F327C"/>
    <w:rsid w:val="003F3358"/>
    <w:rsid w:val="003F3B30"/>
    <w:rsid w:val="003F3B94"/>
    <w:rsid w:val="003F3BF6"/>
    <w:rsid w:val="003F3C25"/>
    <w:rsid w:val="003F3DCC"/>
    <w:rsid w:val="003F3DF9"/>
    <w:rsid w:val="003F3E23"/>
    <w:rsid w:val="003F3E85"/>
    <w:rsid w:val="003F3EAC"/>
    <w:rsid w:val="003F3FC6"/>
    <w:rsid w:val="003F3FE8"/>
    <w:rsid w:val="003F41C1"/>
    <w:rsid w:val="003F4327"/>
    <w:rsid w:val="003F4378"/>
    <w:rsid w:val="003F446F"/>
    <w:rsid w:val="003F4491"/>
    <w:rsid w:val="003F45D3"/>
    <w:rsid w:val="003F4700"/>
    <w:rsid w:val="003F490C"/>
    <w:rsid w:val="003F49D9"/>
    <w:rsid w:val="003F4AA4"/>
    <w:rsid w:val="003F4E0C"/>
    <w:rsid w:val="003F4F11"/>
    <w:rsid w:val="003F4FC4"/>
    <w:rsid w:val="003F504B"/>
    <w:rsid w:val="003F5076"/>
    <w:rsid w:val="003F523E"/>
    <w:rsid w:val="003F52BD"/>
    <w:rsid w:val="003F52EC"/>
    <w:rsid w:val="003F5423"/>
    <w:rsid w:val="003F557E"/>
    <w:rsid w:val="003F5708"/>
    <w:rsid w:val="003F5802"/>
    <w:rsid w:val="003F58D2"/>
    <w:rsid w:val="003F5900"/>
    <w:rsid w:val="003F59AD"/>
    <w:rsid w:val="003F59DA"/>
    <w:rsid w:val="003F59E1"/>
    <w:rsid w:val="003F5BF1"/>
    <w:rsid w:val="003F5D4F"/>
    <w:rsid w:val="003F5E9B"/>
    <w:rsid w:val="003F62E5"/>
    <w:rsid w:val="003F6362"/>
    <w:rsid w:val="003F65E3"/>
    <w:rsid w:val="003F6647"/>
    <w:rsid w:val="003F66D6"/>
    <w:rsid w:val="003F6877"/>
    <w:rsid w:val="003F68F2"/>
    <w:rsid w:val="003F6A8C"/>
    <w:rsid w:val="003F6B9E"/>
    <w:rsid w:val="003F6BBC"/>
    <w:rsid w:val="003F6CFE"/>
    <w:rsid w:val="003F6E37"/>
    <w:rsid w:val="003F6E89"/>
    <w:rsid w:val="003F7160"/>
    <w:rsid w:val="003F7165"/>
    <w:rsid w:val="003F718D"/>
    <w:rsid w:val="003F726D"/>
    <w:rsid w:val="003F72BC"/>
    <w:rsid w:val="003F73E1"/>
    <w:rsid w:val="003F7438"/>
    <w:rsid w:val="003F749C"/>
    <w:rsid w:val="003F7530"/>
    <w:rsid w:val="003F755C"/>
    <w:rsid w:val="003F75ED"/>
    <w:rsid w:val="003F7A0F"/>
    <w:rsid w:val="003F7ABA"/>
    <w:rsid w:val="003F7E9C"/>
    <w:rsid w:val="003F7ECA"/>
    <w:rsid w:val="003F7F2D"/>
    <w:rsid w:val="00400112"/>
    <w:rsid w:val="00400365"/>
    <w:rsid w:val="0040042F"/>
    <w:rsid w:val="00400495"/>
    <w:rsid w:val="00400652"/>
    <w:rsid w:val="0040068B"/>
    <w:rsid w:val="004006B3"/>
    <w:rsid w:val="00400826"/>
    <w:rsid w:val="00400849"/>
    <w:rsid w:val="0040084A"/>
    <w:rsid w:val="004008CF"/>
    <w:rsid w:val="004009C5"/>
    <w:rsid w:val="00400A78"/>
    <w:rsid w:val="00400C8A"/>
    <w:rsid w:val="00400DEA"/>
    <w:rsid w:val="00400F15"/>
    <w:rsid w:val="00400FC9"/>
    <w:rsid w:val="004011FE"/>
    <w:rsid w:val="00401207"/>
    <w:rsid w:val="00401380"/>
    <w:rsid w:val="004015D9"/>
    <w:rsid w:val="0040184A"/>
    <w:rsid w:val="004018A0"/>
    <w:rsid w:val="004019D8"/>
    <w:rsid w:val="004019FD"/>
    <w:rsid w:val="00401A40"/>
    <w:rsid w:val="00401AD7"/>
    <w:rsid w:val="00401AE1"/>
    <w:rsid w:val="00401B31"/>
    <w:rsid w:val="00401C73"/>
    <w:rsid w:val="00401CF3"/>
    <w:rsid w:val="00401DD5"/>
    <w:rsid w:val="00401E14"/>
    <w:rsid w:val="00401F10"/>
    <w:rsid w:val="00401FE7"/>
    <w:rsid w:val="00402212"/>
    <w:rsid w:val="00402449"/>
    <w:rsid w:val="00402C04"/>
    <w:rsid w:val="00402C0E"/>
    <w:rsid w:val="004030F8"/>
    <w:rsid w:val="00403363"/>
    <w:rsid w:val="004034E8"/>
    <w:rsid w:val="0040353F"/>
    <w:rsid w:val="004035F1"/>
    <w:rsid w:val="00403693"/>
    <w:rsid w:val="004037A7"/>
    <w:rsid w:val="00403939"/>
    <w:rsid w:val="00403AFD"/>
    <w:rsid w:val="00403BC6"/>
    <w:rsid w:val="00403CBE"/>
    <w:rsid w:val="00403E62"/>
    <w:rsid w:val="00403E6A"/>
    <w:rsid w:val="00403EE3"/>
    <w:rsid w:val="00403F40"/>
    <w:rsid w:val="00403FB7"/>
    <w:rsid w:val="004042AA"/>
    <w:rsid w:val="00404457"/>
    <w:rsid w:val="00404534"/>
    <w:rsid w:val="00404601"/>
    <w:rsid w:val="00404640"/>
    <w:rsid w:val="004047E6"/>
    <w:rsid w:val="0040490B"/>
    <w:rsid w:val="00404935"/>
    <w:rsid w:val="00404B90"/>
    <w:rsid w:val="00404C69"/>
    <w:rsid w:val="00404ED4"/>
    <w:rsid w:val="00404F8D"/>
    <w:rsid w:val="00405184"/>
    <w:rsid w:val="004052A6"/>
    <w:rsid w:val="004052E4"/>
    <w:rsid w:val="00405425"/>
    <w:rsid w:val="0040565E"/>
    <w:rsid w:val="00405667"/>
    <w:rsid w:val="004056C7"/>
    <w:rsid w:val="004056EF"/>
    <w:rsid w:val="004057E6"/>
    <w:rsid w:val="00405815"/>
    <w:rsid w:val="00405942"/>
    <w:rsid w:val="00405A52"/>
    <w:rsid w:val="00405ADF"/>
    <w:rsid w:val="00405D06"/>
    <w:rsid w:val="00405E5B"/>
    <w:rsid w:val="0040609D"/>
    <w:rsid w:val="004060A6"/>
    <w:rsid w:val="004062F4"/>
    <w:rsid w:val="004062FB"/>
    <w:rsid w:val="004063D0"/>
    <w:rsid w:val="0040644C"/>
    <w:rsid w:val="004065C5"/>
    <w:rsid w:val="00406989"/>
    <w:rsid w:val="00406A08"/>
    <w:rsid w:val="00406A2A"/>
    <w:rsid w:val="00406AC8"/>
    <w:rsid w:val="00406B8C"/>
    <w:rsid w:val="00406D06"/>
    <w:rsid w:val="00406F01"/>
    <w:rsid w:val="00406F5E"/>
    <w:rsid w:val="0040705D"/>
    <w:rsid w:val="00407134"/>
    <w:rsid w:val="0040725C"/>
    <w:rsid w:val="004073CC"/>
    <w:rsid w:val="0040740D"/>
    <w:rsid w:val="0040752C"/>
    <w:rsid w:val="00407548"/>
    <w:rsid w:val="00407587"/>
    <w:rsid w:val="004075C9"/>
    <w:rsid w:val="0040771A"/>
    <w:rsid w:val="00407800"/>
    <w:rsid w:val="00407A98"/>
    <w:rsid w:val="00407B17"/>
    <w:rsid w:val="00407BBF"/>
    <w:rsid w:val="00407BCF"/>
    <w:rsid w:val="00407C78"/>
    <w:rsid w:val="00407D04"/>
    <w:rsid w:val="00407D3A"/>
    <w:rsid w:val="00407D7B"/>
    <w:rsid w:val="00407EC7"/>
    <w:rsid w:val="00407EC9"/>
    <w:rsid w:val="00407F12"/>
    <w:rsid w:val="00407F41"/>
    <w:rsid w:val="00407F9B"/>
    <w:rsid w:val="00410320"/>
    <w:rsid w:val="004104AC"/>
    <w:rsid w:val="004104AF"/>
    <w:rsid w:val="004106D9"/>
    <w:rsid w:val="00410A40"/>
    <w:rsid w:val="00410A87"/>
    <w:rsid w:val="00410A9C"/>
    <w:rsid w:val="00410AD0"/>
    <w:rsid w:val="00410AE6"/>
    <w:rsid w:val="00410B0D"/>
    <w:rsid w:val="00410BC6"/>
    <w:rsid w:val="00410D53"/>
    <w:rsid w:val="00410DF3"/>
    <w:rsid w:val="00410E59"/>
    <w:rsid w:val="00410F00"/>
    <w:rsid w:val="00410F1A"/>
    <w:rsid w:val="00410F88"/>
    <w:rsid w:val="00410FBC"/>
    <w:rsid w:val="004111EE"/>
    <w:rsid w:val="00411298"/>
    <w:rsid w:val="004112BE"/>
    <w:rsid w:val="0041141F"/>
    <w:rsid w:val="004114D3"/>
    <w:rsid w:val="00411629"/>
    <w:rsid w:val="004118B6"/>
    <w:rsid w:val="0041197F"/>
    <w:rsid w:val="00411A55"/>
    <w:rsid w:val="00411B0E"/>
    <w:rsid w:val="00411BF0"/>
    <w:rsid w:val="00411CB4"/>
    <w:rsid w:val="00411DDA"/>
    <w:rsid w:val="00411DEF"/>
    <w:rsid w:val="00411DFF"/>
    <w:rsid w:val="00411E82"/>
    <w:rsid w:val="00411E93"/>
    <w:rsid w:val="00411EBE"/>
    <w:rsid w:val="00411F37"/>
    <w:rsid w:val="0041202F"/>
    <w:rsid w:val="004120CD"/>
    <w:rsid w:val="004122C5"/>
    <w:rsid w:val="004123EB"/>
    <w:rsid w:val="0041242F"/>
    <w:rsid w:val="004125CF"/>
    <w:rsid w:val="004125D0"/>
    <w:rsid w:val="00412666"/>
    <w:rsid w:val="0041268F"/>
    <w:rsid w:val="004127CA"/>
    <w:rsid w:val="00412924"/>
    <w:rsid w:val="00412927"/>
    <w:rsid w:val="00412A11"/>
    <w:rsid w:val="00412B12"/>
    <w:rsid w:val="00412CB6"/>
    <w:rsid w:val="00412CCA"/>
    <w:rsid w:val="00412D3D"/>
    <w:rsid w:val="00412D46"/>
    <w:rsid w:val="00412D59"/>
    <w:rsid w:val="00412D9C"/>
    <w:rsid w:val="00412E9A"/>
    <w:rsid w:val="00412F3C"/>
    <w:rsid w:val="00413016"/>
    <w:rsid w:val="004131C4"/>
    <w:rsid w:val="00413209"/>
    <w:rsid w:val="0041320F"/>
    <w:rsid w:val="00413347"/>
    <w:rsid w:val="00413350"/>
    <w:rsid w:val="004133EC"/>
    <w:rsid w:val="00413478"/>
    <w:rsid w:val="004136E9"/>
    <w:rsid w:val="004138BD"/>
    <w:rsid w:val="004138E3"/>
    <w:rsid w:val="0041396B"/>
    <w:rsid w:val="00413A44"/>
    <w:rsid w:val="00413B75"/>
    <w:rsid w:val="00413C2A"/>
    <w:rsid w:val="00413C56"/>
    <w:rsid w:val="00413D41"/>
    <w:rsid w:val="00413D59"/>
    <w:rsid w:val="00413E76"/>
    <w:rsid w:val="0041413D"/>
    <w:rsid w:val="00414204"/>
    <w:rsid w:val="0041444A"/>
    <w:rsid w:val="00414541"/>
    <w:rsid w:val="00414563"/>
    <w:rsid w:val="0041456A"/>
    <w:rsid w:val="004145C0"/>
    <w:rsid w:val="00414762"/>
    <w:rsid w:val="0041477A"/>
    <w:rsid w:val="0041485F"/>
    <w:rsid w:val="004149C6"/>
    <w:rsid w:val="00414A1D"/>
    <w:rsid w:val="00414BBF"/>
    <w:rsid w:val="00414C0C"/>
    <w:rsid w:val="00414CB5"/>
    <w:rsid w:val="00414DCD"/>
    <w:rsid w:val="00414E65"/>
    <w:rsid w:val="00414FE9"/>
    <w:rsid w:val="004150C0"/>
    <w:rsid w:val="004150DD"/>
    <w:rsid w:val="00415329"/>
    <w:rsid w:val="0041546E"/>
    <w:rsid w:val="0041561C"/>
    <w:rsid w:val="00415626"/>
    <w:rsid w:val="004156BF"/>
    <w:rsid w:val="004156F6"/>
    <w:rsid w:val="004157BE"/>
    <w:rsid w:val="00415855"/>
    <w:rsid w:val="004158F7"/>
    <w:rsid w:val="004159B9"/>
    <w:rsid w:val="004159E5"/>
    <w:rsid w:val="00415CF9"/>
    <w:rsid w:val="00415CFA"/>
    <w:rsid w:val="00415E00"/>
    <w:rsid w:val="00415E16"/>
    <w:rsid w:val="00415EBC"/>
    <w:rsid w:val="00415FAE"/>
    <w:rsid w:val="0041627F"/>
    <w:rsid w:val="004163CC"/>
    <w:rsid w:val="00416415"/>
    <w:rsid w:val="00416433"/>
    <w:rsid w:val="0041645A"/>
    <w:rsid w:val="004165FC"/>
    <w:rsid w:val="0041668C"/>
    <w:rsid w:val="00416873"/>
    <w:rsid w:val="00416ADF"/>
    <w:rsid w:val="00416B0F"/>
    <w:rsid w:val="00416BF9"/>
    <w:rsid w:val="00416C52"/>
    <w:rsid w:val="00416D50"/>
    <w:rsid w:val="00416FC5"/>
    <w:rsid w:val="00416FD5"/>
    <w:rsid w:val="0041712D"/>
    <w:rsid w:val="004171AE"/>
    <w:rsid w:val="00417393"/>
    <w:rsid w:val="004173D9"/>
    <w:rsid w:val="0041743B"/>
    <w:rsid w:val="004174D4"/>
    <w:rsid w:val="00417543"/>
    <w:rsid w:val="00417772"/>
    <w:rsid w:val="00417B0B"/>
    <w:rsid w:val="00417B2D"/>
    <w:rsid w:val="00417B7C"/>
    <w:rsid w:val="00417B8C"/>
    <w:rsid w:val="00417BD7"/>
    <w:rsid w:val="00417CDA"/>
    <w:rsid w:val="004201F5"/>
    <w:rsid w:val="00420207"/>
    <w:rsid w:val="00420391"/>
    <w:rsid w:val="00420398"/>
    <w:rsid w:val="00420631"/>
    <w:rsid w:val="0042071C"/>
    <w:rsid w:val="004207EA"/>
    <w:rsid w:val="00420805"/>
    <w:rsid w:val="00420857"/>
    <w:rsid w:val="004208A7"/>
    <w:rsid w:val="004209D2"/>
    <w:rsid w:val="00420CF2"/>
    <w:rsid w:val="00420E6A"/>
    <w:rsid w:val="00420F43"/>
    <w:rsid w:val="00421117"/>
    <w:rsid w:val="004211F1"/>
    <w:rsid w:val="0042130D"/>
    <w:rsid w:val="004216A4"/>
    <w:rsid w:val="004217BB"/>
    <w:rsid w:val="00421868"/>
    <w:rsid w:val="004218EB"/>
    <w:rsid w:val="004219DF"/>
    <w:rsid w:val="00421A93"/>
    <w:rsid w:val="00421D82"/>
    <w:rsid w:val="00421E0F"/>
    <w:rsid w:val="00421F73"/>
    <w:rsid w:val="00422071"/>
    <w:rsid w:val="00422159"/>
    <w:rsid w:val="004221C3"/>
    <w:rsid w:val="00422378"/>
    <w:rsid w:val="004224F4"/>
    <w:rsid w:val="004224FD"/>
    <w:rsid w:val="00422550"/>
    <w:rsid w:val="00422622"/>
    <w:rsid w:val="00422650"/>
    <w:rsid w:val="004226B0"/>
    <w:rsid w:val="00422880"/>
    <w:rsid w:val="00422931"/>
    <w:rsid w:val="00422997"/>
    <w:rsid w:val="0042299D"/>
    <w:rsid w:val="004229F8"/>
    <w:rsid w:val="00422A5C"/>
    <w:rsid w:val="00422C29"/>
    <w:rsid w:val="00422DCD"/>
    <w:rsid w:val="00422DDE"/>
    <w:rsid w:val="00422E11"/>
    <w:rsid w:val="00422EC6"/>
    <w:rsid w:val="00422F34"/>
    <w:rsid w:val="0042306C"/>
    <w:rsid w:val="0042306F"/>
    <w:rsid w:val="004230F5"/>
    <w:rsid w:val="00423250"/>
    <w:rsid w:val="004232E8"/>
    <w:rsid w:val="00423391"/>
    <w:rsid w:val="004233EB"/>
    <w:rsid w:val="00423555"/>
    <w:rsid w:val="004235F2"/>
    <w:rsid w:val="00423724"/>
    <w:rsid w:val="00423812"/>
    <w:rsid w:val="004239C0"/>
    <w:rsid w:val="00423AB5"/>
    <w:rsid w:val="004240F2"/>
    <w:rsid w:val="0042419A"/>
    <w:rsid w:val="004243E6"/>
    <w:rsid w:val="00424446"/>
    <w:rsid w:val="00424603"/>
    <w:rsid w:val="0042479A"/>
    <w:rsid w:val="004247DB"/>
    <w:rsid w:val="00424B31"/>
    <w:rsid w:val="00425035"/>
    <w:rsid w:val="0042512E"/>
    <w:rsid w:val="0042533F"/>
    <w:rsid w:val="004254A4"/>
    <w:rsid w:val="004255DD"/>
    <w:rsid w:val="0042572A"/>
    <w:rsid w:val="0042578A"/>
    <w:rsid w:val="00425857"/>
    <w:rsid w:val="00425984"/>
    <w:rsid w:val="00425A9E"/>
    <w:rsid w:val="00425B98"/>
    <w:rsid w:val="00425C7D"/>
    <w:rsid w:val="00425DC7"/>
    <w:rsid w:val="00426481"/>
    <w:rsid w:val="0042656A"/>
    <w:rsid w:val="00426A68"/>
    <w:rsid w:val="00426AC1"/>
    <w:rsid w:val="00426ACD"/>
    <w:rsid w:val="00426B08"/>
    <w:rsid w:val="00426B44"/>
    <w:rsid w:val="00426BB8"/>
    <w:rsid w:val="00426C67"/>
    <w:rsid w:val="00426D6B"/>
    <w:rsid w:val="00426D92"/>
    <w:rsid w:val="00426E51"/>
    <w:rsid w:val="00426E5D"/>
    <w:rsid w:val="004270DF"/>
    <w:rsid w:val="00427106"/>
    <w:rsid w:val="0042741F"/>
    <w:rsid w:val="004276F4"/>
    <w:rsid w:val="004277D4"/>
    <w:rsid w:val="00427803"/>
    <w:rsid w:val="00427964"/>
    <w:rsid w:val="00427C8F"/>
    <w:rsid w:val="00427E9B"/>
    <w:rsid w:val="00427ED1"/>
    <w:rsid w:val="00427F94"/>
    <w:rsid w:val="004302ED"/>
    <w:rsid w:val="0043032E"/>
    <w:rsid w:val="00430349"/>
    <w:rsid w:val="004303D5"/>
    <w:rsid w:val="004303DA"/>
    <w:rsid w:val="00430516"/>
    <w:rsid w:val="0043052F"/>
    <w:rsid w:val="004305DA"/>
    <w:rsid w:val="00430719"/>
    <w:rsid w:val="00430721"/>
    <w:rsid w:val="0043076B"/>
    <w:rsid w:val="0043098A"/>
    <w:rsid w:val="004309D9"/>
    <w:rsid w:val="004309E5"/>
    <w:rsid w:val="00430D26"/>
    <w:rsid w:val="00430E96"/>
    <w:rsid w:val="00430EF3"/>
    <w:rsid w:val="00430F33"/>
    <w:rsid w:val="00430F83"/>
    <w:rsid w:val="00431077"/>
    <w:rsid w:val="00431177"/>
    <w:rsid w:val="004311DA"/>
    <w:rsid w:val="00431332"/>
    <w:rsid w:val="00431439"/>
    <w:rsid w:val="00431523"/>
    <w:rsid w:val="0043153C"/>
    <w:rsid w:val="00431931"/>
    <w:rsid w:val="0043195E"/>
    <w:rsid w:val="00431993"/>
    <w:rsid w:val="00431A08"/>
    <w:rsid w:val="00431C29"/>
    <w:rsid w:val="00431D35"/>
    <w:rsid w:val="00431E1A"/>
    <w:rsid w:val="00431E6C"/>
    <w:rsid w:val="00431F66"/>
    <w:rsid w:val="00431F7E"/>
    <w:rsid w:val="00431FDB"/>
    <w:rsid w:val="00431FEF"/>
    <w:rsid w:val="00432058"/>
    <w:rsid w:val="004320F2"/>
    <w:rsid w:val="004325A1"/>
    <w:rsid w:val="00432894"/>
    <w:rsid w:val="00432A25"/>
    <w:rsid w:val="00432AA7"/>
    <w:rsid w:val="00432AE6"/>
    <w:rsid w:val="00432BBE"/>
    <w:rsid w:val="00432DE3"/>
    <w:rsid w:val="00432EA4"/>
    <w:rsid w:val="00432F85"/>
    <w:rsid w:val="00432FDA"/>
    <w:rsid w:val="00433007"/>
    <w:rsid w:val="00433156"/>
    <w:rsid w:val="0043342C"/>
    <w:rsid w:val="00433540"/>
    <w:rsid w:val="00433593"/>
    <w:rsid w:val="0043359C"/>
    <w:rsid w:val="00433681"/>
    <w:rsid w:val="004336A4"/>
    <w:rsid w:val="004337D6"/>
    <w:rsid w:val="004337F4"/>
    <w:rsid w:val="00433981"/>
    <w:rsid w:val="00433B27"/>
    <w:rsid w:val="00433C81"/>
    <w:rsid w:val="00433C96"/>
    <w:rsid w:val="00433CE7"/>
    <w:rsid w:val="00433D44"/>
    <w:rsid w:val="00433E59"/>
    <w:rsid w:val="00433FB8"/>
    <w:rsid w:val="00433FDE"/>
    <w:rsid w:val="00434109"/>
    <w:rsid w:val="00434247"/>
    <w:rsid w:val="004344DF"/>
    <w:rsid w:val="004345DB"/>
    <w:rsid w:val="004346E6"/>
    <w:rsid w:val="004347AF"/>
    <w:rsid w:val="00434845"/>
    <w:rsid w:val="0043490E"/>
    <w:rsid w:val="0043495B"/>
    <w:rsid w:val="00434B92"/>
    <w:rsid w:val="00434C46"/>
    <w:rsid w:val="00434DA2"/>
    <w:rsid w:val="00434E6F"/>
    <w:rsid w:val="00434F1C"/>
    <w:rsid w:val="0043503D"/>
    <w:rsid w:val="0043511C"/>
    <w:rsid w:val="00435133"/>
    <w:rsid w:val="00435138"/>
    <w:rsid w:val="004352C6"/>
    <w:rsid w:val="004352F7"/>
    <w:rsid w:val="0043532F"/>
    <w:rsid w:val="0043543A"/>
    <w:rsid w:val="00435488"/>
    <w:rsid w:val="004355BA"/>
    <w:rsid w:val="004356E6"/>
    <w:rsid w:val="00435795"/>
    <w:rsid w:val="004358CD"/>
    <w:rsid w:val="00435927"/>
    <w:rsid w:val="0043599C"/>
    <w:rsid w:val="004359B1"/>
    <w:rsid w:val="004359E8"/>
    <w:rsid w:val="00435A9D"/>
    <w:rsid w:val="00435B3C"/>
    <w:rsid w:val="00435BBF"/>
    <w:rsid w:val="00435BF5"/>
    <w:rsid w:val="00435C4B"/>
    <w:rsid w:val="00435C64"/>
    <w:rsid w:val="00436061"/>
    <w:rsid w:val="004361DA"/>
    <w:rsid w:val="00436298"/>
    <w:rsid w:val="00436299"/>
    <w:rsid w:val="004362A7"/>
    <w:rsid w:val="004367B6"/>
    <w:rsid w:val="00436857"/>
    <w:rsid w:val="00436A70"/>
    <w:rsid w:val="00436B87"/>
    <w:rsid w:val="00436C15"/>
    <w:rsid w:val="00436C1E"/>
    <w:rsid w:val="00436E15"/>
    <w:rsid w:val="00436E82"/>
    <w:rsid w:val="00436EA1"/>
    <w:rsid w:val="00436FB2"/>
    <w:rsid w:val="0043704B"/>
    <w:rsid w:val="0043710F"/>
    <w:rsid w:val="004372C5"/>
    <w:rsid w:val="0043731E"/>
    <w:rsid w:val="004373E9"/>
    <w:rsid w:val="004376DC"/>
    <w:rsid w:val="00437B55"/>
    <w:rsid w:val="00437D96"/>
    <w:rsid w:val="00437E91"/>
    <w:rsid w:val="00437EE6"/>
    <w:rsid w:val="00440276"/>
    <w:rsid w:val="00440283"/>
    <w:rsid w:val="0044034D"/>
    <w:rsid w:val="004403D5"/>
    <w:rsid w:val="00440948"/>
    <w:rsid w:val="00440B75"/>
    <w:rsid w:val="00440B9F"/>
    <w:rsid w:val="00440C23"/>
    <w:rsid w:val="00440D78"/>
    <w:rsid w:val="00441010"/>
    <w:rsid w:val="00441071"/>
    <w:rsid w:val="004410CB"/>
    <w:rsid w:val="00441179"/>
    <w:rsid w:val="004411BF"/>
    <w:rsid w:val="0044123E"/>
    <w:rsid w:val="0044136C"/>
    <w:rsid w:val="004413B7"/>
    <w:rsid w:val="0044143E"/>
    <w:rsid w:val="00441488"/>
    <w:rsid w:val="00441591"/>
    <w:rsid w:val="00441662"/>
    <w:rsid w:val="00441776"/>
    <w:rsid w:val="004418B2"/>
    <w:rsid w:val="00441921"/>
    <w:rsid w:val="00441ABF"/>
    <w:rsid w:val="00441C1C"/>
    <w:rsid w:val="00441DB0"/>
    <w:rsid w:val="00441F3C"/>
    <w:rsid w:val="00441F62"/>
    <w:rsid w:val="00441F6C"/>
    <w:rsid w:val="004420FD"/>
    <w:rsid w:val="00442177"/>
    <w:rsid w:val="00442348"/>
    <w:rsid w:val="004423D2"/>
    <w:rsid w:val="00442606"/>
    <w:rsid w:val="00442861"/>
    <w:rsid w:val="004428A0"/>
    <w:rsid w:val="004429D1"/>
    <w:rsid w:val="00442AB0"/>
    <w:rsid w:val="00442B24"/>
    <w:rsid w:val="00442C30"/>
    <w:rsid w:val="00442EDD"/>
    <w:rsid w:val="00443303"/>
    <w:rsid w:val="00443414"/>
    <w:rsid w:val="004434DE"/>
    <w:rsid w:val="00443634"/>
    <w:rsid w:val="00443699"/>
    <w:rsid w:val="004437D8"/>
    <w:rsid w:val="0044381E"/>
    <w:rsid w:val="004439AB"/>
    <w:rsid w:val="00443ADA"/>
    <w:rsid w:val="00443AFE"/>
    <w:rsid w:val="00443E55"/>
    <w:rsid w:val="00443FEA"/>
    <w:rsid w:val="004440CB"/>
    <w:rsid w:val="0044424B"/>
    <w:rsid w:val="0044435B"/>
    <w:rsid w:val="00444526"/>
    <w:rsid w:val="004445B1"/>
    <w:rsid w:val="00444986"/>
    <w:rsid w:val="004449AC"/>
    <w:rsid w:val="00444B00"/>
    <w:rsid w:val="00444B57"/>
    <w:rsid w:val="00444C89"/>
    <w:rsid w:val="00444D87"/>
    <w:rsid w:val="00444E77"/>
    <w:rsid w:val="00444EBB"/>
    <w:rsid w:val="00444EC0"/>
    <w:rsid w:val="00444F88"/>
    <w:rsid w:val="0044523E"/>
    <w:rsid w:val="00445714"/>
    <w:rsid w:val="0044580D"/>
    <w:rsid w:val="00445868"/>
    <w:rsid w:val="004458CC"/>
    <w:rsid w:val="00445903"/>
    <w:rsid w:val="00445AB3"/>
    <w:rsid w:val="00445C09"/>
    <w:rsid w:val="00445CF2"/>
    <w:rsid w:val="00445D43"/>
    <w:rsid w:val="00445EAE"/>
    <w:rsid w:val="004461DB"/>
    <w:rsid w:val="00446497"/>
    <w:rsid w:val="00446499"/>
    <w:rsid w:val="004464F1"/>
    <w:rsid w:val="00446586"/>
    <w:rsid w:val="004467E5"/>
    <w:rsid w:val="00446A3B"/>
    <w:rsid w:val="00446B4E"/>
    <w:rsid w:val="00446B7F"/>
    <w:rsid w:val="00446BF4"/>
    <w:rsid w:val="00446C35"/>
    <w:rsid w:val="00446E25"/>
    <w:rsid w:val="00446EEE"/>
    <w:rsid w:val="00446F7C"/>
    <w:rsid w:val="00446F82"/>
    <w:rsid w:val="00446FA4"/>
    <w:rsid w:val="00447074"/>
    <w:rsid w:val="004470B7"/>
    <w:rsid w:val="00447137"/>
    <w:rsid w:val="00447203"/>
    <w:rsid w:val="0044749B"/>
    <w:rsid w:val="004476C0"/>
    <w:rsid w:val="00447761"/>
    <w:rsid w:val="0044776B"/>
    <w:rsid w:val="004477A0"/>
    <w:rsid w:val="004477E0"/>
    <w:rsid w:val="00447B83"/>
    <w:rsid w:val="00447B86"/>
    <w:rsid w:val="00447C19"/>
    <w:rsid w:val="00447E2B"/>
    <w:rsid w:val="00447F89"/>
    <w:rsid w:val="0045007D"/>
    <w:rsid w:val="00450177"/>
    <w:rsid w:val="0045018A"/>
    <w:rsid w:val="00450252"/>
    <w:rsid w:val="004502E1"/>
    <w:rsid w:val="00450374"/>
    <w:rsid w:val="00450378"/>
    <w:rsid w:val="004505C8"/>
    <w:rsid w:val="004506CC"/>
    <w:rsid w:val="004506FE"/>
    <w:rsid w:val="00450855"/>
    <w:rsid w:val="00450C6E"/>
    <w:rsid w:val="00450D5A"/>
    <w:rsid w:val="00450DA2"/>
    <w:rsid w:val="00450E07"/>
    <w:rsid w:val="00450F7E"/>
    <w:rsid w:val="00451011"/>
    <w:rsid w:val="00451249"/>
    <w:rsid w:val="0045127D"/>
    <w:rsid w:val="0045150E"/>
    <w:rsid w:val="0045156D"/>
    <w:rsid w:val="0045189A"/>
    <w:rsid w:val="00451B62"/>
    <w:rsid w:val="00451BC4"/>
    <w:rsid w:val="00451C9D"/>
    <w:rsid w:val="00451E1C"/>
    <w:rsid w:val="00451F61"/>
    <w:rsid w:val="00452171"/>
    <w:rsid w:val="004523F4"/>
    <w:rsid w:val="00452411"/>
    <w:rsid w:val="004526A7"/>
    <w:rsid w:val="00452738"/>
    <w:rsid w:val="00452745"/>
    <w:rsid w:val="004527E5"/>
    <w:rsid w:val="004527FB"/>
    <w:rsid w:val="00452962"/>
    <w:rsid w:val="00452A1B"/>
    <w:rsid w:val="00452A57"/>
    <w:rsid w:val="00452A66"/>
    <w:rsid w:val="00452A69"/>
    <w:rsid w:val="00452A80"/>
    <w:rsid w:val="00452BE0"/>
    <w:rsid w:val="00452E93"/>
    <w:rsid w:val="00452F56"/>
    <w:rsid w:val="004530A1"/>
    <w:rsid w:val="004530EA"/>
    <w:rsid w:val="00453125"/>
    <w:rsid w:val="004531A2"/>
    <w:rsid w:val="004532DD"/>
    <w:rsid w:val="00453323"/>
    <w:rsid w:val="0045332B"/>
    <w:rsid w:val="004535F4"/>
    <w:rsid w:val="00453718"/>
    <w:rsid w:val="0045379A"/>
    <w:rsid w:val="00453832"/>
    <w:rsid w:val="00453862"/>
    <w:rsid w:val="004538EF"/>
    <w:rsid w:val="00453931"/>
    <w:rsid w:val="00453E98"/>
    <w:rsid w:val="00453EB5"/>
    <w:rsid w:val="00454031"/>
    <w:rsid w:val="00454199"/>
    <w:rsid w:val="004545C6"/>
    <w:rsid w:val="00454626"/>
    <w:rsid w:val="0045462C"/>
    <w:rsid w:val="00454785"/>
    <w:rsid w:val="0045478D"/>
    <w:rsid w:val="0045479A"/>
    <w:rsid w:val="00454992"/>
    <w:rsid w:val="004549B4"/>
    <w:rsid w:val="00454B06"/>
    <w:rsid w:val="00455006"/>
    <w:rsid w:val="00455016"/>
    <w:rsid w:val="00455296"/>
    <w:rsid w:val="004552F2"/>
    <w:rsid w:val="00455472"/>
    <w:rsid w:val="004554C1"/>
    <w:rsid w:val="00455628"/>
    <w:rsid w:val="0045575F"/>
    <w:rsid w:val="00455809"/>
    <w:rsid w:val="004559B7"/>
    <w:rsid w:val="004559D9"/>
    <w:rsid w:val="00455A32"/>
    <w:rsid w:val="00455B1F"/>
    <w:rsid w:val="00455C0C"/>
    <w:rsid w:val="00455F48"/>
    <w:rsid w:val="00455F8C"/>
    <w:rsid w:val="00456048"/>
    <w:rsid w:val="00456091"/>
    <w:rsid w:val="004560C8"/>
    <w:rsid w:val="004560D2"/>
    <w:rsid w:val="00456103"/>
    <w:rsid w:val="0045615A"/>
    <w:rsid w:val="0045627B"/>
    <w:rsid w:val="00456282"/>
    <w:rsid w:val="004562A1"/>
    <w:rsid w:val="00456534"/>
    <w:rsid w:val="004565E5"/>
    <w:rsid w:val="004565FB"/>
    <w:rsid w:val="004567A6"/>
    <w:rsid w:val="004568A5"/>
    <w:rsid w:val="004569F7"/>
    <w:rsid w:val="00456A3E"/>
    <w:rsid w:val="00456AD9"/>
    <w:rsid w:val="00456FD5"/>
    <w:rsid w:val="00457088"/>
    <w:rsid w:val="004570F5"/>
    <w:rsid w:val="00457432"/>
    <w:rsid w:val="004574E3"/>
    <w:rsid w:val="00457533"/>
    <w:rsid w:val="00457553"/>
    <w:rsid w:val="004577CE"/>
    <w:rsid w:val="0045784E"/>
    <w:rsid w:val="004578FA"/>
    <w:rsid w:val="00457AA1"/>
    <w:rsid w:val="00457AEB"/>
    <w:rsid w:val="00457BE1"/>
    <w:rsid w:val="00457C99"/>
    <w:rsid w:val="00457CB9"/>
    <w:rsid w:val="00457D7E"/>
    <w:rsid w:val="00457F46"/>
    <w:rsid w:val="00460035"/>
    <w:rsid w:val="004601FC"/>
    <w:rsid w:val="00460247"/>
    <w:rsid w:val="00460316"/>
    <w:rsid w:val="0046047D"/>
    <w:rsid w:val="004604E9"/>
    <w:rsid w:val="004605DF"/>
    <w:rsid w:val="004607A2"/>
    <w:rsid w:val="0046086F"/>
    <w:rsid w:val="00460A31"/>
    <w:rsid w:val="00460A39"/>
    <w:rsid w:val="00460A4B"/>
    <w:rsid w:val="00460B60"/>
    <w:rsid w:val="00460B6A"/>
    <w:rsid w:val="00460CF2"/>
    <w:rsid w:val="00460E1A"/>
    <w:rsid w:val="00460E44"/>
    <w:rsid w:val="00460E4E"/>
    <w:rsid w:val="00460E4F"/>
    <w:rsid w:val="00461024"/>
    <w:rsid w:val="00461055"/>
    <w:rsid w:val="00461107"/>
    <w:rsid w:val="004611A0"/>
    <w:rsid w:val="00461366"/>
    <w:rsid w:val="0046143D"/>
    <w:rsid w:val="0046157B"/>
    <w:rsid w:val="00461621"/>
    <w:rsid w:val="004616CD"/>
    <w:rsid w:val="0046192A"/>
    <w:rsid w:val="004619B5"/>
    <w:rsid w:val="00461ABF"/>
    <w:rsid w:val="00461AD2"/>
    <w:rsid w:val="00461B6D"/>
    <w:rsid w:val="00461D6F"/>
    <w:rsid w:val="00461DD4"/>
    <w:rsid w:val="00462212"/>
    <w:rsid w:val="00462218"/>
    <w:rsid w:val="004622EE"/>
    <w:rsid w:val="00462401"/>
    <w:rsid w:val="00462564"/>
    <w:rsid w:val="004625A2"/>
    <w:rsid w:val="0046284B"/>
    <w:rsid w:val="0046290E"/>
    <w:rsid w:val="00462B20"/>
    <w:rsid w:val="00462B2F"/>
    <w:rsid w:val="00462BB1"/>
    <w:rsid w:val="00462C35"/>
    <w:rsid w:val="00462C38"/>
    <w:rsid w:val="00462F92"/>
    <w:rsid w:val="00462FBF"/>
    <w:rsid w:val="004630DC"/>
    <w:rsid w:val="00463382"/>
    <w:rsid w:val="004633A3"/>
    <w:rsid w:val="00463495"/>
    <w:rsid w:val="004634F3"/>
    <w:rsid w:val="004638D0"/>
    <w:rsid w:val="0046391F"/>
    <w:rsid w:val="004639F8"/>
    <w:rsid w:val="00463A29"/>
    <w:rsid w:val="00463CC6"/>
    <w:rsid w:val="00463FFE"/>
    <w:rsid w:val="00464048"/>
    <w:rsid w:val="00464268"/>
    <w:rsid w:val="004642CD"/>
    <w:rsid w:val="00464362"/>
    <w:rsid w:val="00464392"/>
    <w:rsid w:val="0046440B"/>
    <w:rsid w:val="00464471"/>
    <w:rsid w:val="0046462F"/>
    <w:rsid w:val="00464A41"/>
    <w:rsid w:val="00464A84"/>
    <w:rsid w:val="00464A95"/>
    <w:rsid w:val="00464BCE"/>
    <w:rsid w:val="00464BE0"/>
    <w:rsid w:val="00464C0E"/>
    <w:rsid w:val="00464C99"/>
    <w:rsid w:val="00464D4B"/>
    <w:rsid w:val="00464D6C"/>
    <w:rsid w:val="00464E73"/>
    <w:rsid w:val="0046515C"/>
    <w:rsid w:val="004651FF"/>
    <w:rsid w:val="0046527F"/>
    <w:rsid w:val="0046544D"/>
    <w:rsid w:val="00465A28"/>
    <w:rsid w:val="00465A65"/>
    <w:rsid w:val="00465ACF"/>
    <w:rsid w:val="00465B60"/>
    <w:rsid w:val="00465E10"/>
    <w:rsid w:val="00466321"/>
    <w:rsid w:val="004663DB"/>
    <w:rsid w:val="00466416"/>
    <w:rsid w:val="0046658A"/>
    <w:rsid w:val="00466604"/>
    <w:rsid w:val="0046672C"/>
    <w:rsid w:val="0046679A"/>
    <w:rsid w:val="0046698F"/>
    <w:rsid w:val="004669DB"/>
    <w:rsid w:val="00466BD5"/>
    <w:rsid w:val="00466BF0"/>
    <w:rsid w:val="00466C86"/>
    <w:rsid w:val="00466CA9"/>
    <w:rsid w:val="00466D00"/>
    <w:rsid w:val="00466D05"/>
    <w:rsid w:val="00466EE6"/>
    <w:rsid w:val="00466FCE"/>
    <w:rsid w:val="00466FDE"/>
    <w:rsid w:val="00467089"/>
    <w:rsid w:val="00467149"/>
    <w:rsid w:val="004671D0"/>
    <w:rsid w:val="0046728B"/>
    <w:rsid w:val="004672CD"/>
    <w:rsid w:val="00467382"/>
    <w:rsid w:val="004673CB"/>
    <w:rsid w:val="004674DA"/>
    <w:rsid w:val="00467502"/>
    <w:rsid w:val="004679F0"/>
    <w:rsid w:val="00467AF7"/>
    <w:rsid w:val="00467BC1"/>
    <w:rsid w:val="00467C5C"/>
    <w:rsid w:val="00467CA4"/>
    <w:rsid w:val="00467E1C"/>
    <w:rsid w:val="00470015"/>
    <w:rsid w:val="00470264"/>
    <w:rsid w:val="00470274"/>
    <w:rsid w:val="00470395"/>
    <w:rsid w:val="004703C2"/>
    <w:rsid w:val="0047051A"/>
    <w:rsid w:val="004708AE"/>
    <w:rsid w:val="004708BA"/>
    <w:rsid w:val="00470940"/>
    <w:rsid w:val="00470998"/>
    <w:rsid w:val="00470A90"/>
    <w:rsid w:val="00470C83"/>
    <w:rsid w:val="00470D1E"/>
    <w:rsid w:val="00470EEC"/>
    <w:rsid w:val="00470F50"/>
    <w:rsid w:val="00471009"/>
    <w:rsid w:val="00471085"/>
    <w:rsid w:val="004712BE"/>
    <w:rsid w:val="0047155F"/>
    <w:rsid w:val="0047164A"/>
    <w:rsid w:val="004716CF"/>
    <w:rsid w:val="004716D8"/>
    <w:rsid w:val="004717E5"/>
    <w:rsid w:val="00471802"/>
    <w:rsid w:val="0047180A"/>
    <w:rsid w:val="004719FE"/>
    <w:rsid w:val="00471B3A"/>
    <w:rsid w:val="00471C70"/>
    <w:rsid w:val="00471C89"/>
    <w:rsid w:val="00471D07"/>
    <w:rsid w:val="00471E7B"/>
    <w:rsid w:val="00471ECF"/>
    <w:rsid w:val="00471F1E"/>
    <w:rsid w:val="00472010"/>
    <w:rsid w:val="0047206D"/>
    <w:rsid w:val="00472148"/>
    <w:rsid w:val="0047214D"/>
    <w:rsid w:val="00472214"/>
    <w:rsid w:val="0047223C"/>
    <w:rsid w:val="0047224F"/>
    <w:rsid w:val="004723A2"/>
    <w:rsid w:val="004725A1"/>
    <w:rsid w:val="00472803"/>
    <w:rsid w:val="004728D2"/>
    <w:rsid w:val="004728E8"/>
    <w:rsid w:val="00472BE2"/>
    <w:rsid w:val="00472C9A"/>
    <w:rsid w:val="00472D31"/>
    <w:rsid w:val="00472DB9"/>
    <w:rsid w:val="00472DBF"/>
    <w:rsid w:val="00472DD0"/>
    <w:rsid w:val="00473136"/>
    <w:rsid w:val="004733BB"/>
    <w:rsid w:val="0047360B"/>
    <w:rsid w:val="00473704"/>
    <w:rsid w:val="00473709"/>
    <w:rsid w:val="0047379C"/>
    <w:rsid w:val="004739FE"/>
    <w:rsid w:val="00473A46"/>
    <w:rsid w:val="00473B22"/>
    <w:rsid w:val="00473BAA"/>
    <w:rsid w:val="00473DBD"/>
    <w:rsid w:val="00473E54"/>
    <w:rsid w:val="004742A6"/>
    <w:rsid w:val="004746A3"/>
    <w:rsid w:val="00474834"/>
    <w:rsid w:val="004749D9"/>
    <w:rsid w:val="00474A2C"/>
    <w:rsid w:val="00474AE7"/>
    <w:rsid w:val="00474B7F"/>
    <w:rsid w:val="00474D35"/>
    <w:rsid w:val="00474D4B"/>
    <w:rsid w:val="00474DEB"/>
    <w:rsid w:val="00474E2D"/>
    <w:rsid w:val="00474F5B"/>
    <w:rsid w:val="0047507E"/>
    <w:rsid w:val="0047508B"/>
    <w:rsid w:val="004751ED"/>
    <w:rsid w:val="00475223"/>
    <w:rsid w:val="00475319"/>
    <w:rsid w:val="0047547A"/>
    <w:rsid w:val="00475755"/>
    <w:rsid w:val="004757B8"/>
    <w:rsid w:val="00475830"/>
    <w:rsid w:val="0047587F"/>
    <w:rsid w:val="00475CBE"/>
    <w:rsid w:val="00475D79"/>
    <w:rsid w:val="00475EBF"/>
    <w:rsid w:val="00475FAE"/>
    <w:rsid w:val="004760D4"/>
    <w:rsid w:val="00476143"/>
    <w:rsid w:val="004761AC"/>
    <w:rsid w:val="00476248"/>
    <w:rsid w:val="0047625D"/>
    <w:rsid w:val="0047631B"/>
    <w:rsid w:val="0047644E"/>
    <w:rsid w:val="004764C4"/>
    <w:rsid w:val="0047678B"/>
    <w:rsid w:val="004767F2"/>
    <w:rsid w:val="00476995"/>
    <w:rsid w:val="00476C02"/>
    <w:rsid w:val="00476C10"/>
    <w:rsid w:val="00476C28"/>
    <w:rsid w:val="00476D0E"/>
    <w:rsid w:val="00476D1C"/>
    <w:rsid w:val="00476D2A"/>
    <w:rsid w:val="00476D42"/>
    <w:rsid w:val="00476F2F"/>
    <w:rsid w:val="00476F69"/>
    <w:rsid w:val="0047702A"/>
    <w:rsid w:val="00477112"/>
    <w:rsid w:val="0047713D"/>
    <w:rsid w:val="004773B6"/>
    <w:rsid w:val="00477435"/>
    <w:rsid w:val="0047746D"/>
    <w:rsid w:val="004774FA"/>
    <w:rsid w:val="00477691"/>
    <w:rsid w:val="00477784"/>
    <w:rsid w:val="004777FE"/>
    <w:rsid w:val="004778B4"/>
    <w:rsid w:val="00477AC1"/>
    <w:rsid w:val="00477AC6"/>
    <w:rsid w:val="00477CF6"/>
    <w:rsid w:val="0048001F"/>
    <w:rsid w:val="004802AB"/>
    <w:rsid w:val="004802D9"/>
    <w:rsid w:val="0048033B"/>
    <w:rsid w:val="004804CB"/>
    <w:rsid w:val="004804E5"/>
    <w:rsid w:val="004805EC"/>
    <w:rsid w:val="00480664"/>
    <w:rsid w:val="00480901"/>
    <w:rsid w:val="00480A3D"/>
    <w:rsid w:val="00480B66"/>
    <w:rsid w:val="00480D7E"/>
    <w:rsid w:val="00480D94"/>
    <w:rsid w:val="00480DFD"/>
    <w:rsid w:val="00480E69"/>
    <w:rsid w:val="00480EF5"/>
    <w:rsid w:val="00480F44"/>
    <w:rsid w:val="00481023"/>
    <w:rsid w:val="0048116E"/>
    <w:rsid w:val="004814CD"/>
    <w:rsid w:val="00481539"/>
    <w:rsid w:val="004816C8"/>
    <w:rsid w:val="00481730"/>
    <w:rsid w:val="00481AE9"/>
    <w:rsid w:val="00481C34"/>
    <w:rsid w:val="00481DB8"/>
    <w:rsid w:val="00481EC1"/>
    <w:rsid w:val="00481FE4"/>
    <w:rsid w:val="004824A3"/>
    <w:rsid w:val="0048264C"/>
    <w:rsid w:val="00482650"/>
    <w:rsid w:val="00482852"/>
    <w:rsid w:val="00482B07"/>
    <w:rsid w:val="00482B5E"/>
    <w:rsid w:val="00482BEC"/>
    <w:rsid w:val="00482BF9"/>
    <w:rsid w:val="00482CC7"/>
    <w:rsid w:val="00482D79"/>
    <w:rsid w:val="00482DD8"/>
    <w:rsid w:val="00482E6C"/>
    <w:rsid w:val="00482F1E"/>
    <w:rsid w:val="00482F27"/>
    <w:rsid w:val="0048314D"/>
    <w:rsid w:val="004831D2"/>
    <w:rsid w:val="00483224"/>
    <w:rsid w:val="00483294"/>
    <w:rsid w:val="0048329F"/>
    <w:rsid w:val="004833E6"/>
    <w:rsid w:val="004833ED"/>
    <w:rsid w:val="00483484"/>
    <w:rsid w:val="0048354D"/>
    <w:rsid w:val="00483636"/>
    <w:rsid w:val="00483702"/>
    <w:rsid w:val="0048371D"/>
    <w:rsid w:val="00483744"/>
    <w:rsid w:val="0048376F"/>
    <w:rsid w:val="00483872"/>
    <w:rsid w:val="00483986"/>
    <w:rsid w:val="00483AFE"/>
    <w:rsid w:val="00483DCB"/>
    <w:rsid w:val="00483F96"/>
    <w:rsid w:val="00483FAC"/>
    <w:rsid w:val="0048402D"/>
    <w:rsid w:val="0048404B"/>
    <w:rsid w:val="00484075"/>
    <w:rsid w:val="00484129"/>
    <w:rsid w:val="00484350"/>
    <w:rsid w:val="0048436D"/>
    <w:rsid w:val="004843BB"/>
    <w:rsid w:val="00484594"/>
    <w:rsid w:val="004846A8"/>
    <w:rsid w:val="004846B1"/>
    <w:rsid w:val="0048475A"/>
    <w:rsid w:val="004847C3"/>
    <w:rsid w:val="0048488B"/>
    <w:rsid w:val="004848EE"/>
    <w:rsid w:val="0048492E"/>
    <w:rsid w:val="0048496E"/>
    <w:rsid w:val="00484A5A"/>
    <w:rsid w:val="00484B9B"/>
    <w:rsid w:val="00484BAD"/>
    <w:rsid w:val="00484BD2"/>
    <w:rsid w:val="00484D05"/>
    <w:rsid w:val="00484D75"/>
    <w:rsid w:val="00484EB9"/>
    <w:rsid w:val="00485071"/>
    <w:rsid w:val="004850CD"/>
    <w:rsid w:val="004850D4"/>
    <w:rsid w:val="0048512C"/>
    <w:rsid w:val="0048516B"/>
    <w:rsid w:val="004851A0"/>
    <w:rsid w:val="004851FB"/>
    <w:rsid w:val="00485217"/>
    <w:rsid w:val="0048525F"/>
    <w:rsid w:val="00485441"/>
    <w:rsid w:val="004855F6"/>
    <w:rsid w:val="00485701"/>
    <w:rsid w:val="0048585D"/>
    <w:rsid w:val="0048598F"/>
    <w:rsid w:val="0048599B"/>
    <w:rsid w:val="004859A0"/>
    <w:rsid w:val="00485AB5"/>
    <w:rsid w:val="00485B45"/>
    <w:rsid w:val="00485C24"/>
    <w:rsid w:val="00485C90"/>
    <w:rsid w:val="00485D04"/>
    <w:rsid w:val="00485F2E"/>
    <w:rsid w:val="00485F4C"/>
    <w:rsid w:val="00485F63"/>
    <w:rsid w:val="00485F6D"/>
    <w:rsid w:val="00485FC1"/>
    <w:rsid w:val="0048606F"/>
    <w:rsid w:val="00486117"/>
    <w:rsid w:val="0048614A"/>
    <w:rsid w:val="004861CD"/>
    <w:rsid w:val="004862C4"/>
    <w:rsid w:val="00486528"/>
    <w:rsid w:val="00486596"/>
    <w:rsid w:val="0048661E"/>
    <w:rsid w:val="00486649"/>
    <w:rsid w:val="004866BE"/>
    <w:rsid w:val="0048681B"/>
    <w:rsid w:val="00486988"/>
    <w:rsid w:val="004869D9"/>
    <w:rsid w:val="00486A7C"/>
    <w:rsid w:val="00486CA8"/>
    <w:rsid w:val="00486CE8"/>
    <w:rsid w:val="00486DB8"/>
    <w:rsid w:val="004871B8"/>
    <w:rsid w:val="00487249"/>
    <w:rsid w:val="004873A4"/>
    <w:rsid w:val="00487495"/>
    <w:rsid w:val="004874DC"/>
    <w:rsid w:val="0048752D"/>
    <w:rsid w:val="00487649"/>
    <w:rsid w:val="00487674"/>
    <w:rsid w:val="004877B6"/>
    <w:rsid w:val="00487A50"/>
    <w:rsid w:val="00487A72"/>
    <w:rsid w:val="00487A94"/>
    <w:rsid w:val="00487E36"/>
    <w:rsid w:val="00487F96"/>
    <w:rsid w:val="00487FED"/>
    <w:rsid w:val="004901F1"/>
    <w:rsid w:val="00490216"/>
    <w:rsid w:val="0049021A"/>
    <w:rsid w:val="004902B1"/>
    <w:rsid w:val="004902E9"/>
    <w:rsid w:val="00490341"/>
    <w:rsid w:val="0049040B"/>
    <w:rsid w:val="00490627"/>
    <w:rsid w:val="00490692"/>
    <w:rsid w:val="004907FD"/>
    <w:rsid w:val="00490945"/>
    <w:rsid w:val="004909FE"/>
    <w:rsid w:val="00490B92"/>
    <w:rsid w:val="00490DA4"/>
    <w:rsid w:val="004910A7"/>
    <w:rsid w:val="0049123A"/>
    <w:rsid w:val="004912BE"/>
    <w:rsid w:val="004912ED"/>
    <w:rsid w:val="0049132C"/>
    <w:rsid w:val="0049144A"/>
    <w:rsid w:val="00491490"/>
    <w:rsid w:val="004915CE"/>
    <w:rsid w:val="0049189D"/>
    <w:rsid w:val="004918E8"/>
    <w:rsid w:val="004918F7"/>
    <w:rsid w:val="004918FA"/>
    <w:rsid w:val="004919A6"/>
    <w:rsid w:val="004919F8"/>
    <w:rsid w:val="00491A85"/>
    <w:rsid w:val="00491B1B"/>
    <w:rsid w:val="00491B4C"/>
    <w:rsid w:val="00491B63"/>
    <w:rsid w:val="00491B82"/>
    <w:rsid w:val="00491C7C"/>
    <w:rsid w:val="00491E57"/>
    <w:rsid w:val="00491E5C"/>
    <w:rsid w:val="00491F09"/>
    <w:rsid w:val="0049221D"/>
    <w:rsid w:val="004923B1"/>
    <w:rsid w:val="0049264A"/>
    <w:rsid w:val="004926D1"/>
    <w:rsid w:val="0049272D"/>
    <w:rsid w:val="0049293A"/>
    <w:rsid w:val="00492967"/>
    <w:rsid w:val="00492A0F"/>
    <w:rsid w:val="00492BB5"/>
    <w:rsid w:val="00492BC9"/>
    <w:rsid w:val="00492BDE"/>
    <w:rsid w:val="00492BF8"/>
    <w:rsid w:val="00492C11"/>
    <w:rsid w:val="00492DBB"/>
    <w:rsid w:val="00492FAB"/>
    <w:rsid w:val="00493118"/>
    <w:rsid w:val="0049334D"/>
    <w:rsid w:val="0049338F"/>
    <w:rsid w:val="00493440"/>
    <w:rsid w:val="004934B2"/>
    <w:rsid w:val="00493642"/>
    <w:rsid w:val="004936BA"/>
    <w:rsid w:val="00493901"/>
    <w:rsid w:val="00493A26"/>
    <w:rsid w:val="00493B00"/>
    <w:rsid w:val="00493B10"/>
    <w:rsid w:val="00493B93"/>
    <w:rsid w:val="00493B99"/>
    <w:rsid w:val="00493C76"/>
    <w:rsid w:val="00493C94"/>
    <w:rsid w:val="00493DB9"/>
    <w:rsid w:val="00493DF8"/>
    <w:rsid w:val="00493F4F"/>
    <w:rsid w:val="00493F84"/>
    <w:rsid w:val="00493FD7"/>
    <w:rsid w:val="00494109"/>
    <w:rsid w:val="00494234"/>
    <w:rsid w:val="0049430C"/>
    <w:rsid w:val="00494311"/>
    <w:rsid w:val="004943A3"/>
    <w:rsid w:val="00494412"/>
    <w:rsid w:val="004944A5"/>
    <w:rsid w:val="004944BE"/>
    <w:rsid w:val="00494670"/>
    <w:rsid w:val="00494788"/>
    <w:rsid w:val="00494A98"/>
    <w:rsid w:val="00494B19"/>
    <w:rsid w:val="00494C4A"/>
    <w:rsid w:val="00495068"/>
    <w:rsid w:val="004951E6"/>
    <w:rsid w:val="004952C7"/>
    <w:rsid w:val="00495341"/>
    <w:rsid w:val="004954FE"/>
    <w:rsid w:val="00495505"/>
    <w:rsid w:val="004955AF"/>
    <w:rsid w:val="004956CA"/>
    <w:rsid w:val="0049570F"/>
    <w:rsid w:val="004958D7"/>
    <w:rsid w:val="00495C54"/>
    <w:rsid w:val="00495DD0"/>
    <w:rsid w:val="0049603B"/>
    <w:rsid w:val="004962E4"/>
    <w:rsid w:val="0049640F"/>
    <w:rsid w:val="004964BD"/>
    <w:rsid w:val="0049655D"/>
    <w:rsid w:val="0049678B"/>
    <w:rsid w:val="004969B3"/>
    <w:rsid w:val="00496A1B"/>
    <w:rsid w:val="00496AFA"/>
    <w:rsid w:val="00496B02"/>
    <w:rsid w:val="00496C74"/>
    <w:rsid w:val="00496CA9"/>
    <w:rsid w:val="00496EEE"/>
    <w:rsid w:val="00496F78"/>
    <w:rsid w:val="00496F99"/>
    <w:rsid w:val="004970A2"/>
    <w:rsid w:val="0049734C"/>
    <w:rsid w:val="00497513"/>
    <w:rsid w:val="00497599"/>
    <w:rsid w:val="00497692"/>
    <w:rsid w:val="004976D6"/>
    <w:rsid w:val="00497766"/>
    <w:rsid w:val="004977D7"/>
    <w:rsid w:val="00497816"/>
    <w:rsid w:val="0049781C"/>
    <w:rsid w:val="004978A6"/>
    <w:rsid w:val="00497B46"/>
    <w:rsid w:val="00497B98"/>
    <w:rsid w:val="00497D5B"/>
    <w:rsid w:val="00497DA8"/>
    <w:rsid w:val="00497E8A"/>
    <w:rsid w:val="00497F0E"/>
    <w:rsid w:val="00497F39"/>
    <w:rsid w:val="00497FB4"/>
    <w:rsid w:val="00497FBA"/>
    <w:rsid w:val="004A013E"/>
    <w:rsid w:val="004A0221"/>
    <w:rsid w:val="004A0483"/>
    <w:rsid w:val="004A04A9"/>
    <w:rsid w:val="004A04F2"/>
    <w:rsid w:val="004A0718"/>
    <w:rsid w:val="004A0870"/>
    <w:rsid w:val="004A09DB"/>
    <w:rsid w:val="004A0ACD"/>
    <w:rsid w:val="004A0B3C"/>
    <w:rsid w:val="004A0BCF"/>
    <w:rsid w:val="004A0BDF"/>
    <w:rsid w:val="004A0C7F"/>
    <w:rsid w:val="004A0CDC"/>
    <w:rsid w:val="004A0EDC"/>
    <w:rsid w:val="004A1370"/>
    <w:rsid w:val="004A1432"/>
    <w:rsid w:val="004A14E0"/>
    <w:rsid w:val="004A1529"/>
    <w:rsid w:val="004A177F"/>
    <w:rsid w:val="004A17C9"/>
    <w:rsid w:val="004A17EA"/>
    <w:rsid w:val="004A1916"/>
    <w:rsid w:val="004A1C5B"/>
    <w:rsid w:val="004A1CB5"/>
    <w:rsid w:val="004A1E8C"/>
    <w:rsid w:val="004A1ED4"/>
    <w:rsid w:val="004A204C"/>
    <w:rsid w:val="004A20CD"/>
    <w:rsid w:val="004A2257"/>
    <w:rsid w:val="004A2891"/>
    <w:rsid w:val="004A2A58"/>
    <w:rsid w:val="004A2C2D"/>
    <w:rsid w:val="004A2DF8"/>
    <w:rsid w:val="004A2E7A"/>
    <w:rsid w:val="004A2EF8"/>
    <w:rsid w:val="004A2EFE"/>
    <w:rsid w:val="004A2F4D"/>
    <w:rsid w:val="004A2F81"/>
    <w:rsid w:val="004A3026"/>
    <w:rsid w:val="004A3118"/>
    <w:rsid w:val="004A322F"/>
    <w:rsid w:val="004A323B"/>
    <w:rsid w:val="004A32B9"/>
    <w:rsid w:val="004A34EE"/>
    <w:rsid w:val="004A3823"/>
    <w:rsid w:val="004A38DE"/>
    <w:rsid w:val="004A3914"/>
    <w:rsid w:val="004A3941"/>
    <w:rsid w:val="004A397E"/>
    <w:rsid w:val="004A3A2A"/>
    <w:rsid w:val="004A3A56"/>
    <w:rsid w:val="004A3A79"/>
    <w:rsid w:val="004A3B5E"/>
    <w:rsid w:val="004A3D26"/>
    <w:rsid w:val="004A3DD8"/>
    <w:rsid w:val="004A3DE7"/>
    <w:rsid w:val="004A3F65"/>
    <w:rsid w:val="004A3F70"/>
    <w:rsid w:val="004A40C4"/>
    <w:rsid w:val="004A4277"/>
    <w:rsid w:val="004A4380"/>
    <w:rsid w:val="004A45FB"/>
    <w:rsid w:val="004A46F9"/>
    <w:rsid w:val="004A4783"/>
    <w:rsid w:val="004A47E4"/>
    <w:rsid w:val="004A4887"/>
    <w:rsid w:val="004A4930"/>
    <w:rsid w:val="004A4998"/>
    <w:rsid w:val="004A4A26"/>
    <w:rsid w:val="004A4CFC"/>
    <w:rsid w:val="004A4F60"/>
    <w:rsid w:val="004A50D7"/>
    <w:rsid w:val="004A549A"/>
    <w:rsid w:val="004A5547"/>
    <w:rsid w:val="004A557F"/>
    <w:rsid w:val="004A5733"/>
    <w:rsid w:val="004A5991"/>
    <w:rsid w:val="004A5C67"/>
    <w:rsid w:val="004A5D29"/>
    <w:rsid w:val="004A5D9C"/>
    <w:rsid w:val="004A5E8A"/>
    <w:rsid w:val="004A6055"/>
    <w:rsid w:val="004A60CA"/>
    <w:rsid w:val="004A60F7"/>
    <w:rsid w:val="004A6160"/>
    <w:rsid w:val="004A632B"/>
    <w:rsid w:val="004A6399"/>
    <w:rsid w:val="004A6443"/>
    <w:rsid w:val="004A646D"/>
    <w:rsid w:val="004A65D1"/>
    <w:rsid w:val="004A6698"/>
    <w:rsid w:val="004A677C"/>
    <w:rsid w:val="004A67DF"/>
    <w:rsid w:val="004A6949"/>
    <w:rsid w:val="004A6A41"/>
    <w:rsid w:val="004A6AA1"/>
    <w:rsid w:val="004A6BD5"/>
    <w:rsid w:val="004A6E21"/>
    <w:rsid w:val="004A6E3F"/>
    <w:rsid w:val="004A70EE"/>
    <w:rsid w:val="004A7250"/>
    <w:rsid w:val="004A7272"/>
    <w:rsid w:val="004A728A"/>
    <w:rsid w:val="004A7558"/>
    <w:rsid w:val="004A76B8"/>
    <w:rsid w:val="004A76CB"/>
    <w:rsid w:val="004A7787"/>
    <w:rsid w:val="004A7927"/>
    <w:rsid w:val="004A7E36"/>
    <w:rsid w:val="004A7EBD"/>
    <w:rsid w:val="004A7F23"/>
    <w:rsid w:val="004A7F76"/>
    <w:rsid w:val="004B0171"/>
    <w:rsid w:val="004B0270"/>
    <w:rsid w:val="004B0325"/>
    <w:rsid w:val="004B04FE"/>
    <w:rsid w:val="004B06E5"/>
    <w:rsid w:val="004B079A"/>
    <w:rsid w:val="004B08EE"/>
    <w:rsid w:val="004B09AB"/>
    <w:rsid w:val="004B0C47"/>
    <w:rsid w:val="004B0CF5"/>
    <w:rsid w:val="004B0D18"/>
    <w:rsid w:val="004B0DE8"/>
    <w:rsid w:val="004B12D1"/>
    <w:rsid w:val="004B1391"/>
    <w:rsid w:val="004B167E"/>
    <w:rsid w:val="004B16E1"/>
    <w:rsid w:val="004B16F9"/>
    <w:rsid w:val="004B1702"/>
    <w:rsid w:val="004B182B"/>
    <w:rsid w:val="004B185F"/>
    <w:rsid w:val="004B1866"/>
    <w:rsid w:val="004B192F"/>
    <w:rsid w:val="004B19C8"/>
    <w:rsid w:val="004B1AE1"/>
    <w:rsid w:val="004B1DA0"/>
    <w:rsid w:val="004B1E0D"/>
    <w:rsid w:val="004B1E66"/>
    <w:rsid w:val="004B1E94"/>
    <w:rsid w:val="004B1FD3"/>
    <w:rsid w:val="004B20F0"/>
    <w:rsid w:val="004B21C2"/>
    <w:rsid w:val="004B21C8"/>
    <w:rsid w:val="004B22A9"/>
    <w:rsid w:val="004B241A"/>
    <w:rsid w:val="004B244F"/>
    <w:rsid w:val="004B246D"/>
    <w:rsid w:val="004B263D"/>
    <w:rsid w:val="004B2781"/>
    <w:rsid w:val="004B27B2"/>
    <w:rsid w:val="004B293C"/>
    <w:rsid w:val="004B294D"/>
    <w:rsid w:val="004B2AAB"/>
    <w:rsid w:val="004B2ADC"/>
    <w:rsid w:val="004B2B63"/>
    <w:rsid w:val="004B2F38"/>
    <w:rsid w:val="004B2FEE"/>
    <w:rsid w:val="004B31D9"/>
    <w:rsid w:val="004B38D4"/>
    <w:rsid w:val="004B3DA3"/>
    <w:rsid w:val="004B3E23"/>
    <w:rsid w:val="004B413A"/>
    <w:rsid w:val="004B415A"/>
    <w:rsid w:val="004B4178"/>
    <w:rsid w:val="004B4297"/>
    <w:rsid w:val="004B44BA"/>
    <w:rsid w:val="004B46B8"/>
    <w:rsid w:val="004B47AD"/>
    <w:rsid w:val="004B491B"/>
    <w:rsid w:val="004B4A8F"/>
    <w:rsid w:val="004B4C0C"/>
    <w:rsid w:val="004B4D58"/>
    <w:rsid w:val="004B50E9"/>
    <w:rsid w:val="004B5148"/>
    <w:rsid w:val="004B529B"/>
    <w:rsid w:val="004B5390"/>
    <w:rsid w:val="004B53EA"/>
    <w:rsid w:val="004B55EE"/>
    <w:rsid w:val="004B5754"/>
    <w:rsid w:val="004B5792"/>
    <w:rsid w:val="004B57F8"/>
    <w:rsid w:val="004B58D6"/>
    <w:rsid w:val="004B5B2E"/>
    <w:rsid w:val="004B5DB4"/>
    <w:rsid w:val="004B5EFC"/>
    <w:rsid w:val="004B5F19"/>
    <w:rsid w:val="004B60EE"/>
    <w:rsid w:val="004B6154"/>
    <w:rsid w:val="004B62ED"/>
    <w:rsid w:val="004B63E7"/>
    <w:rsid w:val="004B650E"/>
    <w:rsid w:val="004B6608"/>
    <w:rsid w:val="004B661D"/>
    <w:rsid w:val="004B6648"/>
    <w:rsid w:val="004B66CC"/>
    <w:rsid w:val="004B67E0"/>
    <w:rsid w:val="004B6814"/>
    <w:rsid w:val="004B692B"/>
    <w:rsid w:val="004B699A"/>
    <w:rsid w:val="004B6D45"/>
    <w:rsid w:val="004B6D95"/>
    <w:rsid w:val="004B720C"/>
    <w:rsid w:val="004B7335"/>
    <w:rsid w:val="004B73C7"/>
    <w:rsid w:val="004B73DD"/>
    <w:rsid w:val="004B75E5"/>
    <w:rsid w:val="004B769B"/>
    <w:rsid w:val="004B782C"/>
    <w:rsid w:val="004B79F4"/>
    <w:rsid w:val="004B7A59"/>
    <w:rsid w:val="004B7A60"/>
    <w:rsid w:val="004B7B33"/>
    <w:rsid w:val="004B7B75"/>
    <w:rsid w:val="004B7C30"/>
    <w:rsid w:val="004B7C55"/>
    <w:rsid w:val="004B7D26"/>
    <w:rsid w:val="004C00AD"/>
    <w:rsid w:val="004C010D"/>
    <w:rsid w:val="004C012E"/>
    <w:rsid w:val="004C0131"/>
    <w:rsid w:val="004C021D"/>
    <w:rsid w:val="004C05B9"/>
    <w:rsid w:val="004C05EA"/>
    <w:rsid w:val="004C0694"/>
    <w:rsid w:val="004C06D5"/>
    <w:rsid w:val="004C0B07"/>
    <w:rsid w:val="004C0B42"/>
    <w:rsid w:val="004C0B98"/>
    <w:rsid w:val="004C0DB6"/>
    <w:rsid w:val="004C0DEF"/>
    <w:rsid w:val="004C0E23"/>
    <w:rsid w:val="004C0EA7"/>
    <w:rsid w:val="004C100C"/>
    <w:rsid w:val="004C1587"/>
    <w:rsid w:val="004C181B"/>
    <w:rsid w:val="004C1A47"/>
    <w:rsid w:val="004C1B3F"/>
    <w:rsid w:val="004C1BFE"/>
    <w:rsid w:val="004C1CB8"/>
    <w:rsid w:val="004C1F07"/>
    <w:rsid w:val="004C202B"/>
    <w:rsid w:val="004C225D"/>
    <w:rsid w:val="004C2502"/>
    <w:rsid w:val="004C2576"/>
    <w:rsid w:val="004C25AA"/>
    <w:rsid w:val="004C2634"/>
    <w:rsid w:val="004C27FD"/>
    <w:rsid w:val="004C2A50"/>
    <w:rsid w:val="004C2B46"/>
    <w:rsid w:val="004C306F"/>
    <w:rsid w:val="004C33D0"/>
    <w:rsid w:val="004C35B3"/>
    <w:rsid w:val="004C35CB"/>
    <w:rsid w:val="004C383C"/>
    <w:rsid w:val="004C3908"/>
    <w:rsid w:val="004C3AB0"/>
    <w:rsid w:val="004C3ADB"/>
    <w:rsid w:val="004C3C9F"/>
    <w:rsid w:val="004C3E91"/>
    <w:rsid w:val="004C3F14"/>
    <w:rsid w:val="004C4061"/>
    <w:rsid w:val="004C407E"/>
    <w:rsid w:val="004C412C"/>
    <w:rsid w:val="004C4442"/>
    <w:rsid w:val="004C4508"/>
    <w:rsid w:val="004C45A0"/>
    <w:rsid w:val="004C45BB"/>
    <w:rsid w:val="004C470F"/>
    <w:rsid w:val="004C47D7"/>
    <w:rsid w:val="004C48A4"/>
    <w:rsid w:val="004C4C1A"/>
    <w:rsid w:val="004C4E06"/>
    <w:rsid w:val="004C4E54"/>
    <w:rsid w:val="004C4EF2"/>
    <w:rsid w:val="004C4FDA"/>
    <w:rsid w:val="004C5088"/>
    <w:rsid w:val="004C50CE"/>
    <w:rsid w:val="004C5338"/>
    <w:rsid w:val="004C5433"/>
    <w:rsid w:val="004C5480"/>
    <w:rsid w:val="004C54A8"/>
    <w:rsid w:val="004C55AD"/>
    <w:rsid w:val="004C564F"/>
    <w:rsid w:val="004C56CD"/>
    <w:rsid w:val="004C575F"/>
    <w:rsid w:val="004C580A"/>
    <w:rsid w:val="004C58A7"/>
    <w:rsid w:val="004C5937"/>
    <w:rsid w:val="004C5F6E"/>
    <w:rsid w:val="004C5F7C"/>
    <w:rsid w:val="004C5F8B"/>
    <w:rsid w:val="004C5FE2"/>
    <w:rsid w:val="004C606D"/>
    <w:rsid w:val="004C61E1"/>
    <w:rsid w:val="004C62AC"/>
    <w:rsid w:val="004C6370"/>
    <w:rsid w:val="004C63A4"/>
    <w:rsid w:val="004C642E"/>
    <w:rsid w:val="004C6529"/>
    <w:rsid w:val="004C659C"/>
    <w:rsid w:val="004C65EC"/>
    <w:rsid w:val="004C65F3"/>
    <w:rsid w:val="004C660C"/>
    <w:rsid w:val="004C6736"/>
    <w:rsid w:val="004C680A"/>
    <w:rsid w:val="004C6890"/>
    <w:rsid w:val="004C68F2"/>
    <w:rsid w:val="004C69D1"/>
    <w:rsid w:val="004C6A37"/>
    <w:rsid w:val="004C6AE9"/>
    <w:rsid w:val="004C6B82"/>
    <w:rsid w:val="004C6C51"/>
    <w:rsid w:val="004C6C58"/>
    <w:rsid w:val="004C6D3D"/>
    <w:rsid w:val="004C6D58"/>
    <w:rsid w:val="004C6E78"/>
    <w:rsid w:val="004C70EC"/>
    <w:rsid w:val="004C7115"/>
    <w:rsid w:val="004C7325"/>
    <w:rsid w:val="004C74F9"/>
    <w:rsid w:val="004C7507"/>
    <w:rsid w:val="004C753F"/>
    <w:rsid w:val="004C778B"/>
    <w:rsid w:val="004C77CC"/>
    <w:rsid w:val="004C788B"/>
    <w:rsid w:val="004C7BC3"/>
    <w:rsid w:val="004C7D3C"/>
    <w:rsid w:val="004C7DFE"/>
    <w:rsid w:val="004D01A4"/>
    <w:rsid w:val="004D05BB"/>
    <w:rsid w:val="004D07C7"/>
    <w:rsid w:val="004D0844"/>
    <w:rsid w:val="004D0BB4"/>
    <w:rsid w:val="004D0BD1"/>
    <w:rsid w:val="004D0BF4"/>
    <w:rsid w:val="004D0C76"/>
    <w:rsid w:val="004D0C7F"/>
    <w:rsid w:val="004D0FAA"/>
    <w:rsid w:val="004D1058"/>
    <w:rsid w:val="004D1356"/>
    <w:rsid w:val="004D1586"/>
    <w:rsid w:val="004D1658"/>
    <w:rsid w:val="004D17F7"/>
    <w:rsid w:val="004D18AC"/>
    <w:rsid w:val="004D19F7"/>
    <w:rsid w:val="004D1BA7"/>
    <w:rsid w:val="004D1BD1"/>
    <w:rsid w:val="004D1EA1"/>
    <w:rsid w:val="004D1FD9"/>
    <w:rsid w:val="004D2132"/>
    <w:rsid w:val="004D21E6"/>
    <w:rsid w:val="004D2443"/>
    <w:rsid w:val="004D24AA"/>
    <w:rsid w:val="004D2533"/>
    <w:rsid w:val="004D287F"/>
    <w:rsid w:val="004D28CF"/>
    <w:rsid w:val="004D2A2F"/>
    <w:rsid w:val="004D2B6F"/>
    <w:rsid w:val="004D2BF2"/>
    <w:rsid w:val="004D2C4D"/>
    <w:rsid w:val="004D2D7B"/>
    <w:rsid w:val="004D2DFC"/>
    <w:rsid w:val="004D3176"/>
    <w:rsid w:val="004D33E7"/>
    <w:rsid w:val="004D34D3"/>
    <w:rsid w:val="004D35A7"/>
    <w:rsid w:val="004D362D"/>
    <w:rsid w:val="004D3757"/>
    <w:rsid w:val="004D3A27"/>
    <w:rsid w:val="004D3AA1"/>
    <w:rsid w:val="004D3B99"/>
    <w:rsid w:val="004D4124"/>
    <w:rsid w:val="004D4367"/>
    <w:rsid w:val="004D4532"/>
    <w:rsid w:val="004D4547"/>
    <w:rsid w:val="004D462D"/>
    <w:rsid w:val="004D475B"/>
    <w:rsid w:val="004D4A40"/>
    <w:rsid w:val="004D4AC5"/>
    <w:rsid w:val="004D4BB6"/>
    <w:rsid w:val="004D4C54"/>
    <w:rsid w:val="004D4CC8"/>
    <w:rsid w:val="004D4DD4"/>
    <w:rsid w:val="004D503B"/>
    <w:rsid w:val="004D5248"/>
    <w:rsid w:val="004D5306"/>
    <w:rsid w:val="004D5386"/>
    <w:rsid w:val="004D53E9"/>
    <w:rsid w:val="004D5974"/>
    <w:rsid w:val="004D5998"/>
    <w:rsid w:val="004D5B08"/>
    <w:rsid w:val="004D5B69"/>
    <w:rsid w:val="004D5B99"/>
    <w:rsid w:val="004D5CAD"/>
    <w:rsid w:val="004D5D39"/>
    <w:rsid w:val="004D5D61"/>
    <w:rsid w:val="004D5D99"/>
    <w:rsid w:val="004D5DBA"/>
    <w:rsid w:val="004D5E52"/>
    <w:rsid w:val="004D60C5"/>
    <w:rsid w:val="004D61DD"/>
    <w:rsid w:val="004D626B"/>
    <w:rsid w:val="004D6352"/>
    <w:rsid w:val="004D645E"/>
    <w:rsid w:val="004D65D9"/>
    <w:rsid w:val="004D66B1"/>
    <w:rsid w:val="004D66DF"/>
    <w:rsid w:val="004D6AB2"/>
    <w:rsid w:val="004D6E63"/>
    <w:rsid w:val="004D6F45"/>
    <w:rsid w:val="004D6FF5"/>
    <w:rsid w:val="004D6FFA"/>
    <w:rsid w:val="004D7112"/>
    <w:rsid w:val="004D711F"/>
    <w:rsid w:val="004D721A"/>
    <w:rsid w:val="004D7379"/>
    <w:rsid w:val="004D752D"/>
    <w:rsid w:val="004D7725"/>
    <w:rsid w:val="004D78B8"/>
    <w:rsid w:val="004D78E9"/>
    <w:rsid w:val="004D7E41"/>
    <w:rsid w:val="004D7EDA"/>
    <w:rsid w:val="004D7F43"/>
    <w:rsid w:val="004E01EC"/>
    <w:rsid w:val="004E01FB"/>
    <w:rsid w:val="004E0281"/>
    <w:rsid w:val="004E0522"/>
    <w:rsid w:val="004E0613"/>
    <w:rsid w:val="004E0616"/>
    <w:rsid w:val="004E06DF"/>
    <w:rsid w:val="004E07F6"/>
    <w:rsid w:val="004E080B"/>
    <w:rsid w:val="004E08D1"/>
    <w:rsid w:val="004E099F"/>
    <w:rsid w:val="004E0B89"/>
    <w:rsid w:val="004E0C1A"/>
    <w:rsid w:val="004E0CA0"/>
    <w:rsid w:val="004E0E3F"/>
    <w:rsid w:val="004E1421"/>
    <w:rsid w:val="004E1425"/>
    <w:rsid w:val="004E15EC"/>
    <w:rsid w:val="004E16C2"/>
    <w:rsid w:val="004E1849"/>
    <w:rsid w:val="004E19FE"/>
    <w:rsid w:val="004E1C57"/>
    <w:rsid w:val="004E1CD2"/>
    <w:rsid w:val="004E1D6E"/>
    <w:rsid w:val="004E1E91"/>
    <w:rsid w:val="004E1EB4"/>
    <w:rsid w:val="004E1F9F"/>
    <w:rsid w:val="004E1FE2"/>
    <w:rsid w:val="004E2023"/>
    <w:rsid w:val="004E2098"/>
    <w:rsid w:val="004E21CD"/>
    <w:rsid w:val="004E24AA"/>
    <w:rsid w:val="004E26F4"/>
    <w:rsid w:val="004E279B"/>
    <w:rsid w:val="004E2851"/>
    <w:rsid w:val="004E2996"/>
    <w:rsid w:val="004E2A4B"/>
    <w:rsid w:val="004E2AE1"/>
    <w:rsid w:val="004E2B09"/>
    <w:rsid w:val="004E2BA8"/>
    <w:rsid w:val="004E2C33"/>
    <w:rsid w:val="004E2C48"/>
    <w:rsid w:val="004E2CDF"/>
    <w:rsid w:val="004E2D53"/>
    <w:rsid w:val="004E2F59"/>
    <w:rsid w:val="004E30A0"/>
    <w:rsid w:val="004E311F"/>
    <w:rsid w:val="004E3562"/>
    <w:rsid w:val="004E36A4"/>
    <w:rsid w:val="004E37B8"/>
    <w:rsid w:val="004E396B"/>
    <w:rsid w:val="004E39A5"/>
    <w:rsid w:val="004E3CAD"/>
    <w:rsid w:val="004E3D4A"/>
    <w:rsid w:val="004E3D83"/>
    <w:rsid w:val="004E3E8E"/>
    <w:rsid w:val="004E3E99"/>
    <w:rsid w:val="004E3FA8"/>
    <w:rsid w:val="004E4096"/>
    <w:rsid w:val="004E412F"/>
    <w:rsid w:val="004E413C"/>
    <w:rsid w:val="004E41CE"/>
    <w:rsid w:val="004E41D3"/>
    <w:rsid w:val="004E44B6"/>
    <w:rsid w:val="004E4543"/>
    <w:rsid w:val="004E4621"/>
    <w:rsid w:val="004E4784"/>
    <w:rsid w:val="004E47BF"/>
    <w:rsid w:val="004E485D"/>
    <w:rsid w:val="004E4BBA"/>
    <w:rsid w:val="004E4D51"/>
    <w:rsid w:val="004E4DC9"/>
    <w:rsid w:val="004E4FA4"/>
    <w:rsid w:val="004E5064"/>
    <w:rsid w:val="004E52A7"/>
    <w:rsid w:val="004E534E"/>
    <w:rsid w:val="004E53BA"/>
    <w:rsid w:val="004E54A4"/>
    <w:rsid w:val="004E5558"/>
    <w:rsid w:val="004E55E0"/>
    <w:rsid w:val="004E590C"/>
    <w:rsid w:val="004E5921"/>
    <w:rsid w:val="004E5B3B"/>
    <w:rsid w:val="004E5BB6"/>
    <w:rsid w:val="004E5C8F"/>
    <w:rsid w:val="004E5E84"/>
    <w:rsid w:val="004E5EF0"/>
    <w:rsid w:val="004E5F7C"/>
    <w:rsid w:val="004E626C"/>
    <w:rsid w:val="004E641E"/>
    <w:rsid w:val="004E64EF"/>
    <w:rsid w:val="004E6797"/>
    <w:rsid w:val="004E68FA"/>
    <w:rsid w:val="004E6946"/>
    <w:rsid w:val="004E6BFC"/>
    <w:rsid w:val="004E6C03"/>
    <w:rsid w:val="004E6CD4"/>
    <w:rsid w:val="004E6CD8"/>
    <w:rsid w:val="004E6DFD"/>
    <w:rsid w:val="004E6E06"/>
    <w:rsid w:val="004E6E27"/>
    <w:rsid w:val="004E6E87"/>
    <w:rsid w:val="004E7066"/>
    <w:rsid w:val="004E7119"/>
    <w:rsid w:val="004E726C"/>
    <w:rsid w:val="004E731F"/>
    <w:rsid w:val="004E7423"/>
    <w:rsid w:val="004E7430"/>
    <w:rsid w:val="004E76BB"/>
    <w:rsid w:val="004E773A"/>
    <w:rsid w:val="004E7992"/>
    <w:rsid w:val="004E7A85"/>
    <w:rsid w:val="004E7AB9"/>
    <w:rsid w:val="004E7E05"/>
    <w:rsid w:val="004F01AC"/>
    <w:rsid w:val="004F01B9"/>
    <w:rsid w:val="004F0480"/>
    <w:rsid w:val="004F0522"/>
    <w:rsid w:val="004F06D1"/>
    <w:rsid w:val="004F0916"/>
    <w:rsid w:val="004F09ED"/>
    <w:rsid w:val="004F0A4A"/>
    <w:rsid w:val="004F0B2C"/>
    <w:rsid w:val="004F0BB8"/>
    <w:rsid w:val="004F0C4C"/>
    <w:rsid w:val="004F0C52"/>
    <w:rsid w:val="004F0CA2"/>
    <w:rsid w:val="004F0D12"/>
    <w:rsid w:val="004F0E98"/>
    <w:rsid w:val="004F0F45"/>
    <w:rsid w:val="004F0F83"/>
    <w:rsid w:val="004F11EE"/>
    <w:rsid w:val="004F1332"/>
    <w:rsid w:val="004F148A"/>
    <w:rsid w:val="004F156B"/>
    <w:rsid w:val="004F157F"/>
    <w:rsid w:val="004F159A"/>
    <w:rsid w:val="004F15D9"/>
    <w:rsid w:val="004F1725"/>
    <w:rsid w:val="004F18B5"/>
    <w:rsid w:val="004F18BA"/>
    <w:rsid w:val="004F19EC"/>
    <w:rsid w:val="004F1AA8"/>
    <w:rsid w:val="004F1AD8"/>
    <w:rsid w:val="004F1D2F"/>
    <w:rsid w:val="004F1D89"/>
    <w:rsid w:val="004F20BA"/>
    <w:rsid w:val="004F20D2"/>
    <w:rsid w:val="004F22BF"/>
    <w:rsid w:val="004F2326"/>
    <w:rsid w:val="004F2448"/>
    <w:rsid w:val="004F24CA"/>
    <w:rsid w:val="004F27B1"/>
    <w:rsid w:val="004F27C3"/>
    <w:rsid w:val="004F2811"/>
    <w:rsid w:val="004F2818"/>
    <w:rsid w:val="004F288B"/>
    <w:rsid w:val="004F2AB6"/>
    <w:rsid w:val="004F2C17"/>
    <w:rsid w:val="004F2CD1"/>
    <w:rsid w:val="004F2D98"/>
    <w:rsid w:val="004F2DFE"/>
    <w:rsid w:val="004F2FA5"/>
    <w:rsid w:val="004F3181"/>
    <w:rsid w:val="004F3398"/>
    <w:rsid w:val="004F3834"/>
    <w:rsid w:val="004F3B0A"/>
    <w:rsid w:val="004F3B4D"/>
    <w:rsid w:val="004F3C9E"/>
    <w:rsid w:val="004F3D2D"/>
    <w:rsid w:val="004F3FB7"/>
    <w:rsid w:val="004F40AE"/>
    <w:rsid w:val="004F40CC"/>
    <w:rsid w:val="004F4319"/>
    <w:rsid w:val="004F4329"/>
    <w:rsid w:val="004F4360"/>
    <w:rsid w:val="004F43D0"/>
    <w:rsid w:val="004F45DD"/>
    <w:rsid w:val="004F477D"/>
    <w:rsid w:val="004F492B"/>
    <w:rsid w:val="004F4947"/>
    <w:rsid w:val="004F4967"/>
    <w:rsid w:val="004F4A7F"/>
    <w:rsid w:val="004F4BFE"/>
    <w:rsid w:val="004F4D89"/>
    <w:rsid w:val="004F4E44"/>
    <w:rsid w:val="004F4E53"/>
    <w:rsid w:val="004F4F03"/>
    <w:rsid w:val="004F5028"/>
    <w:rsid w:val="004F51DE"/>
    <w:rsid w:val="004F52CB"/>
    <w:rsid w:val="004F52EB"/>
    <w:rsid w:val="004F530D"/>
    <w:rsid w:val="004F531C"/>
    <w:rsid w:val="004F53EC"/>
    <w:rsid w:val="004F54A5"/>
    <w:rsid w:val="004F5675"/>
    <w:rsid w:val="004F579E"/>
    <w:rsid w:val="004F58C4"/>
    <w:rsid w:val="004F5927"/>
    <w:rsid w:val="004F59D7"/>
    <w:rsid w:val="004F59FF"/>
    <w:rsid w:val="004F5A04"/>
    <w:rsid w:val="004F5A28"/>
    <w:rsid w:val="004F5A39"/>
    <w:rsid w:val="004F5BC7"/>
    <w:rsid w:val="004F5C0F"/>
    <w:rsid w:val="004F5C3C"/>
    <w:rsid w:val="004F5D3B"/>
    <w:rsid w:val="004F5E14"/>
    <w:rsid w:val="004F62CF"/>
    <w:rsid w:val="004F6472"/>
    <w:rsid w:val="004F647A"/>
    <w:rsid w:val="004F6493"/>
    <w:rsid w:val="004F666A"/>
    <w:rsid w:val="004F6716"/>
    <w:rsid w:val="004F67DF"/>
    <w:rsid w:val="004F68C4"/>
    <w:rsid w:val="004F6948"/>
    <w:rsid w:val="004F6B0A"/>
    <w:rsid w:val="004F6B34"/>
    <w:rsid w:val="004F6BF6"/>
    <w:rsid w:val="004F6FD3"/>
    <w:rsid w:val="004F6FE1"/>
    <w:rsid w:val="004F6FF1"/>
    <w:rsid w:val="004F7194"/>
    <w:rsid w:val="004F71E9"/>
    <w:rsid w:val="004F7207"/>
    <w:rsid w:val="004F736C"/>
    <w:rsid w:val="004F7664"/>
    <w:rsid w:val="004F7736"/>
    <w:rsid w:val="004F7A86"/>
    <w:rsid w:val="004F7AB6"/>
    <w:rsid w:val="004F7C7E"/>
    <w:rsid w:val="004F7E0E"/>
    <w:rsid w:val="004F7E4B"/>
    <w:rsid w:val="004F7EAF"/>
    <w:rsid w:val="0050001A"/>
    <w:rsid w:val="005000EE"/>
    <w:rsid w:val="0050012D"/>
    <w:rsid w:val="00500154"/>
    <w:rsid w:val="0050021D"/>
    <w:rsid w:val="00500303"/>
    <w:rsid w:val="0050038B"/>
    <w:rsid w:val="00500422"/>
    <w:rsid w:val="00500437"/>
    <w:rsid w:val="005004A9"/>
    <w:rsid w:val="0050053E"/>
    <w:rsid w:val="00500BEC"/>
    <w:rsid w:val="00500CFB"/>
    <w:rsid w:val="00500E78"/>
    <w:rsid w:val="00500E7E"/>
    <w:rsid w:val="00500F3B"/>
    <w:rsid w:val="00501155"/>
    <w:rsid w:val="00501310"/>
    <w:rsid w:val="0050134E"/>
    <w:rsid w:val="00501397"/>
    <w:rsid w:val="00501752"/>
    <w:rsid w:val="005017CB"/>
    <w:rsid w:val="005018DE"/>
    <w:rsid w:val="00501AB0"/>
    <w:rsid w:val="00501B16"/>
    <w:rsid w:val="00501BB1"/>
    <w:rsid w:val="00501BC0"/>
    <w:rsid w:val="00501BFD"/>
    <w:rsid w:val="00501C92"/>
    <w:rsid w:val="00501CBC"/>
    <w:rsid w:val="00501DEE"/>
    <w:rsid w:val="00502197"/>
    <w:rsid w:val="0050221C"/>
    <w:rsid w:val="00502258"/>
    <w:rsid w:val="005022A3"/>
    <w:rsid w:val="005022CF"/>
    <w:rsid w:val="00502414"/>
    <w:rsid w:val="0050255C"/>
    <w:rsid w:val="005025A6"/>
    <w:rsid w:val="00502786"/>
    <w:rsid w:val="00502791"/>
    <w:rsid w:val="0050283F"/>
    <w:rsid w:val="005029CE"/>
    <w:rsid w:val="00502AA0"/>
    <w:rsid w:val="00502BBF"/>
    <w:rsid w:val="00502F5D"/>
    <w:rsid w:val="00502F9E"/>
    <w:rsid w:val="00503193"/>
    <w:rsid w:val="005031A6"/>
    <w:rsid w:val="005032AA"/>
    <w:rsid w:val="00503390"/>
    <w:rsid w:val="005034DC"/>
    <w:rsid w:val="00503557"/>
    <w:rsid w:val="00503578"/>
    <w:rsid w:val="00503855"/>
    <w:rsid w:val="005038B6"/>
    <w:rsid w:val="005039CB"/>
    <w:rsid w:val="00503A7C"/>
    <w:rsid w:val="00503C37"/>
    <w:rsid w:val="00503DE9"/>
    <w:rsid w:val="00503E56"/>
    <w:rsid w:val="00503FBF"/>
    <w:rsid w:val="00503FC7"/>
    <w:rsid w:val="00503FE9"/>
    <w:rsid w:val="00504031"/>
    <w:rsid w:val="005040A2"/>
    <w:rsid w:val="005041F7"/>
    <w:rsid w:val="005043C8"/>
    <w:rsid w:val="00504453"/>
    <w:rsid w:val="005045AF"/>
    <w:rsid w:val="00504604"/>
    <w:rsid w:val="00504634"/>
    <w:rsid w:val="005047F0"/>
    <w:rsid w:val="00504803"/>
    <w:rsid w:val="00504985"/>
    <w:rsid w:val="005049B9"/>
    <w:rsid w:val="00504AB4"/>
    <w:rsid w:val="00504CDF"/>
    <w:rsid w:val="00504D22"/>
    <w:rsid w:val="00504E12"/>
    <w:rsid w:val="00504E7B"/>
    <w:rsid w:val="00504EE5"/>
    <w:rsid w:val="00504F09"/>
    <w:rsid w:val="00504F93"/>
    <w:rsid w:val="00504FAD"/>
    <w:rsid w:val="00505132"/>
    <w:rsid w:val="00505173"/>
    <w:rsid w:val="005053A2"/>
    <w:rsid w:val="00505431"/>
    <w:rsid w:val="00505451"/>
    <w:rsid w:val="005054AA"/>
    <w:rsid w:val="0050551B"/>
    <w:rsid w:val="0050558F"/>
    <w:rsid w:val="005055C0"/>
    <w:rsid w:val="005056F5"/>
    <w:rsid w:val="005058B6"/>
    <w:rsid w:val="005059A9"/>
    <w:rsid w:val="00505AA8"/>
    <w:rsid w:val="00505AAB"/>
    <w:rsid w:val="00505B5C"/>
    <w:rsid w:val="00505C7B"/>
    <w:rsid w:val="00505FD7"/>
    <w:rsid w:val="005060E2"/>
    <w:rsid w:val="00506286"/>
    <w:rsid w:val="005062A9"/>
    <w:rsid w:val="00506391"/>
    <w:rsid w:val="00506394"/>
    <w:rsid w:val="005064A9"/>
    <w:rsid w:val="005064E3"/>
    <w:rsid w:val="0050665F"/>
    <w:rsid w:val="00506669"/>
    <w:rsid w:val="0050669B"/>
    <w:rsid w:val="0050671E"/>
    <w:rsid w:val="00506892"/>
    <w:rsid w:val="005068F1"/>
    <w:rsid w:val="0050696C"/>
    <w:rsid w:val="005069DE"/>
    <w:rsid w:val="00506B8C"/>
    <w:rsid w:val="00506DC9"/>
    <w:rsid w:val="005071DE"/>
    <w:rsid w:val="00507244"/>
    <w:rsid w:val="0050735A"/>
    <w:rsid w:val="0050735E"/>
    <w:rsid w:val="00507407"/>
    <w:rsid w:val="00507427"/>
    <w:rsid w:val="00507466"/>
    <w:rsid w:val="00507560"/>
    <w:rsid w:val="005075B8"/>
    <w:rsid w:val="005076FA"/>
    <w:rsid w:val="00507710"/>
    <w:rsid w:val="0050781B"/>
    <w:rsid w:val="00507A36"/>
    <w:rsid w:val="00507ADB"/>
    <w:rsid w:val="00507BBA"/>
    <w:rsid w:val="00507EFC"/>
    <w:rsid w:val="00507F09"/>
    <w:rsid w:val="00510054"/>
    <w:rsid w:val="00510197"/>
    <w:rsid w:val="0051033D"/>
    <w:rsid w:val="00510549"/>
    <w:rsid w:val="0051073A"/>
    <w:rsid w:val="0051080E"/>
    <w:rsid w:val="00510813"/>
    <w:rsid w:val="00510835"/>
    <w:rsid w:val="0051083D"/>
    <w:rsid w:val="00510A8C"/>
    <w:rsid w:val="00510ADC"/>
    <w:rsid w:val="00510BCA"/>
    <w:rsid w:val="00510C07"/>
    <w:rsid w:val="00510DAC"/>
    <w:rsid w:val="00510FFB"/>
    <w:rsid w:val="00511058"/>
    <w:rsid w:val="005110B2"/>
    <w:rsid w:val="0051141A"/>
    <w:rsid w:val="00511442"/>
    <w:rsid w:val="0051156D"/>
    <w:rsid w:val="005115CC"/>
    <w:rsid w:val="005115F2"/>
    <w:rsid w:val="0051169A"/>
    <w:rsid w:val="005117C8"/>
    <w:rsid w:val="00511965"/>
    <w:rsid w:val="00511990"/>
    <w:rsid w:val="00511A93"/>
    <w:rsid w:val="00511AB9"/>
    <w:rsid w:val="00511BBC"/>
    <w:rsid w:val="00511CB5"/>
    <w:rsid w:val="00511DBD"/>
    <w:rsid w:val="00511DE0"/>
    <w:rsid w:val="00511F2E"/>
    <w:rsid w:val="00511F93"/>
    <w:rsid w:val="00512368"/>
    <w:rsid w:val="0051242F"/>
    <w:rsid w:val="00512570"/>
    <w:rsid w:val="005125F0"/>
    <w:rsid w:val="005127F1"/>
    <w:rsid w:val="005128DE"/>
    <w:rsid w:val="0051291C"/>
    <w:rsid w:val="00512A31"/>
    <w:rsid w:val="00512E9C"/>
    <w:rsid w:val="005130D6"/>
    <w:rsid w:val="00513340"/>
    <w:rsid w:val="005134A9"/>
    <w:rsid w:val="00513508"/>
    <w:rsid w:val="0051367B"/>
    <w:rsid w:val="005139AD"/>
    <w:rsid w:val="005139C1"/>
    <w:rsid w:val="00513A4D"/>
    <w:rsid w:val="00513A59"/>
    <w:rsid w:val="00513D4A"/>
    <w:rsid w:val="00513F37"/>
    <w:rsid w:val="00514032"/>
    <w:rsid w:val="0051414A"/>
    <w:rsid w:val="00514274"/>
    <w:rsid w:val="005143C2"/>
    <w:rsid w:val="005143E1"/>
    <w:rsid w:val="0051452B"/>
    <w:rsid w:val="00514634"/>
    <w:rsid w:val="005146EF"/>
    <w:rsid w:val="0051471C"/>
    <w:rsid w:val="00514724"/>
    <w:rsid w:val="005147FE"/>
    <w:rsid w:val="00514870"/>
    <w:rsid w:val="005148AE"/>
    <w:rsid w:val="00514B9B"/>
    <w:rsid w:val="00514C90"/>
    <w:rsid w:val="00514CAE"/>
    <w:rsid w:val="00514E5A"/>
    <w:rsid w:val="0051519C"/>
    <w:rsid w:val="00515251"/>
    <w:rsid w:val="00515285"/>
    <w:rsid w:val="00515376"/>
    <w:rsid w:val="005153C9"/>
    <w:rsid w:val="00515564"/>
    <w:rsid w:val="00515567"/>
    <w:rsid w:val="00515ACA"/>
    <w:rsid w:val="00515B4A"/>
    <w:rsid w:val="00515B4F"/>
    <w:rsid w:val="00515CD5"/>
    <w:rsid w:val="00515DAD"/>
    <w:rsid w:val="00515DCA"/>
    <w:rsid w:val="00515F39"/>
    <w:rsid w:val="00515F5D"/>
    <w:rsid w:val="00515FDC"/>
    <w:rsid w:val="005160A7"/>
    <w:rsid w:val="00516120"/>
    <w:rsid w:val="00516186"/>
    <w:rsid w:val="0051625D"/>
    <w:rsid w:val="00516279"/>
    <w:rsid w:val="00516462"/>
    <w:rsid w:val="0051668D"/>
    <w:rsid w:val="0051678D"/>
    <w:rsid w:val="00516CC8"/>
    <w:rsid w:val="00516D43"/>
    <w:rsid w:val="0051700F"/>
    <w:rsid w:val="0051723A"/>
    <w:rsid w:val="00517317"/>
    <w:rsid w:val="00517458"/>
    <w:rsid w:val="005174CA"/>
    <w:rsid w:val="00517523"/>
    <w:rsid w:val="00517581"/>
    <w:rsid w:val="00517590"/>
    <w:rsid w:val="005175D5"/>
    <w:rsid w:val="005176BF"/>
    <w:rsid w:val="005176D9"/>
    <w:rsid w:val="0051770E"/>
    <w:rsid w:val="0051776B"/>
    <w:rsid w:val="0051777B"/>
    <w:rsid w:val="0051781F"/>
    <w:rsid w:val="00517A4B"/>
    <w:rsid w:val="00517ECD"/>
    <w:rsid w:val="00517F02"/>
    <w:rsid w:val="00517F25"/>
    <w:rsid w:val="00517F37"/>
    <w:rsid w:val="00517FA8"/>
    <w:rsid w:val="00520182"/>
    <w:rsid w:val="00520269"/>
    <w:rsid w:val="005203B8"/>
    <w:rsid w:val="00520825"/>
    <w:rsid w:val="00520829"/>
    <w:rsid w:val="005208B9"/>
    <w:rsid w:val="00520A37"/>
    <w:rsid w:val="00520B5A"/>
    <w:rsid w:val="00520BEC"/>
    <w:rsid w:val="005210D7"/>
    <w:rsid w:val="00521132"/>
    <w:rsid w:val="00521301"/>
    <w:rsid w:val="005214AC"/>
    <w:rsid w:val="005214D2"/>
    <w:rsid w:val="005216CF"/>
    <w:rsid w:val="00521735"/>
    <w:rsid w:val="005217C6"/>
    <w:rsid w:val="00521874"/>
    <w:rsid w:val="005218E0"/>
    <w:rsid w:val="00521986"/>
    <w:rsid w:val="00521A02"/>
    <w:rsid w:val="00521A0F"/>
    <w:rsid w:val="00521B87"/>
    <w:rsid w:val="00521BC6"/>
    <w:rsid w:val="00521CBB"/>
    <w:rsid w:val="00521F8C"/>
    <w:rsid w:val="00521FE5"/>
    <w:rsid w:val="00522135"/>
    <w:rsid w:val="00522363"/>
    <w:rsid w:val="0052249D"/>
    <w:rsid w:val="005224A1"/>
    <w:rsid w:val="005224BB"/>
    <w:rsid w:val="005228B6"/>
    <w:rsid w:val="005229CB"/>
    <w:rsid w:val="00522BA0"/>
    <w:rsid w:val="00522BC8"/>
    <w:rsid w:val="00522C94"/>
    <w:rsid w:val="00522D7F"/>
    <w:rsid w:val="00522F1C"/>
    <w:rsid w:val="00522F37"/>
    <w:rsid w:val="00522FD1"/>
    <w:rsid w:val="00522FE9"/>
    <w:rsid w:val="00523096"/>
    <w:rsid w:val="005230A2"/>
    <w:rsid w:val="005230D3"/>
    <w:rsid w:val="0052317D"/>
    <w:rsid w:val="00523362"/>
    <w:rsid w:val="005233C2"/>
    <w:rsid w:val="00523447"/>
    <w:rsid w:val="0052349A"/>
    <w:rsid w:val="005234BB"/>
    <w:rsid w:val="00523522"/>
    <w:rsid w:val="005236FE"/>
    <w:rsid w:val="0052374B"/>
    <w:rsid w:val="0052377B"/>
    <w:rsid w:val="005237DB"/>
    <w:rsid w:val="005238C7"/>
    <w:rsid w:val="005239C2"/>
    <w:rsid w:val="00523BCF"/>
    <w:rsid w:val="005241DB"/>
    <w:rsid w:val="0052422C"/>
    <w:rsid w:val="0052429D"/>
    <w:rsid w:val="00524303"/>
    <w:rsid w:val="00524403"/>
    <w:rsid w:val="00524598"/>
    <w:rsid w:val="005246B5"/>
    <w:rsid w:val="005246EC"/>
    <w:rsid w:val="0052473E"/>
    <w:rsid w:val="005248D5"/>
    <w:rsid w:val="00524907"/>
    <w:rsid w:val="005249E5"/>
    <w:rsid w:val="00524A3C"/>
    <w:rsid w:val="00524A6D"/>
    <w:rsid w:val="00524BE3"/>
    <w:rsid w:val="00524D9F"/>
    <w:rsid w:val="00524E2F"/>
    <w:rsid w:val="00524E71"/>
    <w:rsid w:val="00524FA7"/>
    <w:rsid w:val="00524FC0"/>
    <w:rsid w:val="00525058"/>
    <w:rsid w:val="005250EA"/>
    <w:rsid w:val="00525194"/>
    <w:rsid w:val="0052532D"/>
    <w:rsid w:val="00525336"/>
    <w:rsid w:val="005255F3"/>
    <w:rsid w:val="00525732"/>
    <w:rsid w:val="005258A2"/>
    <w:rsid w:val="005258F1"/>
    <w:rsid w:val="005258FE"/>
    <w:rsid w:val="005259A6"/>
    <w:rsid w:val="00525A51"/>
    <w:rsid w:val="00525BB9"/>
    <w:rsid w:val="00525F14"/>
    <w:rsid w:val="00526233"/>
    <w:rsid w:val="005265EA"/>
    <w:rsid w:val="00526673"/>
    <w:rsid w:val="0052669C"/>
    <w:rsid w:val="005266F8"/>
    <w:rsid w:val="0052673A"/>
    <w:rsid w:val="005267F4"/>
    <w:rsid w:val="00526840"/>
    <w:rsid w:val="0052691C"/>
    <w:rsid w:val="00526A60"/>
    <w:rsid w:val="00526B06"/>
    <w:rsid w:val="00526B1A"/>
    <w:rsid w:val="00526D40"/>
    <w:rsid w:val="005273EE"/>
    <w:rsid w:val="005274AB"/>
    <w:rsid w:val="00527550"/>
    <w:rsid w:val="005275BD"/>
    <w:rsid w:val="0052761F"/>
    <w:rsid w:val="00527675"/>
    <w:rsid w:val="00527809"/>
    <w:rsid w:val="005278D5"/>
    <w:rsid w:val="005279D0"/>
    <w:rsid w:val="00527C6D"/>
    <w:rsid w:val="00527D2B"/>
    <w:rsid w:val="00527D59"/>
    <w:rsid w:val="00527DA8"/>
    <w:rsid w:val="00527EA9"/>
    <w:rsid w:val="00527FA4"/>
    <w:rsid w:val="005302E0"/>
    <w:rsid w:val="00530386"/>
    <w:rsid w:val="0053042A"/>
    <w:rsid w:val="005305D1"/>
    <w:rsid w:val="005305EB"/>
    <w:rsid w:val="0053060C"/>
    <w:rsid w:val="0053071B"/>
    <w:rsid w:val="00530725"/>
    <w:rsid w:val="00530B01"/>
    <w:rsid w:val="00530B8D"/>
    <w:rsid w:val="00530C37"/>
    <w:rsid w:val="00531162"/>
    <w:rsid w:val="00531216"/>
    <w:rsid w:val="00531397"/>
    <w:rsid w:val="005313C0"/>
    <w:rsid w:val="00531429"/>
    <w:rsid w:val="005314ED"/>
    <w:rsid w:val="0053158D"/>
    <w:rsid w:val="0053165A"/>
    <w:rsid w:val="0053165D"/>
    <w:rsid w:val="005317EB"/>
    <w:rsid w:val="00531872"/>
    <w:rsid w:val="005318A8"/>
    <w:rsid w:val="005319CB"/>
    <w:rsid w:val="00531B7F"/>
    <w:rsid w:val="00531D21"/>
    <w:rsid w:val="00531DF0"/>
    <w:rsid w:val="00531F1A"/>
    <w:rsid w:val="00531F38"/>
    <w:rsid w:val="00531FAE"/>
    <w:rsid w:val="00532092"/>
    <w:rsid w:val="0053210B"/>
    <w:rsid w:val="00532122"/>
    <w:rsid w:val="005321FC"/>
    <w:rsid w:val="00532234"/>
    <w:rsid w:val="005322DD"/>
    <w:rsid w:val="00532355"/>
    <w:rsid w:val="005323AA"/>
    <w:rsid w:val="005323FD"/>
    <w:rsid w:val="00532509"/>
    <w:rsid w:val="00532577"/>
    <w:rsid w:val="005325D5"/>
    <w:rsid w:val="005326AC"/>
    <w:rsid w:val="005326F8"/>
    <w:rsid w:val="00532770"/>
    <w:rsid w:val="005327B5"/>
    <w:rsid w:val="0053280A"/>
    <w:rsid w:val="005329AD"/>
    <w:rsid w:val="00532B90"/>
    <w:rsid w:val="00532D9A"/>
    <w:rsid w:val="00532DE4"/>
    <w:rsid w:val="00532E22"/>
    <w:rsid w:val="00532E7A"/>
    <w:rsid w:val="00533148"/>
    <w:rsid w:val="005331BA"/>
    <w:rsid w:val="0053324F"/>
    <w:rsid w:val="005332F7"/>
    <w:rsid w:val="005334BA"/>
    <w:rsid w:val="00533508"/>
    <w:rsid w:val="00533538"/>
    <w:rsid w:val="005335F8"/>
    <w:rsid w:val="00533603"/>
    <w:rsid w:val="005338B7"/>
    <w:rsid w:val="00533945"/>
    <w:rsid w:val="00533A3C"/>
    <w:rsid w:val="00533BC9"/>
    <w:rsid w:val="00533C8C"/>
    <w:rsid w:val="00533CC4"/>
    <w:rsid w:val="00533CDD"/>
    <w:rsid w:val="00533E4E"/>
    <w:rsid w:val="00534083"/>
    <w:rsid w:val="00534147"/>
    <w:rsid w:val="00534156"/>
    <w:rsid w:val="005341FD"/>
    <w:rsid w:val="0053465B"/>
    <w:rsid w:val="005346CA"/>
    <w:rsid w:val="00534B1B"/>
    <w:rsid w:val="00534B2A"/>
    <w:rsid w:val="00534B8D"/>
    <w:rsid w:val="00534CEC"/>
    <w:rsid w:val="00534CFD"/>
    <w:rsid w:val="00534E29"/>
    <w:rsid w:val="00534EA8"/>
    <w:rsid w:val="00534F8F"/>
    <w:rsid w:val="00535119"/>
    <w:rsid w:val="005352D7"/>
    <w:rsid w:val="00535560"/>
    <w:rsid w:val="00535594"/>
    <w:rsid w:val="0053572F"/>
    <w:rsid w:val="005357EF"/>
    <w:rsid w:val="00535956"/>
    <w:rsid w:val="00535A83"/>
    <w:rsid w:val="00535AEC"/>
    <w:rsid w:val="00535BF3"/>
    <w:rsid w:val="00535C05"/>
    <w:rsid w:val="00535DC5"/>
    <w:rsid w:val="00535DC9"/>
    <w:rsid w:val="00535E05"/>
    <w:rsid w:val="005360A8"/>
    <w:rsid w:val="005360F7"/>
    <w:rsid w:val="00536202"/>
    <w:rsid w:val="0053651E"/>
    <w:rsid w:val="005367A0"/>
    <w:rsid w:val="005368B7"/>
    <w:rsid w:val="00536A0A"/>
    <w:rsid w:val="00536AA1"/>
    <w:rsid w:val="00536B54"/>
    <w:rsid w:val="00536BA3"/>
    <w:rsid w:val="00536D7C"/>
    <w:rsid w:val="00536E15"/>
    <w:rsid w:val="00536E3E"/>
    <w:rsid w:val="00536FE6"/>
    <w:rsid w:val="005371B8"/>
    <w:rsid w:val="00537580"/>
    <w:rsid w:val="005377F8"/>
    <w:rsid w:val="00537905"/>
    <w:rsid w:val="00537A52"/>
    <w:rsid w:val="00537AB3"/>
    <w:rsid w:val="00537AF2"/>
    <w:rsid w:val="00537B08"/>
    <w:rsid w:val="00537B30"/>
    <w:rsid w:val="00537B80"/>
    <w:rsid w:val="00537BAC"/>
    <w:rsid w:val="00537C17"/>
    <w:rsid w:val="00537CAB"/>
    <w:rsid w:val="00537CDA"/>
    <w:rsid w:val="00537CE3"/>
    <w:rsid w:val="00537E65"/>
    <w:rsid w:val="00537FCC"/>
    <w:rsid w:val="00540133"/>
    <w:rsid w:val="00540196"/>
    <w:rsid w:val="005401AE"/>
    <w:rsid w:val="0054036D"/>
    <w:rsid w:val="00540384"/>
    <w:rsid w:val="005403AE"/>
    <w:rsid w:val="00540407"/>
    <w:rsid w:val="00540B49"/>
    <w:rsid w:val="00540BBA"/>
    <w:rsid w:val="00540BD2"/>
    <w:rsid w:val="00540C87"/>
    <w:rsid w:val="00540CD3"/>
    <w:rsid w:val="00540DCE"/>
    <w:rsid w:val="00540E0B"/>
    <w:rsid w:val="00540E3E"/>
    <w:rsid w:val="00541188"/>
    <w:rsid w:val="0054128B"/>
    <w:rsid w:val="0054133E"/>
    <w:rsid w:val="005413E3"/>
    <w:rsid w:val="005415F3"/>
    <w:rsid w:val="005416B4"/>
    <w:rsid w:val="00541870"/>
    <w:rsid w:val="00541CBE"/>
    <w:rsid w:val="00541D6E"/>
    <w:rsid w:val="005420DD"/>
    <w:rsid w:val="00542258"/>
    <w:rsid w:val="005422C4"/>
    <w:rsid w:val="005422FC"/>
    <w:rsid w:val="0054236B"/>
    <w:rsid w:val="00542374"/>
    <w:rsid w:val="00542389"/>
    <w:rsid w:val="0054243F"/>
    <w:rsid w:val="005425ED"/>
    <w:rsid w:val="0054268A"/>
    <w:rsid w:val="00542702"/>
    <w:rsid w:val="00542748"/>
    <w:rsid w:val="00542765"/>
    <w:rsid w:val="005427C2"/>
    <w:rsid w:val="005428E0"/>
    <w:rsid w:val="005429AA"/>
    <w:rsid w:val="005429DE"/>
    <w:rsid w:val="00542A3E"/>
    <w:rsid w:val="00542A72"/>
    <w:rsid w:val="00542B2A"/>
    <w:rsid w:val="00542E07"/>
    <w:rsid w:val="0054303D"/>
    <w:rsid w:val="00543098"/>
    <w:rsid w:val="0054317A"/>
    <w:rsid w:val="005431B6"/>
    <w:rsid w:val="0054322A"/>
    <w:rsid w:val="00543386"/>
    <w:rsid w:val="00543396"/>
    <w:rsid w:val="00543444"/>
    <w:rsid w:val="0054384E"/>
    <w:rsid w:val="005438EC"/>
    <w:rsid w:val="005439D3"/>
    <w:rsid w:val="00543B2A"/>
    <w:rsid w:val="00543BB8"/>
    <w:rsid w:val="00543CD9"/>
    <w:rsid w:val="00543CFD"/>
    <w:rsid w:val="00543DE0"/>
    <w:rsid w:val="00543E3E"/>
    <w:rsid w:val="00543E48"/>
    <w:rsid w:val="00543F52"/>
    <w:rsid w:val="0054401A"/>
    <w:rsid w:val="00544069"/>
    <w:rsid w:val="0054409B"/>
    <w:rsid w:val="005442F0"/>
    <w:rsid w:val="00544365"/>
    <w:rsid w:val="00544403"/>
    <w:rsid w:val="0054442E"/>
    <w:rsid w:val="00544AB4"/>
    <w:rsid w:val="00544C17"/>
    <w:rsid w:val="00544C2B"/>
    <w:rsid w:val="00544EBE"/>
    <w:rsid w:val="00545151"/>
    <w:rsid w:val="005451C9"/>
    <w:rsid w:val="00545424"/>
    <w:rsid w:val="0054549A"/>
    <w:rsid w:val="005454FC"/>
    <w:rsid w:val="0054560C"/>
    <w:rsid w:val="00545782"/>
    <w:rsid w:val="00545962"/>
    <w:rsid w:val="00545B07"/>
    <w:rsid w:val="00545C82"/>
    <w:rsid w:val="00545CB5"/>
    <w:rsid w:val="00545CCC"/>
    <w:rsid w:val="00545E17"/>
    <w:rsid w:val="00546210"/>
    <w:rsid w:val="00546350"/>
    <w:rsid w:val="00546459"/>
    <w:rsid w:val="00546480"/>
    <w:rsid w:val="005465D4"/>
    <w:rsid w:val="00546663"/>
    <w:rsid w:val="00546A51"/>
    <w:rsid w:val="00546C8B"/>
    <w:rsid w:val="00546C90"/>
    <w:rsid w:val="00546F05"/>
    <w:rsid w:val="00546F29"/>
    <w:rsid w:val="005470AF"/>
    <w:rsid w:val="0054750F"/>
    <w:rsid w:val="0054761A"/>
    <w:rsid w:val="00547678"/>
    <w:rsid w:val="0054790C"/>
    <w:rsid w:val="00547B61"/>
    <w:rsid w:val="00547B7C"/>
    <w:rsid w:val="00547C0F"/>
    <w:rsid w:val="00547DCF"/>
    <w:rsid w:val="00547ED5"/>
    <w:rsid w:val="00547F3D"/>
    <w:rsid w:val="005500AB"/>
    <w:rsid w:val="005502C0"/>
    <w:rsid w:val="00550397"/>
    <w:rsid w:val="00550572"/>
    <w:rsid w:val="005505F0"/>
    <w:rsid w:val="00550633"/>
    <w:rsid w:val="005507A9"/>
    <w:rsid w:val="00550884"/>
    <w:rsid w:val="005508A8"/>
    <w:rsid w:val="005508FF"/>
    <w:rsid w:val="00550A9A"/>
    <w:rsid w:val="00550AD4"/>
    <w:rsid w:val="00550B32"/>
    <w:rsid w:val="00550C7C"/>
    <w:rsid w:val="00551102"/>
    <w:rsid w:val="005511D3"/>
    <w:rsid w:val="0055134D"/>
    <w:rsid w:val="005513A6"/>
    <w:rsid w:val="005514AF"/>
    <w:rsid w:val="005514C8"/>
    <w:rsid w:val="005515FB"/>
    <w:rsid w:val="00551A0F"/>
    <w:rsid w:val="00551B01"/>
    <w:rsid w:val="00551C40"/>
    <w:rsid w:val="00551CE8"/>
    <w:rsid w:val="00551D56"/>
    <w:rsid w:val="005520AC"/>
    <w:rsid w:val="005520D0"/>
    <w:rsid w:val="00552135"/>
    <w:rsid w:val="0055230F"/>
    <w:rsid w:val="00552406"/>
    <w:rsid w:val="005524EE"/>
    <w:rsid w:val="00552573"/>
    <w:rsid w:val="00552646"/>
    <w:rsid w:val="005529D2"/>
    <w:rsid w:val="00552A1C"/>
    <w:rsid w:val="00552A51"/>
    <w:rsid w:val="00552BDF"/>
    <w:rsid w:val="00552C60"/>
    <w:rsid w:val="00552EF4"/>
    <w:rsid w:val="00552FBD"/>
    <w:rsid w:val="005530F0"/>
    <w:rsid w:val="005533FF"/>
    <w:rsid w:val="0055348D"/>
    <w:rsid w:val="00553537"/>
    <w:rsid w:val="00553676"/>
    <w:rsid w:val="0055376F"/>
    <w:rsid w:val="005537C1"/>
    <w:rsid w:val="00553853"/>
    <w:rsid w:val="0055387F"/>
    <w:rsid w:val="00553BE7"/>
    <w:rsid w:val="00553C8E"/>
    <w:rsid w:val="00553D75"/>
    <w:rsid w:val="00553E25"/>
    <w:rsid w:val="00553FF7"/>
    <w:rsid w:val="00554149"/>
    <w:rsid w:val="005541C5"/>
    <w:rsid w:val="00554224"/>
    <w:rsid w:val="005543C2"/>
    <w:rsid w:val="00554414"/>
    <w:rsid w:val="00554591"/>
    <w:rsid w:val="005546C0"/>
    <w:rsid w:val="005546FD"/>
    <w:rsid w:val="0055475A"/>
    <w:rsid w:val="00554842"/>
    <w:rsid w:val="00554908"/>
    <w:rsid w:val="00554A7B"/>
    <w:rsid w:val="00554A98"/>
    <w:rsid w:val="00554AD1"/>
    <w:rsid w:val="00554BA4"/>
    <w:rsid w:val="00554E08"/>
    <w:rsid w:val="00555081"/>
    <w:rsid w:val="005550DC"/>
    <w:rsid w:val="00555187"/>
    <w:rsid w:val="0055518A"/>
    <w:rsid w:val="00555429"/>
    <w:rsid w:val="00555670"/>
    <w:rsid w:val="0055572C"/>
    <w:rsid w:val="005557FE"/>
    <w:rsid w:val="005558BF"/>
    <w:rsid w:val="005558CB"/>
    <w:rsid w:val="00555A33"/>
    <w:rsid w:val="00555BCF"/>
    <w:rsid w:val="00555EDD"/>
    <w:rsid w:val="00555F21"/>
    <w:rsid w:val="00555F78"/>
    <w:rsid w:val="00555F92"/>
    <w:rsid w:val="005561A8"/>
    <w:rsid w:val="00556213"/>
    <w:rsid w:val="005562E2"/>
    <w:rsid w:val="005563BA"/>
    <w:rsid w:val="005564EB"/>
    <w:rsid w:val="00556838"/>
    <w:rsid w:val="00556866"/>
    <w:rsid w:val="00556AD7"/>
    <w:rsid w:val="00556B75"/>
    <w:rsid w:val="00556C28"/>
    <w:rsid w:val="00556D57"/>
    <w:rsid w:val="00556F3D"/>
    <w:rsid w:val="00556F6F"/>
    <w:rsid w:val="00556FA5"/>
    <w:rsid w:val="00556FE1"/>
    <w:rsid w:val="0055712D"/>
    <w:rsid w:val="005572B2"/>
    <w:rsid w:val="00557335"/>
    <w:rsid w:val="0055754F"/>
    <w:rsid w:val="0055757A"/>
    <w:rsid w:val="005576F0"/>
    <w:rsid w:val="005578B2"/>
    <w:rsid w:val="005578FB"/>
    <w:rsid w:val="00557A08"/>
    <w:rsid w:val="00557A9C"/>
    <w:rsid w:val="00557C0A"/>
    <w:rsid w:val="00557F03"/>
    <w:rsid w:val="00557FE9"/>
    <w:rsid w:val="0056001E"/>
    <w:rsid w:val="0056004D"/>
    <w:rsid w:val="00560093"/>
    <w:rsid w:val="0056009C"/>
    <w:rsid w:val="005601AB"/>
    <w:rsid w:val="005601C8"/>
    <w:rsid w:val="00560228"/>
    <w:rsid w:val="0056055E"/>
    <w:rsid w:val="00560769"/>
    <w:rsid w:val="005608B2"/>
    <w:rsid w:val="00560969"/>
    <w:rsid w:val="00560A90"/>
    <w:rsid w:val="00560CD4"/>
    <w:rsid w:val="00560D77"/>
    <w:rsid w:val="00560D9A"/>
    <w:rsid w:val="00560E07"/>
    <w:rsid w:val="00560E0E"/>
    <w:rsid w:val="00560F4E"/>
    <w:rsid w:val="00560FC7"/>
    <w:rsid w:val="00561016"/>
    <w:rsid w:val="0056106A"/>
    <w:rsid w:val="005611AF"/>
    <w:rsid w:val="00561286"/>
    <w:rsid w:val="0056150F"/>
    <w:rsid w:val="005615B2"/>
    <w:rsid w:val="00561684"/>
    <w:rsid w:val="00561B58"/>
    <w:rsid w:val="00561C6B"/>
    <w:rsid w:val="00561CFB"/>
    <w:rsid w:val="00561D45"/>
    <w:rsid w:val="00561ECD"/>
    <w:rsid w:val="00561F0C"/>
    <w:rsid w:val="00562010"/>
    <w:rsid w:val="00562114"/>
    <w:rsid w:val="005621BB"/>
    <w:rsid w:val="00562262"/>
    <w:rsid w:val="00562280"/>
    <w:rsid w:val="0056256C"/>
    <w:rsid w:val="00562589"/>
    <w:rsid w:val="00562609"/>
    <w:rsid w:val="00562689"/>
    <w:rsid w:val="005626CD"/>
    <w:rsid w:val="00562703"/>
    <w:rsid w:val="00562736"/>
    <w:rsid w:val="005627FB"/>
    <w:rsid w:val="0056289E"/>
    <w:rsid w:val="00562A25"/>
    <w:rsid w:val="00562D93"/>
    <w:rsid w:val="00562D9F"/>
    <w:rsid w:val="00562DED"/>
    <w:rsid w:val="00562DFB"/>
    <w:rsid w:val="00562E5B"/>
    <w:rsid w:val="00562EA3"/>
    <w:rsid w:val="00562F74"/>
    <w:rsid w:val="00563035"/>
    <w:rsid w:val="005631A9"/>
    <w:rsid w:val="00563201"/>
    <w:rsid w:val="0056335B"/>
    <w:rsid w:val="0056359E"/>
    <w:rsid w:val="00563656"/>
    <w:rsid w:val="005636EE"/>
    <w:rsid w:val="0056378A"/>
    <w:rsid w:val="005638CB"/>
    <w:rsid w:val="00563B35"/>
    <w:rsid w:val="00563C85"/>
    <w:rsid w:val="00563D28"/>
    <w:rsid w:val="00563D39"/>
    <w:rsid w:val="00563DC1"/>
    <w:rsid w:val="00563E79"/>
    <w:rsid w:val="00563E9F"/>
    <w:rsid w:val="00563F63"/>
    <w:rsid w:val="00564202"/>
    <w:rsid w:val="00564373"/>
    <w:rsid w:val="00564486"/>
    <w:rsid w:val="005645EF"/>
    <w:rsid w:val="00564635"/>
    <w:rsid w:val="00564792"/>
    <w:rsid w:val="005648A9"/>
    <w:rsid w:val="005648F5"/>
    <w:rsid w:val="005649DA"/>
    <w:rsid w:val="00564A8E"/>
    <w:rsid w:val="00564B68"/>
    <w:rsid w:val="00564BBC"/>
    <w:rsid w:val="00564BC8"/>
    <w:rsid w:val="00564CF5"/>
    <w:rsid w:val="00564D2E"/>
    <w:rsid w:val="00564E6E"/>
    <w:rsid w:val="00564ECD"/>
    <w:rsid w:val="00564ED0"/>
    <w:rsid w:val="00564FFD"/>
    <w:rsid w:val="0056534A"/>
    <w:rsid w:val="00565433"/>
    <w:rsid w:val="00565466"/>
    <w:rsid w:val="0056553D"/>
    <w:rsid w:val="00565585"/>
    <w:rsid w:val="005656ED"/>
    <w:rsid w:val="00565749"/>
    <w:rsid w:val="00565781"/>
    <w:rsid w:val="005658F5"/>
    <w:rsid w:val="0056592A"/>
    <w:rsid w:val="005659EB"/>
    <w:rsid w:val="00565DB9"/>
    <w:rsid w:val="00565E1C"/>
    <w:rsid w:val="0056610E"/>
    <w:rsid w:val="005661AE"/>
    <w:rsid w:val="005663A6"/>
    <w:rsid w:val="0056644E"/>
    <w:rsid w:val="0056648C"/>
    <w:rsid w:val="0056651A"/>
    <w:rsid w:val="0056695B"/>
    <w:rsid w:val="005669E3"/>
    <w:rsid w:val="00566C1A"/>
    <w:rsid w:val="00566C6D"/>
    <w:rsid w:val="00566CA7"/>
    <w:rsid w:val="00566CDF"/>
    <w:rsid w:val="00566E45"/>
    <w:rsid w:val="00566E9E"/>
    <w:rsid w:val="00566EAD"/>
    <w:rsid w:val="005672DD"/>
    <w:rsid w:val="00567345"/>
    <w:rsid w:val="005673DD"/>
    <w:rsid w:val="005673E3"/>
    <w:rsid w:val="0056754A"/>
    <w:rsid w:val="00567593"/>
    <w:rsid w:val="005675DF"/>
    <w:rsid w:val="005675FF"/>
    <w:rsid w:val="005676AB"/>
    <w:rsid w:val="00567756"/>
    <w:rsid w:val="0056777B"/>
    <w:rsid w:val="00567947"/>
    <w:rsid w:val="005679F9"/>
    <w:rsid w:val="00567AED"/>
    <w:rsid w:val="00567AFA"/>
    <w:rsid w:val="00567B2D"/>
    <w:rsid w:val="00567D12"/>
    <w:rsid w:val="00567D5E"/>
    <w:rsid w:val="00567D8C"/>
    <w:rsid w:val="00567F04"/>
    <w:rsid w:val="00567F59"/>
    <w:rsid w:val="00570002"/>
    <w:rsid w:val="005702E5"/>
    <w:rsid w:val="00570355"/>
    <w:rsid w:val="005703AF"/>
    <w:rsid w:val="005703B8"/>
    <w:rsid w:val="00570474"/>
    <w:rsid w:val="00570501"/>
    <w:rsid w:val="0057057E"/>
    <w:rsid w:val="005705BF"/>
    <w:rsid w:val="00570799"/>
    <w:rsid w:val="005708B1"/>
    <w:rsid w:val="005708ED"/>
    <w:rsid w:val="005708F5"/>
    <w:rsid w:val="0057091A"/>
    <w:rsid w:val="005709FE"/>
    <w:rsid w:val="00570A18"/>
    <w:rsid w:val="00570A8F"/>
    <w:rsid w:val="00570C5A"/>
    <w:rsid w:val="00570D4B"/>
    <w:rsid w:val="00570EB0"/>
    <w:rsid w:val="005710F6"/>
    <w:rsid w:val="00571186"/>
    <w:rsid w:val="0057129A"/>
    <w:rsid w:val="005713B9"/>
    <w:rsid w:val="005713FF"/>
    <w:rsid w:val="0057144D"/>
    <w:rsid w:val="00571560"/>
    <w:rsid w:val="00571687"/>
    <w:rsid w:val="0057179D"/>
    <w:rsid w:val="005717B5"/>
    <w:rsid w:val="00571B4F"/>
    <w:rsid w:val="00571BF3"/>
    <w:rsid w:val="00571BF6"/>
    <w:rsid w:val="00571F3A"/>
    <w:rsid w:val="00572028"/>
    <w:rsid w:val="0057202D"/>
    <w:rsid w:val="005720AE"/>
    <w:rsid w:val="005721E8"/>
    <w:rsid w:val="005722D8"/>
    <w:rsid w:val="00572316"/>
    <w:rsid w:val="005725FA"/>
    <w:rsid w:val="00572846"/>
    <w:rsid w:val="00572AF2"/>
    <w:rsid w:val="00572BAB"/>
    <w:rsid w:val="00572D49"/>
    <w:rsid w:val="00572DB6"/>
    <w:rsid w:val="00572E57"/>
    <w:rsid w:val="0057305B"/>
    <w:rsid w:val="00573061"/>
    <w:rsid w:val="00573771"/>
    <w:rsid w:val="00573957"/>
    <w:rsid w:val="00573A6B"/>
    <w:rsid w:val="00573AAD"/>
    <w:rsid w:val="00573BE7"/>
    <w:rsid w:val="00573E0E"/>
    <w:rsid w:val="00573E74"/>
    <w:rsid w:val="0057400F"/>
    <w:rsid w:val="00574142"/>
    <w:rsid w:val="005741F8"/>
    <w:rsid w:val="00574237"/>
    <w:rsid w:val="00574262"/>
    <w:rsid w:val="0057438E"/>
    <w:rsid w:val="005743EF"/>
    <w:rsid w:val="005744AB"/>
    <w:rsid w:val="0057451B"/>
    <w:rsid w:val="0057456B"/>
    <w:rsid w:val="005745C3"/>
    <w:rsid w:val="005745E3"/>
    <w:rsid w:val="0057469A"/>
    <w:rsid w:val="0057484E"/>
    <w:rsid w:val="00574863"/>
    <w:rsid w:val="00574906"/>
    <w:rsid w:val="00574B10"/>
    <w:rsid w:val="00574C0B"/>
    <w:rsid w:val="00574C66"/>
    <w:rsid w:val="00574C7B"/>
    <w:rsid w:val="00574C87"/>
    <w:rsid w:val="00574C9A"/>
    <w:rsid w:val="00574D53"/>
    <w:rsid w:val="00574EAC"/>
    <w:rsid w:val="00574EDF"/>
    <w:rsid w:val="00574EFC"/>
    <w:rsid w:val="00574F52"/>
    <w:rsid w:val="00575313"/>
    <w:rsid w:val="005753B8"/>
    <w:rsid w:val="005753CE"/>
    <w:rsid w:val="005753FF"/>
    <w:rsid w:val="0057544A"/>
    <w:rsid w:val="00575598"/>
    <w:rsid w:val="005757BB"/>
    <w:rsid w:val="00575882"/>
    <w:rsid w:val="005759F2"/>
    <w:rsid w:val="00575B73"/>
    <w:rsid w:val="00575B8D"/>
    <w:rsid w:val="00575DEB"/>
    <w:rsid w:val="00575E3E"/>
    <w:rsid w:val="00576144"/>
    <w:rsid w:val="005762A5"/>
    <w:rsid w:val="00576622"/>
    <w:rsid w:val="0057662C"/>
    <w:rsid w:val="00576779"/>
    <w:rsid w:val="00576BCE"/>
    <w:rsid w:val="00576CC7"/>
    <w:rsid w:val="00576F2D"/>
    <w:rsid w:val="00576FE0"/>
    <w:rsid w:val="00576FF4"/>
    <w:rsid w:val="00577006"/>
    <w:rsid w:val="0057707E"/>
    <w:rsid w:val="005771A8"/>
    <w:rsid w:val="00577527"/>
    <w:rsid w:val="00577655"/>
    <w:rsid w:val="00577663"/>
    <w:rsid w:val="0057799A"/>
    <w:rsid w:val="005779B7"/>
    <w:rsid w:val="00577ABE"/>
    <w:rsid w:val="00577B51"/>
    <w:rsid w:val="00577BAC"/>
    <w:rsid w:val="00577C88"/>
    <w:rsid w:val="00577EB5"/>
    <w:rsid w:val="00577F22"/>
    <w:rsid w:val="00577F88"/>
    <w:rsid w:val="0058002E"/>
    <w:rsid w:val="0058007F"/>
    <w:rsid w:val="00580143"/>
    <w:rsid w:val="0058017D"/>
    <w:rsid w:val="0058022C"/>
    <w:rsid w:val="0058031E"/>
    <w:rsid w:val="00580427"/>
    <w:rsid w:val="0058064D"/>
    <w:rsid w:val="00580736"/>
    <w:rsid w:val="0058073E"/>
    <w:rsid w:val="00580759"/>
    <w:rsid w:val="00580831"/>
    <w:rsid w:val="0058084F"/>
    <w:rsid w:val="00580A41"/>
    <w:rsid w:val="00580ABD"/>
    <w:rsid w:val="00580AE2"/>
    <w:rsid w:val="00580C81"/>
    <w:rsid w:val="00580D6B"/>
    <w:rsid w:val="00580F1D"/>
    <w:rsid w:val="00580FF2"/>
    <w:rsid w:val="005810AC"/>
    <w:rsid w:val="00581205"/>
    <w:rsid w:val="005812B8"/>
    <w:rsid w:val="00581415"/>
    <w:rsid w:val="00581438"/>
    <w:rsid w:val="0058143D"/>
    <w:rsid w:val="00581440"/>
    <w:rsid w:val="00581524"/>
    <w:rsid w:val="00581A13"/>
    <w:rsid w:val="00581A30"/>
    <w:rsid w:val="00581AAD"/>
    <w:rsid w:val="00581AB5"/>
    <w:rsid w:val="00581B06"/>
    <w:rsid w:val="00581B6C"/>
    <w:rsid w:val="00581C99"/>
    <w:rsid w:val="00581FCD"/>
    <w:rsid w:val="00581FDB"/>
    <w:rsid w:val="005820A4"/>
    <w:rsid w:val="005820DC"/>
    <w:rsid w:val="00582343"/>
    <w:rsid w:val="00582355"/>
    <w:rsid w:val="005823AF"/>
    <w:rsid w:val="005824D3"/>
    <w:rsid w:val="00582732"/>
    <w:rsid w:val="00582975"/>
    <w:rsid w:val="00583069"/>
    <w:rsid w:val="00583113"/>
    <w:rsid w:val="005834FC"/>
    <w:rsid w:val="00583642"/>
    <w:rsid w:val="0058377C"/>
    <w:rsid w:val="005838D0"/>
    <w:rsid w:val="00583A2A"/>
    <w:rsid w:val="00583A46"/>
    <w:rsid w:val="00583BF5"/>
    <w:rsid w:val="00583D57"/>
    <w:rsid w:val="00583D68"/>
    <w:rsid w:val="00583F75"/>
    <w:rsid w:val="00583FB6"/>
    <w:rsid w:val="0058402D"/>
    <w:rsid w:val="005840B5"/>
    <w:rsid w:val="005840FA"/>
    <w:rsid w:val="0058416F"/>
    <w:rsid w:val="00584676"/>
    <w:rsid w:val="0058472D"/>
    <w:rsid w:val="00584959"/>
    <w:rsid w:val="00584A18"/>
    <w:rsid w:val="00584A6E"/>
    <w:rsid w:val="00584A7A"/>
    <w:rsid w:val="00584B34"/>
    <w:rsid w:val="00584BDF"/>
    <w:rsid w:val="00584CF7"/>
    <w:rsid w:val="00584D57"/>
    <w:rsid w:val="00584F73"/>
    <w:rsid w:val="00585045"/>
    <w:rsid w:val="00585110"/>
    <w:rsid w:val="005851DD"/>
    <w:rsid w:val="00585356"/>
    <w:rsid w:val="00585372"/>
    <w:rsid w:val="00585662"/>
    <w:rsid w:val="00585769"/>
    <w:rsid w:val="0058577C"/>
    <w:rsid w:val="005857D8"/>
    <w:rsid w:val="00585931"/>
    <w:rsid w:val="00585BB9"/>
    <w:rsid w:val="00585BE5"/>
    <w:rsid w:val="00585BE8"/>
    <w:rsid w:val="00585CAB"/>
    <w:rsid w:val="00585D7F"/>
    <w:rsid w:val="00585DEC"/>
    <w:rsid w:val="00585E6B"/>
    <w:rsid w:val="00585F9C"/>
    <w:rsid w:val="0058603F"/>
    <w:rsid w:val="00586161"/>
    <w:rsid w:val="005863B2"/>
    <w:rsid w:val="00586474"/>
    <w:rsid w:val="005865C1"/>
    <w:rsid w:val="0058662D"/>
    <w:rsid w:val="005866BD"/>
    <w:rsid w:val="00586717"/>
    <w:rsid w:val="005867C7"/>
    <w:rsid w:val="0058683D"/>
    <w:rsid w:val="005868F9"/>
    <w:rsid w:val="005869C6"/>
    <w:rsid w:val="00586A63"/>
    <w:rsid w:val="00586DDC"/>
    <w:rsid w:val="00586E2C"/>
    <w:rsid w:val="00586FD2"/>
    <w:rsid w:val="00586FDA"/>
    <w:rsid w:val="005870D2"/>
    <w:rsid w:val="005872D4"/>
    <w:rsid w:val="0058744C"/>
    <w:rsid w:val="00587521"/>
    <w:rsid w:val="00587638"/>
    <w:rsid w:val="00587840"/>
    <w:rsid w:val="00587869"/>
    <w:rsid w:val="005878D1"/>
    <w:rsid w:val="00587901"/>
    <w:rsid w:val="005879F8"/>
    <w:rsid w:val="00587C05"/>
    <w:rsid w:val="00587C93"/>
    <w:rsid w:val="00587CF7"/>
    <w:rsid w:val="00587D4F"/>
    <w:rsid w:val="00587F7A"/>
    <w:rsid w:val="00590098"/>
    <w:rsid w:val="005900AB"/>
    <w:rsid w:val="00590265"/>
    <w:rsid w:val="0059042B"/>
    <w:rsid w:val="0059047B"/>
    <w:rsid w:val="00590553"/>
    <w:rsid w:val="005907A6"/>
    <w:rsid w:val="005907E0"/>
    <w:rsid w:val="005908CE"/>
    <w:rsid w:val="00590A7B"/>
    <w:rsid w:val="00590AF5"/>
    <w:rsid w:val="00590BB0"/>
    <w:rsid w:val="00590BD1"/>
    <w:rsid w:val="00590C83"/>
    <w:rsid w:val="00590CAB"/>
    <w:rsid w:val="00590D8A"/>
    <w:rsid w:val="00590E0C"/>
    <w:rsid w:val="00590F26"/>
    <w:rsid w:val="00591299"/>
    <w:rsid w:val="005912D6"/>
    <w:rsid w:val="00591488"/>
    <w:rsid w:val="00591509"/>
    <w:rsid w:val="00591564"/>
    <w:rsid w:val="00591590"/>
    <w:rsid w:val="0059160A"/>
    <w:rsid w:val="005916FC"/>
    <w:rsid w:val="0059171B"/>
    <w:rsid w:val="005917B8"/>
    <w:rsid w:val="005917D3"/>
    <w:rsid w:val="00591866"/>
    <w:rsid w:val="005918DC"/>
    <w:rsid w:val="00591A02"/>
    <w:rsid w:val="00591A8C"/>
    <w:rsid w:val="00591A99"/>
    <w:rsid w:val="00591BFD"/>
    <w:rsid w:val="00591CA3"/>
    <w:rsid w:val="00591D62"/>
    <w:rsid w:val="00591DE9"/>
    <w:rsid w:val="00591E34"/>
    <w:rsid w:val="00592039"/>
    <w:rsid w:val="00592240"/>
    <w:rsid w:val="00592510"/>
    <w:rsid w:val="005925B1"/>
    <w:rsid w:val="005925E8"/>
    <w:rsid w:val="0059291C"/>
    <w:rsid w:val="00592923"/>
    <w:rsid w:val="00592A4B"/>
    <w:rsid w:val="00592B4D"/>
    <w:rsid w:val="00592BA9"/>
    <w:rsid w:val="00592C84"/>
    <w:rsid w:val="00592CB0"/>
    <w:rsid w:val="00592DFA"/>
    <w:rsid w:val="00593128"/>
    <w:rsid w:val="00593557"/>
    <w:rsid w:val="0059359E"/>
    <w:rsid w:val="005936F3"/>
    <w:rsid w:val="00593A20"/>
    <w:rsid w:val="00593ADE"/>
    <w:rsid w:val="00593D5E"/>
    <w:rsid w:val="00593F6D"/>
    <w:rsid w:val="00594105"/>
    <w:rsid w:val="0059425B"/>
    <w:rsid w:val="00594266"/>
    <w:rsid w:val="005944BD"/>
    <w:rsid w:val="0059458A"/>
    <w:rsid w:val="005945F3"/>
    <w:rsid w:val="00594693"/>
    <w:rsid w:val="005946E2"/>
    <w:rsid w:val="00594705"/>
    <w:rsid w:val="00594752"/>
    <w:rsid w:val="00594910"/>
    <w:rsid w:val="00594B4F"/>
    <w:rsid w:val="00594CAB"/>
    <w:rsid w:val="00594D77"/>
    <w:rsid w:val="00594E52"/>
    <w:rsid w:val="00594E62"/>
    <w:rsid w:val="00594FCF"/>
    <w:rsid w:val="00595006"/>
    <w:rsid w:val="00595143"/>
    <w:rsid w:val="00595203"/>
    <w:rsid w:val="005952D3"/>
    <w:rsid w:val="005953B1"/>
    <w:rsid w:val="00595435"/>
    <w:rsid w:val="005955D3"/>
    <w:rsid w:val="00595615"/>
    <w:rsid w:val="005957A8"/>
    <w:rsid w:val="005957D6"/>
    <w:rsid w:val="00595920"/>
    <w:rsid w:val="00595965"/>
    <w:rsid w:val="00595BFC"/>
    <w:rsid w:val="00595D81"/>
    <w:rsid w:val="00595E28"/>
    <w:rsid w:val="00595E39"/>
    <w:rsid w:val="00595E51"/>
    <w:rsid w:val="00596158"/>
    <w:rsid w:val="005969E4"/>
    <w:rsid w:val="00596D13"/>
    <w:rsid w:val="00596D64"/>
    <w:rsid w:val="00596E5B"/>
    <w:rsid w:val="00596F6F"/>
    <w:rsid w:val="00596F97"/>
    <w:rsid w:val="00597120"/>
    <w:rsid w:val="00597458"/>
    <w:rsid w:val="00597490"/>
    <w:rsid w:val="005974CF"/>
    <w:rsid w:val="0059753B"/>
    <w:rsid w:val="00597754"/>
    <w:rsid w:val="00597B2A"/>
    <w:rsid w:val="00597C73"/>
    <w:rsid w:val="00597D03"/>
    <w:rsid w:val="00597EA6"/>
    <w:rsid w:val="00597F2C"/>
    <w:rsid w:val="005A0063"/>
    <w:rsid w:val="005A00D2"/>
    <w:rsid w:val="005A0137"/>
    <w:rsid w:val="005A01BC"/>
    <w:rsid w:val="005A02A7"/>
    <w:rsid w:val="005A0433"/>
    <w:rsid w:val="005A0521"/>
    <w:rsid w:val="005A06B7"/>
    <w:rsid w:val="005A07B2"/>
    <w:rsid w:val="005A0942"/>
    <w:rsid w:val="005A0C27"/>
    <w:rsid w:val="005A0F66"/>
    <w:rsid w:val="005A0FBC"/>
    <w:rsid w:val="005A0FC4"/>
    <w:rsid w:val="005A10E4"/>
    <w:rsid w:val="005A115F"/>
    <w:rsid w:val="005A1186"/>
    <w:rsid w:val="005A132E"/>
    <w:rsid w:val="005A1544"/>
    <w:rsid w:val="005A159E"/>
    <w:rsid w:val="005A15CE"/>
    <w:rsid w:val="005A15D7"/>
    <w:rsid w:val="005A169C"/>
    <w:rsid w:val="005A1759"/>
    <w:rsid w:val="005A17BB"/>
    <w:rsid w:val="005A183B"/>
    <w:rsid w:val="005A1998"/>
    <w:rsid w:val="005A1AB7"/>
    <w:rsid w:val="005A1C4D"/>
    <w:rsid w:val="005A1C6D"/>
    <w:rsid w:val="005A1DD8"/>
    <w:rsid w:val="005A1E30"/>
    <w:rsid w:val="005A1EAB"/>
    <w:rsid w:val="005A21B2"/>
    <w:rsid w:val="005A2304"/>
    <w:rsid w:val="005A23BF"/>
    <w:rsid w:val="005A2682"/>
    <w:rsid w:val="005A26ED"/>
    <w:rsid w:val="005A27E1"/>
    <w:rsid w:val="005A281C"/>
    <w:rsid w:val="005A2938"/>
    <w:rsid w:val="005A2AD3"/>
    <w:rsid w:val="005A2DE0"/>
    <w:rsid w:val="005A2EE1"/>
    <w:rsid w:val="005A30EF"/>
    <w:rsid w:val="005A3270"/>
    <w:rsid w:val="005A33EB"/>
    <w:rsid w:val="005A340D"/>
    <w:rsid w:val="005A351D"/>
    <w:rsid w:val="005A35D3"/>
    <w:rsid w:val="005A35DD"/>
    <w:rsid w:val="005A36A2"/>
    <w:rsid w:val="005A37D8"/>
    <w:rsid w:val="005A383B"/>
    <w:rsid w:val="005A38B2"/>
    <w:rsid w:val="005A3904"/>
    <w:rsid w:val="005A3C14"/>
    <w:rsid w:val="005A3D8C"/>
    <w:rsid w:val="005A3E19"/>
    <w:rsid w:val="005A3F12"/>
    <w:rsid w:val="005A4234"/>
    <w:rsid w:val="005A4383"/>
    <w:rsid w:val="005A43CD"/>
    <w:rsid w:val="005A4469"/>
    <w:rsid w:val="005A45EA"/>
    <w:rsid w:val="005A46DA"/>
    <w:rsid w:val="005A46F7"/>
    <w:rsid w:val="005A480D"/>
    <w:rsid w:val="005A4905"/>
    <w:rsid w:val="005A491E"/>
    <w:rsid w:val="005A4D61"/>
    <w:rsid w:val="005A505B"/>
    <w:rsid w:val="005A50DD"/>
    <w:rsid w:val="005A5216"/>
    <w:rsid w:val="005A5446"/>
    <w:rsid w:val="005A5499"/>
    <w:rsid w:val="005A5535"/>
    <w:rsid w:val="005A55AA"/>
    <w:rsid w:val="005A55C2"/>
    <w:rsid w:val="005A57D2"/>
    <w:rsid w:val="005A5843"/>
    <w:rsid w:val="005A5AF1"/>
    <w:rsid w:val="005A5BF5"/>
    <w:rsid w:val="005A5CA6"/>
    <w:rsid w:val="005A5D45"/>
    <w:rsid w:val="005A5D4D"/>
    <w:rsid w:val="005A5DF5"/>
    <w:rsid w:val="005A5E3D"/>
    <w:rsid w:val="005A5E6A"/>
    <w:rsid w:val="005A5F85"/>
    <w:rsid w:val="005A5FE3"/>
    <w:rsid w:val="005A6021"/>
    <w:rsid w:val="005A6058"/>
    <w:rsid w:val="005A615B"/>
    <w:rsid w:val="005A626C"/>
    <w:rsid w:val="005A62EA"/>
    <w:rsid w:val="005A6396"/>
    <w:rsid w:val="005A639A"/>
    <w:rsid w:val="005A65DB"/>
    <w:rsid w:val="005A67E0"/>
    <w:rsid w:val="005A686B"/>
    <w:rsid w:val="005A68A7"/>
    <w:rsid w:val="005A6B84"/>
    <w:rsid w:val="005A6C29"/>
    <w:rsid w:val="005A6E61"/>
    <w:rsid w:val="005A6FBB"/>
    <w:rsid w:val="005A7061"/>
    <w:rsid w:val="005A7222"/>
    <w:rsid w:val="005A73B8"/>
    <w:rsid w:val="005A74C6"/>
    <w:rsid w:val="005A77CE"/>
    <w:rsid w:val="005A7A34"/>
    <w:rsid w:val="005A7C0F"/>
    <w:rsid w:val="005A7DF4"/>
    <w:rsid w:val="005A7E51"/>
    <w:rsid w:val="005A7F12"/>
    <w:rsid w:val="005A7F59"/>
    <w:rsid w:val="005A7FD0"/>
    <w:rsid w:val="005B0325"/>
    <w:rsid w:val="005B06CA"/>
    <w:rsid w:val="005B06E0"/>
    <w:rsid w:val="005B06FD"/>
    <w:rsid w:val="005B074B"/>
    <w:rsid w:val="005B07F1"/>
    <w:rsid w:val="005B080C"/>
    <w:rsid w:val="005B0B71"/>
    <w:rsid w:val="005B0BE7"/>
    <w:rsid w:val="005B0C53"/>
    <w:rsid w:val="005B0C57"/>
    <w:rsid w:val="005B0CD9"/>
    <w:rsid w:val="005B0DBB"/>
    <w:rsid w:val="005B109C"/>
    <w:rsid w:val="005B10C4"/>
    <w:rsid w:val="005B122C"/>
    <w:rsid w:val="005B1389"/>
    <w:rsid w:val="005B16D1"/>
    <w:rsid w:val="005B186F"/>
    <w:rsid w:val="005B1A18"/>
    <w:rsid w:val="005B1B67"/>
    <w:rsid w:val="005B1E96"/>
    <w:rsid w:val="005B1EDB"/>
    <w:rsid w:val="005B1FA1"/>
    <w:rsid w:val="005B1FF7"/>
    <w:rsid w:val="005B207B"/>
    <w:rsid w:val="005B2105"/>
    <w:rsid w:val="005B2309"/>
    <w:rsid w:val="005B2315"/>
    <w:rsid w:val="005B242B"/>
    <w:rsid w:val="005B257B"/>
    <w:rsid w:val="005B2695"/>
    <w:rsid w:val="005B2697"/>
    <w:rsid w:val="005B26CD"/>
    <w:rsid w:val="005B271C"/>
    <w:rsid w:val="005B284F"/>
    <w:rsid w:val="005B29A7"/>
    <w:rsid w:val="005B2B65"/>
    <w:rsid w:val="005B2BAC"/>
    <w:rsid w:val="005B2CB8"/>
    <w:rsid w:val="005B2CBE"/>
    <w:rsid w:val="005B2D49"/>
    <w:rsid w:val="005B2E17"/>
    <w:rsid w:val="005B2EF7"/>
    <w:rsid w:val="005B2FB0"/>
    <w:rsid w:val="005B30A2"/>
    <w:rsid w:val="005B30B4"/>
    <w:rsid w:val="005B31BA"/>
    <w:rsid w:val="005B3213"/>
    <w:rsid w:val="005B32BF"/>
    <w:rsid w:val="005B332D"/>
    <w:rsid w:val="005B3431"/>
    <w:rsid w:val="005B3473"/>
    <w:rsid w:val="005B34FB"/>
    <w:rsid w:val="005B3738"/>
    <w:rsid w:val="005B3773"/>
    <w:rsid w:val="005B3776"/>
    <w:rsid w:val="005B37E5"/>
    <w:rsid w:val="005B387B"/>
    <w:rsid w:val="005B3880"/>
    <w:rsid w:val="005B3993"/>
    <w:rsid w:val="005B3A37"/>
    <w:rsid w:val="005B3D9D"/>
    <w:rsid w:val="005B3DAA"/>
    <w:rsid w:val="005B40C3"/>
    <w:rsid w:val="005B40EB"/>
    <w:rsid w:val="005B458A"/>
    <w:rsid w:val="005B459C"/>
    <w:rsid w:val="005B4692"/>
    <w:rsid w:val="005B4733"/>
    <w:rsid w:val="005B47BE"/>
    <w:rsid w:val="005B488E"/>
    <w:rsid w:val="005B48D9"/>
    <w:rsid w:val="005B48DD"/>
    <w:rsid w:val="005B4ABF"/>
    <w:rsid w:val="005B4CB5"/>
    <w:rsid w:val="005B4CE3"/>
    <w:rsid w:val="005B4D07"/>
    <w:rsid w:val="005B4D79"/>
    <w:rsid w:val="005B4FF3"/>
    <w:rsid w:val="005B5439"/>
    <w:rsid w:val="005B5475"/>
    <w:rsid w:val="005B548A"/>
    <w:rsid w:val="005B54AD"/>
    <w:rsid w:val="005B558C"/>
    <w:rsid w:val="005B56D3"/>
    <w:rsid w:val="005B56D4"/>
    <w:rsid w:val="005B57E1"/>
    <w:rsid w:val="005B581B"/>
    <w:rsid w:val="005B5C90"/>
    <w:rsid w:val="005B5F3F"/>
    <w:rsid w:val="005B6182"/>
    <w:rsid w:val="005B63A6"/>
    <w:rsid w:val="005B65EA"/>
    <w:rsid w:val="005B65F6"/>
    <w:rsid w:val="005B66EF"/>
    <w:rsid w:val="005B670F"/>
    <w:rsid w:val="005B693E"/>
    <w:rsid w:val="005B6A08"/>
    <w:rsid w:val="005B6A0D"/>
    <w:rsid w:val="005B6AA1"/>
    <w:rsid w:val="005B6B8C"/>
    <w:rsid w:val="005B6CE6"/>
    <w:rsid w:val="005B6CFF"/>
    <w:rsid w:val="005B6D19"/>
    <w:rsid w:val="005B795D"/>
    <w:rsid w:val="005B7D7B"/>
    <w:rsid w:val="005B7E53"/>
    <w:rsid w:val="005B7F51"/>
    <w:rsid w:val="005C0055"/>
    <w:rsid w:val="005C043D"/>
    <w:rsid w:val="005C0594"/>
    <w:rsid w:val="005C05FB"/>
    <w:rsid w:val="005C063F"/>
    <w:rsid w:val="005C06A9"/>
    <w:rsid w:val="005C0855"/>
    <w:rsid w:val="005C08D4"/>
    <w:rsid w:val="005C08F4"/>
    <w:rsid w:val="005C0A51"/>
    <w:rsid w:val="005C0AF3"/>
    <w:rsid w:val="005C0D2E"/>
    <w:rsid w:val="005C0EC0"/>
    <w:rsid w:val="005C0F3A"/>
    <w:rsid w:val="005C10F2"/>
    <w:rsid w:val="005C11DE"/>
    <w:rsid w:val="005C13DF"/>
    <w:rsid w:val="005C157E"/>
    <w:rsid w:val="005C1730"/>
    <w:rsid w:val="005C1755"/>
    <w:rsid w:val="005C17B3"/>
    <w:rsid w:val="005C1890"/>
    <w:rsid w:val="005C1953"/>
    <w:rsid w:val="005C1AB5"/>
    <w:rsid w:val="005C1B46"/>
    <w:rsid w:val="005C1E58"/>
    <w:rsid w:val="005C1F50"/>
    <w:rsid w:val="005C20A3"/>
    <w:rsid w:val="005C2218"/>
    <w:rsid w:val="005C226B"/>
    <w:rsid w:val="005C23C2"/>
    <w:rsid w:val="005C25A6"/>
    <w:rsid w:val="005C26BF"/>
    <w:rsid w:val="005C285C"/>
    <w:rsid w:val="005C2922"/>
    <w:rsid w:val="005C2B4B"/>
    <w:rsid w:val="005C2C39"/>
    <w:rsid w:val="005C2C9E"/>
    <w:rsid w:val="005C2EA2"/>
    <w:rsid w:val="005C306F"/>
    <w:rsid w:val="005C30A1"/>
    <w:rsid w:val="005C3119"/>
    <w:rsid w:val="005C34A7"/>
    <w:rsid w:val="005C3590"/>
    <w:rsid w:val="005C361E"/>
    <w:rsid w:val="005C362F"/>
    <w:rsid w:val="005C388F"/>
    <w:rsid w:val="005C3A31"/>
    <w:rsid w:val="005C3AF7"/>
    <w:rsid w:val="005C3D18"/>
    <w:rsid w:val="005C3D7A"/>
    <w:rsid w:val="005C3D89"/>
    <w:rsid w:val="005C3DB1"/>
    <w:rsid w:val="005C3E15"/>
    <w:rsid w:val="005C3E80"/>
    <w:rsid w:val="005C407C"/>
    <w:rsid w:val="005C435F"/>
    <w:rsid w:val="005C45CC"/>
    <w:rsid w:val="005C4858"/>
    <w:rsid w:val="005C498E"/>
    <w:rsid w:val="005C49A6"/>
    <w:rsid w:val="005C4B8D"/>
    <w:rsid w:val="005C4CAF"/>
    <w:rsid w:val="005C4D86"/>
    <w:rsid w:val="005C52E3"/>
    <w:rsid w:val="005C5548"/>
    <w:rsid w:val="005C56C9"/>
    <w:rsid w:val="005C5840"/>
    <w:rsid w:val="005C59BF"/>
    <w:rsid w:val="005C59C8"/>
    <w:rsid w:val="005C5A85"/>
    <w:rsid w:val="005C5BBA"/>
    <w:rsid w:val="005C5CF7"/>
    <w:rsid w:val="005C5D14"/>
    <w:rsid w:val="005C5D54"/>
    <w:rsid w:val="005C6282"/>
    <w:rsid w:val="005C6304"/>
    <w:rsid w:val="005C6465"/>
    <w:rsid w:val="005C64FB"/>
    <w:rsid w:val="005C65A1"/>
    <w:rsid w:val="005C65F6"/>
    <w:rsid w:val="005C671D"/>
    <w:rsid w:val="005C6A12"/>
    <w:rsid w:val="005C6A8F"/>
    <w:rsid w:val="005C6ADE"/>
    <w:rsid w:val="005C6CF3"/>
    <w:rsid w:val="005C705E"/>
    <w:rsid w:val="005C7196"/>
    <w:rsid w:val="005C71C8"/>
    <w:rsid w:val="005C721B"/>
    <w:rsid w:val="005C7276"/>
    <w:rsid w:val="005C72BA"/>
    <w:rsid w:val="005C74D0"/>
    <w:rsid w:val="005C7517"/>
    <w:rsid w:val="005C7543"/>
    <w:rsid w:val="005C765A"/>
    <w:rsid w:val="005C7D02"/>
    <w:rsid w:val="005C7D30"/>
    <w:rsid w:val="005C7F3B"/>
    <w:rsid w:val="005C7F87"/>
    <w:rsid w:val="005D00C0"/>
    <w:rsid w:val="005D00D2"/>
    <w:rsid w:val="005D01D1"/>
    <w:rsid w:val="005D02CB"/>
    <w:rsid w:val="005D038F"/>
    <w:rsid w:val="005D0392"/>
    <w:rsid w:val="005D03D7"/>
    <w:rsid w:val="005D070A"/>
    <w:rsid w:val="005D0783"/>
    <w:rsid w:val="005D07F0"/>
    <w:rsid w:val="005D0832"/>
    <w:rsid w:val="005D08C5"/>
    <w:rsid w:val="005D0A0E"/>
    <w:rsid w:val="005D0D5D"/>
    <w:rsid w:val="005D0D7F"/>
    <w:rsid w:val="005D0E5A"/>
    <w:rsid w:val="005D101E"/>
    <w:rsid w:val="005D1029"/>
    <w:rsid w:val="005D11D5"/>
    <w:rsid w:val="005D1211"/>
    <w:rsid w:val="005D12F3"/>
    <w:rsid w:val="005D1492"/>
    <w:rsid w:val="005D15AC"/>
    <w:rsid w:val="005D1628"/>
    <w:rsid w:val="005D1772"/>
    <w:rsid w:val="005D1806"/>
    <w:rsid w:val="005D180F"/>
    <w:rsid w:val="005D18A9"/>
    <w:rsid w:val="005D19AF"/>
    <w:rsid w:val="005D1AA2"/>
    <w:rsid w:val="005D1AD8"/>
    <w:rsid w:val="005D1E52"/>
    <w:rsid w:val="005D1EAE"/>
    <w:rsid w:val="005D233C"/>
    <w:rsid w:val="005D2395"/>
    <w:rsid w:val="005D24D1"/>
    <w:rsid w:val="005D24EC"/>
    <w:rsid w:val="005D254B"/>
    <w:rsid w:val="005D269B"/>
    <w:rsid w:val="005D27FA"/>
    <w:rsid w:val="005D294C"/>
    <w:rsid w:val="005D2B05"/>
    <w:rsid w:val="005D2B94"/>
    <w:rsid w:val="005D2BD7"/>
    <w:rsid w:val="005D3070"/>
    <w:rsid w:val="005D3362"/>
    <w:rsid w:val="005D3372"/>
    <w:rsid w:val="005D33A1"/>
    <w:rsid w:val="005D33E2"/>
    <w:rsid w:val="005D341A"/>
    <w:rsid w:val="005D3587"/>
    <w:rsid w:val="005D3642"/>
    <w:rsid w:val="005D3668"/>
    <w:rsid w:val="005D36AB"/>
    <w:rsid w:val="005D36C3"/>
    <w:rsid w:val="005D37F8"/>
    <w:rsid w:val="005D38AD"/>
    <w:rsid w:val="005D3A6F"/>
    <w:rsid w:val="005D3C67"/>
    <w:rsid w:val="005D3C74"/>
    <w:rsid w:val="005D3F56"/>
    <w:rsid w:val="005D3FF9"/>
    <w:rsid w:val="005D4107"/>
    <w:rsid w:val="005D4259"/>
    <w:rsid w:val="005D42CF"/>
    <w:rsid w:val="005D43DB"/>
    <w:rsid w:val="005D453E"/>
    <w:rsid w:val="005D4547"/>
    <w:rsid w:val="005D4753"/>
    <w:rsid w:val="005D4788"/>
    <w:rsid w:val="005D47F0"/>
    <w:rsid w:val="005D4945"/>
    <w:rsid w:val="005D4957"/>
    <w:rsid w:val="005D4991"/>
    <w:rsid w:val="005D49B8"/>
    <w:rsid w:val="005D49C7"/>
    <w:rsid w:val="005D4A9C"/>
    <w:rsid w:val="005D4BD9"/>
    <w:rsid w:val="005D4BF3"/>
    <w:rsid w:val="005D4C35"/>
    <w:rsid w:val="005D4EA6"/>
    <w:rsid w:val="005D5097"/>
    <w:rsid w:val="005D5235"/>
    <w:rsid w:val="005D52BF"/>
    <w:rsid w:val="005D53AF"/>
    <w:rsid w:val="005D547C"/>
    <w:rsid w:val="005D54D8"/>
    <w:rsid w:val="005D5785"/>
    <w:rsid w:val="005D57E8"/>
    <w:rsid w:val="005D5AA1"/>
    <w:rsid w:val="005D5AC5"/>
    <w:rsid w:val="005D5B09"/>
    <w:rsid w:val="005D5B49"/>
    <w:rsid w:val="005D5BDA"/>
    <w:rsid w:val="005D5D46"/>
    <w:rsid w:val="005D63D2"/>
    <w:rsid w:val="005D645B"/>
    <w:rsid w:val="005D6460"/>
    <w:rsid w:val="005D6568"/>
    <w:rsid w:val="005D6570"/>
    <w:rsid w:val="005D659D"/>
    <w:rsid w:val="005D6A09"/>
    <w:rsid w:val="005D6A41"/>
    <w:rsid w:val="005D6B28"/>
    <w:rsid w:val="005D6D31"/>
    <w:rsid w:val="005D6DD7"/>
    <w:rsid w:val="005D6ED7"/>
    <w:rsid w:val="005D6F88"/>
    <w:rsid w:val="005D705E"/>
    <w:rsid w:val="005D72F0"/>
    <w:rsid w:val="005D7338"/>
    <w:rsid w:val="005D7540"/>
    <w:rsid w:val="005D761F"/>
    <w:rsid w:val="005D7771"/>
    <w:rsid w:val="005D7803"/>
    <w:rsid w:val="005D7820"/>
    <w:rsid w:val="005D78A1"/>
    <w:rsid w:val="005D78DE"/>
    <w:rsid w:val="005D7983"/>
    <w:rsid w:val="005D7D16"/>
    <w:rsid w:val="005D7D2A"/>
    <w:rsid w:val="005D7DDE"/>
    <w:rsid w:val="005D7E2C"/>
    <w:rsid w:val="005D7E52"/>
    <w:rsid w:val="005E00DE"/>
    <w:rsid w:val="005E00FD"/>
    <w:rsid w:val="005E0271"/>
    <w:rsid w:val="005E02E1"/>
    <w:rsid w:val="005E04C5"/>
    <w:rsid w:val="005E08CF"/>
    <w:rsid w:val="005E0DBE"/>
    <w:rsid w:val="005E0E92"/>
    <w:rsid w:val="005E0F0F"/>
    <w:rsid w:val="005E11FA"/>
    <w:rsid w:val="005E1202"/>
    <w:rsid w:val="005E1257"/>
    <w:rsid w:val="005E1377"/>
    <w:rsid w:val="005E149F"/>
    <w:rsid w:val="005E14B6"/>
    <w:rsid w:val="005E17CD"/>
    <w:rsid w:val="005E17F1"/>
    <w:rsid w:val="005E183F"/>
    <w:rsid w:val="005E19A4"/>
    <w:rsid w:val="005E1EB2"/>
    <w:rsid w:val="005E214C"/>
    <w:rsid w:val="005E23AF"/>
    <w:rsid w:val="005E24A4"/>
    <w:rsid w:val="005E274E"/>
    <w:rsid w:val="005E28E3"/>
    <w:rsid w:val="005E2BCD"/>
    <w:rsid w:val="005E2C1B"/>
    <w:rsid w:val="005E2D0C"/>
    <w:rsid w:val="005E2EBE"/>
    <w:rsid w:val="005E2ECD"/>
    <w:rsid w:val="005E2F70"/>
    <w:rsid w:val="005E317D"/>
    <w:rsid w:val="005E324B"/>
    <w:rsid w:val="005E3489"/>
    <w:rsid w:val="005E3660"/>
    <w:rsid w:val="005E368C"/>
    <w:rsid w:val="005E38E7"/>
    <w:rsid w:val="005E3978"/>
    <w:rsid w:val="005E3D0D"/>
    <w:rsid w:val="005E402A"/>
    <w:rsid w:val="005E4130"/>
    <w:rsid w:val="005E4181"/>
    <w:rsid w:val="005E42EB"/>
    <w:rsid w:val="005E4361"/>
    <w:rsid w:val="005E459D"/>
    <w:rsid w:val="005E4683"/>
    <w:rsid w:val="005E47B7"/>
    <w:rsid w:val="005E489F"/>
    <w:rsid w:val="005E48D3"/>
    <w:rsid w:val="005E490A"/>
    <w:rsid w:val="005E4A78"/>
    <w:rsid w:val="005E4BF5"/>
    <w:rsid w:val="005E4D9A"/>
    <w:rsid w:val="005E4E63"/>
    <w:rsid w:val="005E4FB3"/>
    <w:rsid w:val="005E500A"/>
    <w:rsid w:val="005E5387"/>
    <w:rsid w:val="005E53CC"/>
    <w:rsid w:val="005E559D"/>
    <w:rsid w:val="005E589D"/>
    <w:rsid w:val="005E5A48"/>
    <w:rsid w:val="005E5A70"/>
    <w:rsid w:val="005E5D1D"/>
    <w:rsid w:val="005E5F06"/>
    <w:rsid w:val="005E5FD2"/>
    <w:rsid w:val="005E62E2"/>
    <w:rsid w:val="005E6406"/>
    <w:rsid w:val="005E6470"/>
    <w:rsid w:val="005E649C"/>
    <w:rsid w:val="005E658A"/>
    <w:rsid w:val="005E6600"/>
    <w:rsid w:val="005E6645"/>
    <w:rsid w:val="005E671F"/>
    <w:rsid w:val="005E6B1A"/>
    <w:rsid w:val="005E6B50"/>
    <w:rsid w:val="005E6E45"/>
    <w:rsid w:val="005E6E4D"/>
    <w:rsid w:val="005E6F63"/>
    <w:rsid w:val="005E6FDC"/>
    <w:rsid w:val="005E70E8"/>
    <w:rsid w:val="005E7125"/>
    <w:rsid w:val="005E71DF"/>
    <w:rsid w:val="005E71FA"/>
    <w:rsid w:val="005E7227"/>
    <w:rsid w:val="005E74B3"/>
    <w:rsid w:val="005E754F"/>
    <w:rsid w:val="005E75A5"/>
    <w:rsid w:val="005E7652"/>
    <w:rsid w:val="005E77BA"/>
    <w:rsid w:val="005E77D8"/>
    <w:rsid w:val="005E77DC"/>
    <w:rsid w:val="005E7809"/>
    <w:rsid w:val="005E78DE"/>
    <w:rsid w:val="005E7915"/>
    <w:rsid w:val="005E797E"/>
    <w:rsid w:val="005E7A2F"/>
    <w:rsid w:val="005E7AF6"/>
    <w:rsid w:val="005E7B4D"/>
    <w:rsid w:val="005E7B98"/>
    <w:rsid w:val="005E7C7C"/>
    <w:rsid w:val="005E7DED"/>
    <w:rsid w:val="005E7EB8"/>
    <w:rsid w:val="005E7FE4"/>
    <w:rsid w:val="005F0110"/>
    <w:rsid w:val="005F01AF"/>
    <w:rsid w:val="005F01D2"/>
    <w:rsid w:val="005F0208"/>
    <w:rsid w:val="005F0298"/>
    <w:rsid w:val="005F0552"/>
    <w:rsid w:val="005F05B4"/>
    <w:rsid w:val="005F0614"/>
    <w:rsid w:val="005F0687"/>
    <w:rsid w:val="005F0769"/>
    <w:rsid w:val="005F086F"/>
    <w:rsid w:val="005F0956"/>
    <w:rsid w:val="005F099F"/>
    <w:rsid w:val="005F09C3"/>
    <w:rsid w:val="005F0A7A"/>
    <w:rsid w:val="005F0AC4"/>
    <w:rsid w:val="005F0B9E"/>
    <w:rsid w:val="005F0BFE"/>
    <w:rsid w:val="005F0C65"/>
    <w:rsid w:val="005F0CD6"/>
    <w:rsid w:val="005F0D50"/>
    <w:rsid w:val="005F0DB6"/>
    <w:rsid w:val="005F0FEA"/>
    <w:rsid w:val="005F10A4"/>
    <w:rsid w:val="005F10BB"/>
    <w:rsid w:val="005F116F"/>
    <w:rsid w:val="005F11F3"/>
    <w:rsid w:val="005F131D"/>
    <w:rsid w:val="005F13AC"/>
    <w:rsid w:val="005F146A"/>
    <w:rsid w:val="005F147D"/>
    <w:rsid w:val="005F14CC"/>
    <w:rsid w:val="005F1587"/>
    <w:rsid w:val="005F15BB"/>
    <w:rsid w:val="005F1622"/>
    <w:rsid w:val="005F164D"/>
    <w:rsid w:val="005F1A0D"/>
    <w:rsid w:val="005F1A31"/>
    <w:rsid w:val="005F1B56"/>
    <w:rsid w:val="005F1CE9"/>
    <w:rsid w:val="005F1D33"/>
    <w:rsid w:val="005F1EBF"/>
    <w:rsid w:val="005F1EEF"/>
    <w:rsid w:val="005F2236"/>
    <w:rsid w:val="005F227D"/>
    <w:rsid w:val="005F275A"/>
    <w:rsid w:val="005F2873"/>
    <w:rsid w:val="005F294F"/>
    <w:rsid w:val="005F2B14"/>
    <w:rsid w:val="005F2C99"/>
    <w:rsid w:val="005F2D4C"/>
    <w:rsid w:val="005F2E92"/>
    <w:rsid w:val="005F2EE5"/>
    <w:rsid w:val="005F2FCE"/>
    <w:rsid w:val="005F3102"/>
    <w:rsid w:val="005F312D"/>
    <w:rsid w:val="005F313A"/>
    <w:rsid w:val="005F314A"/>
    <w:rsid w:val="005F32C8"/>
    <w:rsid w:val="005F32DD"/>
    <w:rsid w:val="005F3321"/>
    <w:rsid w:val="005F3658"/>
    <w:rsid w:val="005F36DC"/>
    <w:rsid w:val="005F3706"/>
    <w:rsid w:val="005F3A4B"/>
    <w:rsid w:val="005F3D66"/>
    <w:rsid w:val="005F3E27"/>
    <w:rsid w:val="005F3F22"/>
    <w:rsid w:val="005F4276"/>
    <w:rsid w:val="005F428F"/>
    <w:rsid w:val="005F4328"/>
    <w:rsid w:val="005F46D7"/>
    <w:rsid w:val="005F470A"/>
    <w:rsid w:val="005F48BA"/>
    <w:rsid w:val="005F4AB5"/>
    <w:rsid w:val="005F4C3D"/>
    <w:rsid w:val="005F4E2E"/>
    <w:rsid w:val="005F4EEE"/>
    <w:rsid w:val="005F4F20"/>
    <w:rsid w:val="005F4FB6"/>
    <w:rsid w:val="005F4FD9"/>
    <w:rsid w:val="005F5130"/>
    <w:rsid w:val="005F5427"/>
    <w:rsid w:val="005F543C"/>
    <w:rsid w:val="005F547A"/>
    <w:rsid w:val="005F5658"/>
    <w:rsid w:val="005F57E1"/>
    <w:rsid w:val="005F5820"/>
    <w:rsid w:val="005F5896"/>
    <w:rsid w:val="005F5A95"/>
    <w:rsid w:val="005F5ACC"/>
    <w:rsid w:val="005F5B6A"/>
    <w:rsid w:val="005F5C7A"/>
    <w:rsid w:val="005F5D74"/>
    <w:rsid w:val="005F5DD2"/>
    <w:rsid w:val="005F5DD9"/>
    <w:rsid w:val="005F5DDB"/>
    <w:rsid w:val="005F5DE1"/>
    <w:rsid w:val="005F5F65"/>
    <w:rsid w:val="005F5F90"/>
    <w:rsid w:val="005F5FB3"/>
    <w:rsid w:val="005F6085"/>
    <w:rsid w:val="005F6172"/>
    <w:rsid w:val="005F6315"/>
    <w:rsid w:val="005F6363"/>
    <w:rsid w:val="005F63B8"/>
    <w:rsid w:val="005F63CA"/>
    <w:rsid w:val="005F6673"/>
    <w:rsid w:val="005F6683"/>
    <w:rsid w:val="005F66B7"/>
    <w:rsid w:val="005F6770"/>
    <w:rsid w:val="005F677E"/>
    <w:rsid w:val="005F67B7"/>
    <w:rsid w:val="005F68E1"/>
    <w:rsid w:val="005F68EC"/>
    <w:rsid w:val="005F697C"/>
    <w:rsid w:val="005F6B86"/>
    <w:rsid w:val="005F6C74"/>
    <w:rsid w:val="005F6C90"/>
    <w:rsid w:val="005F6CBF"/>
    <w:rsid w:val="005F6E2B"/>
    <w:rsid w:val="005F6F92"/>
    <w:rsid w:val="005F6FCE"/>
    <w:rsid w:val="005F7311"/>
    <w:rsid w:val="005F737C"/>
    <w:rsid w:val="005F73BB"/>
    <w:rsid w:val="005F73EF"/>
    <w:rsid w:val="005F749F"/>
    <w:rsid w:val="005F7540"/>
    <w:rsid w:val="005F765A"/>
    <w:rsid w:val="005F765E"/>
    <w:rsid w:val="005F781E"/>
    <w:rsid w:val="005F7891"/>
    <w:rsid w:val="005F7AB7"/>
    <w:rsid w:val="005F7C0B"/>
    <w:rsid w:val="005F7CE0"/>
    <w:rsid w:val="005F7D9F"/>
    <w:rsid w:val="005F7E0C"/>
    <w:rsid w:val="005F7EBF"/>
    <w:rsid w:val="005F7EC6"/>
    <w:rsid w:val="006000E5"/>
    <w:rsid w:val="0060041E"/>
    <w:rsid w:val="00600462"/>
    <w:rsid w:val="00600559"/>
    <w:rsid w:val="006006AA"/>
    <w:rsid w:val="006008CF"/>
    <w:rsid w:val="00600937"/>
    <w:rsid w:val="0060094B"/>
    <w:rsid w:val="006009EA"/>
    <w:rsid w:val="00600A2B"/>
    <w:rsid w:val="00600B0A"/>
    <w:rsid w:val="00600CDF"/>
    <w:rsid w:val="00600D86"/>
    <w:rsid w:val="00600E03"/>
    <w:rsid w:val="0060105F"/>
    <w:rsid w:val="00601331"/>
    <w:rsid w:val="0060143F"/>
    <w:rsid w:val="00601640"/>
    <w:rsid w:val="00601780"/>
    <w:rsid w:val="0060181D"/>
    <w:rsid w:val="006018A5"/>
    <w:rsid w:val="006018A6"/>
    <w:rsid w:val="00601927"/>
    <w:rsid w:val="00601986"/>
    <w:rsid w:val="0060199D"/>
    <w:rsid w:val="006019B6"/>
    <w:rsid w:val="006019CC"/>
    <w:rsid w:val="00601A07"/>
    <w:rsid w:val="00601A71"/>
    <w:rsid w:val="00601ACE"/>
    <w:rsid w:val="00601AE6"/>
    <w:rsid w:val="00601AFA"/>
    <w:rsid w:val="00601DC5"/>
    <w:rsid w:val="00601DE4"/>
    <w:rsid w:val="00601F2E"/>
    <w:rsid w:val="00601F99"/>
    <w:rsid w:val="00601FFB"/>
    <w:rsid w:val="00602113"/>
    <w:rsid w:val="00602307"/>
    <w:rsid w:val="0060244B"/>
    <w:rsid w:val="006024A3"/>
    <w:rsid w:val="006024BA"/>
    <w:rsid w:val="0060253B"/>
    <w:rsid w:val="0060280B"/>
    <w:rsid w:val="00602824"/>
    <w:rsid w:val="00602864"/>
    <w:rsid w:val="006028F9"/>
    <w:rsid w:val="00602940"/>
    <w:rsid w:val="00602947"/>
    <w:rsid w:val="00602DF9"/>
    <w:rsid w:val="00602F7D"/>
    <w:rsid w:val="006031D7"/>
    <w:rsid w:val="006031EB"/>
    <w:rsid w:val="00603266"/>
    <w:rsid w:val="00603274"/>
    <w:rsid w:val="006032F6"/>
    <w:rsid w:val="00603393"/>
    <w:rsid w:val="00603416"/>
    <w:rsid w:val="006035CC"/>
    <w:rsid w:val="00603726"/>
    <w:rsid w:val="0060382B"/>
    <w:rsid w:val="0060390E"/>
    <w:rsid w:val="00603A1B"/>
    <w:rsid w:val="00603CE4"/>
    <w:rsid w:val="00603D6B"/>
    <w:rsid w:val="0060418E"/>
    <w:rsid w:val="00604265"/>
    <w:rsid w:val="006042B2"/>
    <w:rsid w:val="006042D5"/>
    <w:rsid w:val="006042DF"/>
    <w:rsid w:val="00604439"/>
    <w:rsid w:val="00604609"/>
    <w:rsid w:val="0060461D"/>
    <w:rsid w:val="00604647"/>
    <w:rsid w:val="0060465E"/>
    <w:rsid w:val="006047A2"/>
    <w:rsid w:val="0060480D"/>
    <w:rsid w:val="0060481A"/>
    <w:rsid w:val="00604A25"/>
    <w:rsid w:val="00604E74"/>
    <w:rsid w:val="006050F9"/>
    <w:rsid w:val="00605254"/>
    <w:rsid w:val="006052CC"/>
    <w:rsid w:val="006052EF"/>
    <w:rsid w:val="00605376"/>
    <w:rsid w:val="00605556"/>
    <w:rsid w:val="0060558D"/>
    <w:rsid w:val="006055A1"/>
    <w:rsid w:val="0060561A"/>
    <w:rsid w:val="006056F9"/>
    <w:rsid w:val="006058B0"/>
    <w:rsid w:val="006059CD"/>
    <w:rsid w:val="00605D47"/>
    <w:rsid w:val="00605F95"/>
    <w:rsid w:val="00605FB6"/>
    <w:rsid w:val="006060BB"/>
    <w:rsid w:val="006062BA"/>
    <w:rsid w:val="00606443"/>
    <w:rsid w:val="00606493"/>
    <w:rsid w:val="006064A9"/>
    <w:rsid w:val="006065E7"/>
    <w:rsid w:val="00606634"/>
    <w:rsid w:val="006066A2"/>
    <w:rsid w:val="006066ED"/>
    <w:rsid w:val="0060676F"/>
    <w:rsid w:val="006067C4"/>
    <w:rsid w:val="00606824"/>
    <w:rsid w:val="006069A5"/>
    <w:rsid w:val="006069E3"/>
    <w:rsid w:val="00606BA4"/>
    <w:rsid w:val="00606BAA"/>
    <w:rsid w:val="00606D1B"/>
    <w:rsid w:val="00606E6A"/>
    <w:rsid w:val="0060716B"/>
    <w:rsid w:val="0060720A"/>
    <w:rsid w:val="00607348"/>
    <w:rsid w:val="006073C7"/>
    <w:rsid w:val="00607495"/>
    <w:rsid w:val="006075C1"/>
    <w:rsid w:val="006076D9"/>
    <w:rsid w:val="006076EC"/>
    <w:rsid w:val="006079F2"/>
    <w:rsid w:val="00607B72"/>
    <w:rsid w:val="00607D0F"/>
    <w:rsid w:val="00607D6D"/>
    <w:rsid w:val="00607D8D"/>
    <w:rsid w:val="00610028"/>
    <w:rsid w:val="0061004C"/>
    <w:rsid w:val="00610067"/>
    <w:rsid w:val="006100D9"/>
    <w:rsid w:val="006100DE"/>
    <w:rsid w:val="00610128"/>
    <w:rsid w:val="006105B9"/>
    <w:rsid w:val="0061060C"/>
    <w:rsid w:val="006106AA"/>
    <w:rsid w:val="0061077C"/>
    <w:rsid w:val="00610802"/>
    <w:rsid w:val="0061093E"/>
    <w:rsid w:val="00610A0C"/>
    <w:rsid w:val="00610DB0"/>
    <w:rsid w:val="00610DE3"/>
    <w:rsid w:val="00611263"/>
    <w:rsid w:val="0061127C"/>
    <w:rsid w:val="0061136D"/>
    <w:rsid w:val="00611520"/>
    <w:rsid w:val="0061153E"/>
    <w:rsid w:val="006115C4"/>
    <w:rsid w:val="0061183A"/>
    <w:rsid w:val="006118B2"/>
    <w:rsid w:val="006118FE"/>
    <w:rsid w:val="00611B5A"/>
    <w:rsid w:val="00611C61"/>
    <w:rsid w:val="00611D9C"/>
    <w:rsid w:val="00611DC0"/>
    <w:rsid w:val="00611ED2"/>
    <w:rsid w:val="00611F61"/>
    <w:rsid w:val="006121B5"/>
    <w:rsid w:val="00612256"/>
    <w:rsid w:val="00612274"/>
    <w:rsid w:val="006122EE"/>
    <w:rsid w:val="00612315"/>
    <w:rsid w:val="006125EE"/>
    <w:rsid w:val="0061267D"/>
    <w:rsid w:val="0061280F"/>
    <w:rsid w:val="006128A9"/>
    <w:rsid w:val="00612987"/>
    <w:rsid w:val="00612D0A"/>
    <w:rsid w:val="00612D2F"/>
    <w:rsid w:val="00612E5B"/>
    <w:rsid w:val="00612E91"/>
    <w:rsid w:val="00612F3B"/>
    <w:rsid w:val="006131AD"/>
    <w:rsid w:val="0061333C"/>
    <w:rsid w:val="00613600"/>
    <w:rsid w:val="0061384F"/>
    <w:rsid w:val="00613C0D"/>
    <w:rsid w:val="00613FAF"/>
    <w:rsid w:val="00614225"/>
    <w:rsid w:val="0061440D"/>
    <w:rsid w:val="0061449F"/>
    <w:rsid w:val="00614556"/>
    <w:rsid w:val="00614738"/>
    <w:rsid w:val="006147B7"/>
    <w:rsid w:val="006147C9"/>
    <w:rsid w:val="006148D4"/>
    <w:rsid w:val="006148E0"/>
    <w:rsid w:val="0061494D"/>
    <w:rsid w:val="00614ADE"/>
    <w:rsid w:val="00614AFD"/>
    <w:rsid w:val="00614B76"/>
    <w:rsid w:val="00614B84"/>
    <w:rsid w:val="00614CAF"/>
    <w:rsid w:val="00615075"/>
    <w:rsid w:val="006151EE"/>
    <w:rsid w:val="00615375"/>
    <w:rsid w:val="00615565"/>
    <w:rsid w:val="0061559F"/>
    <w:rsid w:val="006155D3"/>
    <w:rsid w:val="0061579B"/>
    <w:rsid w:val="006159DD"/>
    <w:rsid w:val="00615B90"/>
    <w:rsid w:val="00615E8A"/>
    <w:rsid w:val="00616166"/>
    <w:rsid w:val="006161D0"/>
    <w:rsid w:val="0061642B"/>
    <w:rsid w:val="006165AD"/>
    <w:rsid w:val="006166DB"/>
    <w:rsid w:val="0061670B"/>
    <w:rsid w:val="006167E5"/>
    <w:rsid w:val="00616847"/>
    <w:rsid w:val="0061695F"/>
    <w:rsid w:val="0061699D"/>
    <w:rsid w:val="00616CDA"/>
    <w:rsid w:val="00616EDB"/>
    <w:rsid w:val="00616FDC"/>
    <w:rsid w:val="00617041"/>
    <w:rsid w:val="006170F6"/>
    <w:rsid w:val="006170FC"/>
    <w:rsid w:val="006172CF"/>
    <w:rsid w:val="0061738D"/>
    <w:rsid w:val="00617393"/>
    <w:rsid w:val="00617557"/>
    <w:rsid w:val="006176E6"/>
    <w:rsid w:val="006176F3"/>
    <w:rsid w:val="006177C3"/>
    <w:rsid w:val="006179B4"/>
    <w:rsid w:val="006179DC"/>
    <w:rsid w:val="00617B34"/>
    <w:rsid w:val="00617CC3"/>
    <w:rsid w:val="00617DA8"/>
    <w:rsid w:val="00617ED0"/>
    <w:rsid w:val="00620039"/>
    <w:rsid w:val="00620210"/>
    <w:rsid w:val="00620331"/>
    <w:rsid w:val="0062042B"/>
    <w:rsid w:val="0062046A"/>
    <w:rsid w:val="006204BE"/>
    <w:rsid w:val="00620614"/>
    <w:rsid w:val="0062066B"/>
    <w:rsid w:val="006206F3"/>
    <w:rsid w:val="00620714"/>
    <w:rsid w:val="0062090D"/>
    <w:rsid w:val="00620D32"/>
    <w:rsid w:val="00620D63"/>
    <w:rsid w:val="00620D85"/>
    <w:rsid w:val="00620EDE"/>
    <w:rsid w:val="006210C7"/>
    <w:rsid w:val="006210EE"/>
    <w:rsid w:val="00621114"/>
    <w:rsid w:val="00621256"/>
    <w:rsid w:val="00621349"/>
    <w:rsid w:val="006215E4"/>
    <w:rsid w:val="006217C5"/>
    <w:rsid w:val="00621819"/>
    <w:rsid w:val="0062183A"/>
    <w:rsid w:val="006218B8"/>
    <w:rsid w:val="00621944"/>
    <w:rsid w:val="00621BD5"/>
    <w:rsid w:val="00621D03"/>
    <w:rsid w:val="00621D2E"/>
    <w:rsid w:val="00621D5C"/>
    <w:rsid w:val="00621DAF"/>
    <w:rsid w:val="00621E3C"/>
    <w:rsid w:val="00621EFD"/>
    <w:rsid w:val="00622058"/>
    <w:rsid w:val="00622167"/>
    <w:rsid w:val="0062228F"/>
    <w:rsid w:val="00622452"/>
    <w:rsid w:val="006224AD"/>
    <w:rsid w:val="006225C0"/>
    <w:rsid w:val="00622652"/>
    <w:rsid w:val="006226D8"/>
    <w:rsid w:val="00622972"/>
    <w:rsid w:val="00622B73"/>
    <w:rsid w:val="00622E0A"/>
    <w:rsid w:val="0062313C"/>
    <w:rsid w:val="00623236"/>
    <w:rsid w:val="0062326A"/>
    <w:rsid w:val="006233B7"/>
    <w:rsid w:val="0062342C"/>
    <w:rsid w:val="006234AC"/>
    <w:rsid w:val="006234C3"/>
    <w:rsid w:val="0062360B"/>
    <w:rsid w:val="0062369C"/>
    <w:rsid w:val="0062376D"/>
    <w:rsid w:val="0062378C"/>
    <w:rsid w:val="00623B6C"/>
    <w:rsid w:val="00623CF0"/>
    <w:rsid w:val="00623DBA"/>
    <w:rsid w:val="00623E8B"/>
    <w:rsid w:val="00623F33"/>
    <w:rsid w:val="00623F5B"/>
    <w:rsid w:val="00624007"/>
    <w:rsid w:val="00624035"/>
    <w:rsid w:val="0062470F"/>
    <w:rsid w:val="0062482C"/>
    <w:rsid w:val="0062486C"/>
    <w:rsid w:val="006248AF"/>
    <w:rsid w:val="00624913"/>
    <w:rsid w:val="00624CDA"/>
    <w:rsid w:val="00624DB7"/>
    <w:rsid w:val="00624E72"/>
    <w:rsid w:val="00624EB2"/>
    <w:rsid w:val="00625096"/>
    <w:rsid w:val="006251CD"/>
    <w:rsid w:val="00625318"/>
    <w:rsid w:val="006253BC"/>
    <w:rsid w:val="00625411"/>
    <w:rsid w:val="0062547D"/>
    <w:rsid w:val="006254C9"/>
    <w:rsid w:val="006254CF"/>
    <w:rsid w:val="00625501"/>
    <w:rsid w:val="006255FF"/>
    <w:rsid w:val="006256A7"/>
    <w:rsid w:val="00625742"/>
    <w:rsid w:val="0062576A"/>
    <w:rsid w:val="00625783"/>
    <w:rsid w:val="006259AE"/>
    <w:rsid w:val="00625DB9"/>
    <w:rsid w:val="00625F43"/>
    <w:rsid w:val="00626108"/>
    <w:rsid w:val="00626293"/>
    <w:rsid w:val="006262E9"/>
    <w:rsid w:val="0062638E"/>
    <w:rsid w:val="0062682B"/>
    <w:rsid w:val="0062683D"/>
    <w:rsid w:val="00626891"/>
    <w:rsid w:val="00626E2F"/>
    <w:rsid w:val="00626ECE"/>
    <w:rsid w:val="00626F95"/>
    <w:rsid w:val="006270E4"/>
    <w:rsid w:val="0062711A"/>
    <w:rsid w:val="0062718C"/>
    <w:rsid w:val="0062726E"/>
    <w:rsid w:val="00627322"/>
    <w:rsid w:val="00627386"/>
    <w:rsid w:val="0062738F"/>
    <w:rsid w:val="00627391"/>
    <w:rsid w:val="00627472"/>
    <w:rsid w:val="00627546"/>
    <w:rsid w:val="00627621"/>
    <w:rsid w:val="006277BA"/>
    <w:rsid w:val="006277CA"/>
    <w:rsid w:val="006278AD"/>
    <w:rsid w:val="00627923"/>
    <w:rsid w:val="00627A8B"/>
    <w:rsid w:val="00627A92"/>
    <w:rsid w:val="00627AE5"/>
    <w:rsid w:val="00627B6D"/>
    <w:rsid w:val="00627B78"/>
    <w:rsid w:val="00627C2D"/>
    <w:rsid w:val="00627D1B"/>
    <w:rsid w:val="00627FA1"/>
    <w:rsid w:val="006300BD"/>
    <w:rsid w:val="0063010D"/>
    <w:rsid w:val="006301CE"/>
    <w:rsid w:val="00630232"/>
    <w:rsid w:val="0063043A"/>
    <w:rsid w:val="00630570"/>
    <w:rsid w:val="006305DD"/>
    <w:rsid w:val="00630653"/>
    <w:rsid w:val="0063066F"/>
    <w:rsid w:val="00630863"/>
    <w:rsid w:val="00630957"/>
    <w:rsid w:val="006309D6"/>
    <w:rsid w:val="00630C6D"/>
    <w:rsid w:val="00630CA1"/>
    <w:rsid w:val="00630E30"/>
    <w:rsid w:val="00630F3B"/>
    <w:rsid w:val="00630F65"/>
    <w:rsid w:val="0063102D"/>
    <w:rsid w:val="0063127D"/>
    <w:rsid w:val="006312B9"/>
    <w:rsid w:val="006315CF"/>
    <w:rsid w:val="0063167F"/>
    <w:rsid w:val="0063170D"/>
    <w:rsid w:val="0063172F"/>
    <w:rsid w:val="006318BA"/>
    <w:rsid w:val="00631B46"/>
    <w:rsid w:val="00631D90"/>
    <w:rsid w:val="00631D9B"/>
    <w:rsid w:val="00631E63"/>
    <w:rsid w:val="00631FE2"/>
    <w:rsid w:val="006320E0"/>
    <w:rsid w:val="0063277E"/>
    <w:rsid w:val="006327A2"/>
    <w:rsid w:val="00632831"/>
    <w:rsid w:val="006328CA"/>
    <w:rsid w:val="00632A2E"/>
    <w:rsid w:val="00632E49"/>
    <w:rsid w:val="00632ED3"/>
    <w:rsid w:val="00633013"/>
    <w:rsid w:val="00633079"/>
    <w:rsid w:val="006331B5"/>
    <w:rsid w:val="00633798"/>
    <w:rsid w:val="0063384C"/>
    <w:rsid w:val="006338DD"/>
    <w:rsid w:val="00633988"/>
    <w:rsid w:val="00633A95"/>
    <w:rsid w:val="00633BE5"/>
    <w:rsid w:val="00633D90"/>
    <w:rsid w:val="00633FAF"/>
    <w:rsid w:val="006340C1"/>
    <w:rsid w:val="00634115"/>
    <w:rsid w:val="006341A9"/>
    <w:rsid w:val="006341D4"/>
    <w:rsid w:val="0063429E"/>
    <w:rsid w:val="00634392"/>
    <w:rsid w:val="006343A8"/>
    <w:rsid w:val="0063445F"/>
    <w:rsid w:val="00634521"/>
    <w:rsid w:val="00634550"/>
    <w:rsid w:val="0063486E"/>
    <w:rsid w:val="00634A9C"/>
    <w:rsid w:val="00634AD9"/>
    <w:rsid w:val="00634BF3"/>
    <w:rsid w:val="00634F52"/>
    <w:rsid w:val="00634F54"/>
    <w:rsid w:val="0063514B"/>
    <w:rsid w:val="00635227"/>
    <w:rsid w:val="006352D9"/>
    <w:rsid w:val="006359C0"/>
    <w:rsid w:val="006359CF"/>
    <w:rsid w:val="00635A3A"/>
    <w:rsid w:val="00635B97"/>
    <w:rsid w:val="00635BE6"/>
    <w:rsid w:val="00635C16"/>
    <w:rsid w:val="00635CFF"/>
    <w:rsid w:val="00635D3E"/>
    <w:rsid w:val="00635DD2"/>
    <w:rsid w:val="00635E2A"/>
    <w:rsid w:val="00635EA7"/>
    <w:rsid w:val="00635EF7"/>
    <w:rsid w:val="00635F60"/>
    <w:rsid w:val="00635F7E"/>
    <w:rsid w:val="006363C7"/>
    <w:rsid w:val="0063653C"/>
    <w:rsid w:val="00636638"/>
    <w:rsid w:val="006369AD"/>
    <w:rsid w:val="00636B96"/>
    <w:rsid w:val="00636BD5"/>
    <w:rsid w:val="00636CE6"/>
    <w:rsid w:val="00636DF6"/>
    <w:rsid w:val="00636F4C"/>
    <w:rsid w:val="00636FAF"/>
    <w:rsid w:val="00637277"/>
    <w:rsid w:val="00637559"/>
    <w:rsid w:val="006376CB"/>
    <w:rsid w:val="00637702"/>
    <w:rsid w:val="006377A6"/>
    <w:rsid w:val="00637A3D"/>
    <w:rsid w:val="00637AED"/>
    <w:rsid w:val="00637B47"/>
    <w:rsid w:val="00637B61"/>
    <w:rsid w:val="00637C43"/>
    <w:rsid w:val="00637E1D"/>
    <w:rsid w:val="00637E6F"/>
    <w:rsid w:val="00637F61"/>
    <w:rsid w:val="0064005C"/>
    <w:rsid w:val="00640139"/>
    <w:rsid w:val="006401E1"/>
    <w:rsid w:val="006403F4"/>
    <w:rsid w:val="0064043F"/>
    <w:rsid w:val="00640463"/>
    <w:rsid w:val="006405AE"/>
    <w:rsid w:val="006405C2"/>
    <w:rsid w:val="00640676"/>
    <w:rsid w:val="00640762"/>
    <w:rsid w:val="0064092A"/>
    <w:rsid w:val="006409B8"/>
    <w:rsid w:val="00640A05"/>
    <w:rsid w:val="00640BF8"/>
    <w:rsid w:val="00640DC4"/>
    <w:rsid w:val="00640E59"/>
    <w:rsid w:val="006410F8"/>
    <w:rsid w:val="00641188"/>
    <w:rsid w:val="006411BC"/>
    <w:rsid w:val="006411EF"/>
    <w:rsid w:val="00641224"/>
    <w:rsid w:val="00641328"/>
    <w:rsid w:val="006413D0"/>
    <w:rsid w:val="0064145F"/>
    <w:rsid w:val="006416C8"/>
    <w:rsid w:val="00641995"/>
    <w:rsid w:val="006419D6"/>
    <w:rsid w:val="00641B5C"/>
    <w:rsid w:val="00641C62"/>
    <w:rsid w:val="00641CED"/>
    <w:rsid w:val="00641D08"/>
    <w:rsid w:val="00641D8F"/>
    <w:rsid w:val="00641DD9"/>
    <w:rsid w:val="00641F4E"/>
    <w:rsid w:val="00641FB4"/>
    <w:rsid w:val="006420D2"/>
    <w:rsid w:val="00642194"/>
    <w:rsid w:val="006421A2"/>
    <w:rsid w:val="0064236D"/>
    <w:rsid w:val="006423DB"/>
    <w:rsid w:val="00642510"/>
    <w:rsid w:val="006428F2"/>
    <w:rsid w:val="00642A4E"/>
    <w:rsid w:val="00642BC2"/>
    <w:rsid w:val="00642DE6"/>
    <w:rsid w:val="00642DFA"/>
    <w:rsid w:val="00642E75"/>
    <w:rsid w:val="00643144"/>
    <w:rsid w:val="006431CF"/>
    <w:rsid w:val="006431DC"/>
    <w:rsid w:val="006432F4"/>
    <w:rsid w:val="00643377"/>
    <w:rsid w:val="006433B9"/>
    <w:rsid w:val="0064344B"/>
    <w:rsid w:val="00643460"/>
    <w:rsid w:val="0064349B"/>
    <w:rsid w:val="006434CB"/>
    <w:rsid w:val="00643589"/>
    <w:rsid w:val="00643801"/>
    <w:rsid w:val="00643C9B"/>
    <w:rsid w:val="00643E0B"/>
    <w:rsid w:val="00643E66"/>
    <w:rsid w:val="00643F42"/>
    <w:rsid w:val="00644190"/>
    <w:rsid w:val="00644322"/>
    <w:rsid w:val="006444FB"/>
    <w:rsid w:val="00644737"/>
    <w:rsid w:val="006447CA"/>
    <w:rsid w:val="00644847"/>
    <w:rsid w:val="006448A6"/>
    <w:rsid w:val="00644B98"/>
    <w:rsid w:val="00644C70"/>
    <w:rsid w:val="00644C9E"/>
    <w:rsid w:val="00644D0A"/>
    <w:rsid w:val="00644FCE"/>
    <w:rsid w:val="00644FD0"/>
    <w:rsid w:val="00644FF1"/>
    <w:rsid w:val="0064508C"/>
    <w:rsid w:val="00645113"/>
    <w:rsid w:val="00645249"/>
    <w:rsid w:val="00645311"/>
    <w:rsid w:val="0064534D"/>
    <w:rsid w:val="006454D2"/>
    <w:rsid w:val="006456C1"/>
    <w:rsid w:val="00645701"/>
    <w:rsid w:val="00645726"/>
    <w:rsid w:val="00645763"/>
    <w:rsid w:val="00645804"/>
    <w:rsid w:val="00645873"/>
    <w:rsid w:val="006458CA"/>
    <w:rsid w:val="00645B08"/>
    <w:rsid w:val="00645B1F"/>
    <w:rsid w:val="00645B80"/>
    <w:rsid w:val="00645DDC"/>
    <w:rsid w:val="00645E03"/>
    <w:rsid w:val="00645E62"/>
    <w:rsid w:val="00645EE3"/>
    <w:rsid w:val="0064607E"/>
    <w:rsid w:val="006460EC"/>
    <w:rsid w:val="006460FC"/>
    <w:rsid w:val="00646180"/>
    <w:rsid w:val="00646214"/>
    <w:rsid w:val="006462E4"/>
    <w:rsid w:val="00646341"/>
    <w:rsid w:val="0064645B"/>
    <w:rsid w:val="00646501"/>
    <w:rsid w:val="00646578"/>
    <w:rsid w:val="006465A9"/>
    <w:rsid w:val="006465D2"/>
    <w:rsid w:val="006468D1"/>
    <w:rsid w:val="00646B74"/>
    <w:rsid w:val="00646C14"/>
    <w:rsid w:val="00646E2F"/>
    <w:rsid w:val="00646EF8"/>
    <w:rsid w:val="006470F7"/>
    <w:rsid w:val="006471B7"/>
    <w:rsid w:val="0064725B"/>
    <w:rsid w:val="0064763B"/>
    <w:rsid w:val="006476E9"/>
    <w:rsid w:val="006477E7"/>
    <w:rsid w:val="006478EF"/>
    <w:rsid w:val="006479AC"/>
    <w:rsid w:val="00647C68"/>
    <w:rsid w:val="00647D20"/>
    <w:rsid w:val="006501A5"/>
    <w:rsid w:val="00650367"/>
    <w:rsid w:val="006505BE"/>
    <w:rsid w:val="00650848"/>
    <w:rsid w:val="00650926"/>
    <w:rsid w:val="00650ADD"/>
    <w:rsid w:val="00650CB5"/>
    <w:rsid w:val="00650D94"/>
    <w:rsid w:val="00650E43"/>
    <w:rsid w:val="00650E6B"/>
    <w:rsid w:val="006510FC"/>
    <w:rsid w:val="00651373"/>
    <w:rsid w:val="00651415"/>
    <w:rsid w:val="006514F3"/>
    <w:rsid w:val="00651660"/>
    <w:rsid w:val="00651669"/>
    <w:rsid w:val="006518C7"/>
    <w:rsid w:val="00651A65"/>
    <w:rsid w:val="00651BC7"/>
    <w:rsid w:val="00651DAD"/>
    <w:rsid w:val="00651E7A"/>
    <w:rsid w:val="00651F5F"/>
    <w:rsid w:val="0065201B"/>
    <w:rsid w:val="0065209C"/>
    <w:rsid w:val="0065239F"/>
    <w:rsid w:val="00652403"/>
    <w:rsid w:val="00652445"/>
    <w:rsid w:val="0065273A"/>
    <w:rsid w:val="00652773"/>
    <w:rsid w:val="006528FB"/>
    <w:rsid w:val="00652939"/>
    <w:rsid w:val="00652971"/>
    <w:rsid w:val="00652A2E"/>
    <w:rsid w:val="00652AC8"/>
    <w:rsid w:val="00652C29"/>
    <w:rsid w:val="00652C8C"/>
    <w:rsid w:val="00652D2B"/>
    <w:rsid w:val="00652D76"/>
    <w:rsid w:val="00652D78"/>
    <w:rsid w:val="00652F0E"/>
    <w:rsid w:val="00652FA2"/>
    <w:rsid w:val="00653421"/>
    <w:rsid w:val="00653570"/>
    <w:rsid w:val="006535A2"/>
    <w:rsid w:val="006535A8"/>
    <w:rsid w:val="006535FC"/>
    <w:rsid w:val="00653667"/>
    <w:rsid w:val="00653690"/>
    <w:rsid w:val="006537DB"/>
    <w:rsid w:val="00653817"/>
    <w:rsid w:val="00653822"/>
    <w:rsid w:val="00653925"/>
    <w:rsid w:val="00653A9E"/>
    <w:rsid w:val="00653CFE"/>
    <w:rsid w:val="00653D1E"/>
    <w:rsid w:val="00653E08"/>
    <w:rsid w:val="00653E0A"/>
    <w:rsid w:val="00653E99"/>
    <w:rsid w:val="0065404E"/>
    <w:rsid w:val="0065408B"/>
    <w:rsid w:val="006543B9"/>
    <w:rsid w:val="006545F0"/>
    <w:rsid w:val="00654665"/>
    <w:rsid w:val="00654690"/>
    <w:rsid w:val="0065470E"/>
    <w:rsid w:val="006547E2"/>
    <w:rsid w:val="00654868"/>
    <w:rsid w:val="006549CE"/>
    <w:rsid w:val="00654B26"/>
    <w:rsid w:val="00654BB0"/>
    <w:rsid w:val="00654C17"/>
    <w:rsid w:val="00654CED"/>
    <w:rsid w:val="00654E8E"/>
    <w:rsid w:val="00654ED8"/>
    <w:rsid w:val="00655013"/>
    <w:rsid w:val="0065508F"/>
    <w:rsid w:val="0065526E"/>
    <w:rsid w:val="0065536B"/>
    <w:rsid w:val="006555A4"/>
    <w:rsid w:val="00655799"/>
    <w:rsid w:val="00655A79"/>
    <w:rsid w:val="00655ECA"/>
    <w:rsid w:val="00655FC4"/>
    <w:rsid w:val="006561E3"/>
    <w:rsid w:val="0065629C"/>
    <w:rsid w:val="006562D1"/>
    <w:rsid w:val="00656321"/>
    <w:rsid w:val="0065633C"/>
    <w:rsid w:val="006563AA"/>
    <w:rsid w:val="006563E5"/>
    <w:rsid w:val="00656471"/>
    <w:rsid w:val="006564F1"/>
    <w:rsid w:val="00656647"/>
    <w:rsid w:val="00656722"/>
    <w:rsid w:val="006567F2"/>
    <w:rsid w:val="006569BD"/>
    <w:rsid w:val="006569CA"/>
    <w:rsid w:val="00656B59"/>
    <w:rsid w:val="00656D19"/>
    <w:rsid w:val="00656D1A"/>
    <w:rsid w:val="00656D5B"/>
    <w:rsid w:val="00656E19"/>
    <w:rsid w:val="00656E1E"/>
    <w:rsid w:val="00656E36"/>
    <w:rsid w:val="00656E4A"/>
    <w:rsid w:val="00656EC2"/>
    <w:rsid w:val="0065700D"/>
    <w:rsid w:val="0065726B"/>
    <w:rsid w:val="0065745D"/>
    <w:rsid w:val="00657501"/>
    <w:rsid w:val="0065767F"/>
    <w:rsid w:val="006576B9"/>
    <w:rsid w:val="006576F4"/>
    <w:rsid w:val="0065787E"/>
    <w:rsid w:val="006578B6"/>
    <w:rsid w:val="006579F5"/>
    <w:rsid w:val="00657A44"/>
    <w:rsid w:val="00657BCF"/>
    <w:rsid w:val="00657D12"/>
    <w:rsid w:val="00657DB5"/>
    <w:rsid w:val="00657E28"/>
    <w:rsid w:val="00660096"/>
    <w:rsid w:val="0066010C"/>
    <w:rsid w:val="0066032C"/>
    <w:rsid w:val="00660440"/>
    <w:rsid w:val="00660545"/>
    <w:rsid w:val="00660564"/>
    <w:rsid w:val="0066063A"/>
    <w:rsid w:val="0066077E"/>
    <w:rsid w:val="006608B7"/>
    <w:rsid w:val="0066094F"/>
    <w:rsid w:val="006609BB"/>
    <w:rsid w:val="006609D7"/>
    <w:rsid w:val="00660A11"/>
    <w:rsid w:val="00660AD5"/>
    <w:rsid w:val="00660AD6"/>
    <w:rsid w:val="00660AF2"/>
    <w:rsid w:val="00660B39"/>
    <w:rsid w:val="00660BDF"/>
    <w:rsid w:val="00660C52"/>
    <w:rsid w:val="00660CA6"/>
    <w:rsid w:val="00660F01"/>
    <w:rsid w:val="0066111B"/>
    <w:rsid w:val="006611E4"/>
    <w:rsid w:val="0066147C"/>
    <w:rsid w:val="00661481"/>
    <w:rsid w:val="0066150F"/>
    <w:rsid w:val="00661513"/>
    <w:rsid w:val="0066187B"/>
    <w:rsid w:val="00661908"/>
    <w:rsid w:val="006619CA"/>
    <w:rsid w:val="00661AD2"/>
    <w:rsid w:val="00661B29"/>
    <w:rsid w:val="00661C41"/>
    <w:rsid w:val="00661C6B"/>
    <w:rsid w:val="00661C9F"/>
    <w:rsid w:val="00661D5D"/>
    <w:rsid w:val="00661D96"/>
    <w:rsid w:val="00661EEB"/>
    <w:rsid w:val="00661F99"/>
    <w:rsid w:val="0066212E"/>
    <w:rsid w:val="0066221D"/>
    <w:rsid w:val="0066225A"/>
    <w:rsid w:val="0066239C"/>
    <w:rsid w:val="006623AB"/>
    <w:rsid w:val="006624A2"/>
    <w:rsid w:val="006624BD"/>
    <w:rsid w:val="00662586"/>
    <w:rsid w:val="00662735"/>
    <w:rsid w:val="0066290C"/>
    <w:rsid w:val="00662AFA"/>
    <w:rsid w:val="00662B43"/>
    <w:rsid w:val="00662C98"/>
    <w:rsid w:val="00662EED"/>
    <w:rsid w:val="006632A0"/>
    <w:rsid w:val="006634CE"/>
    <w:rsid w:val="00663562"/>
    <w:rsid w:val="00663643"/>
    <w:rsid w:val="006636E9"/>
    <w:rsid w:val="006637BB"/>
    <w:rsid w:val="00663933"/>
    <w:rsid w:val="0066397A"/>
    <w:rsid w:val="00663D1C"/>
    <w:rsid w:val="00663DA0"/>
    <w:rsid w:val="00664052"/>
    <w:rsid w:val="00664395"/>
    <w:rsid w:val="0066440C"/>
    <w:rsid w:val="0066448D"/>
    <w:rsid w:val="0066476F"/>
    <w:rsid w:val="00664787"/>
    <w:rsid w:val="006647B0"/>
    <w:rsid w:val="006648D7"/>
    <w:rsid w:val="0066497D"/>
    <w:rsid w:val="00664A95"/>
    <w:rsid w:val="00664C69"/>
    <w:rsid w:val="00664D58"/>
    <w:rsid w:val="00664E43"/>
    <w:rsid w:val="00664F16"/>
    <w:rsid w:val="00664F8D"/>
    <w:rsid w:val="00664FF7"/>
    <w:rsid w:val="0066503C"/>
    <w:rsid w:val="006650EB"/>
    <w:rsid w:val="0066517C"/>
    <w:rsid w:val="00665257"/>
    <w:rsid w:val="006652B8"/>
    <w:rsid w:val="00665321"/>
    <w:rsid w:val="0066574E"/>
    <w:rsid w:val="0066574F"/>
    <w:rsid w:val="0066588B"/>
    <w:rsid w:val="0066598A"/>
    <w:rsid w:val="00665990"/>
    <w:rsid w:val="00665C3A"/>
    <w:rsid w:val="00665D58"/>
    <w:rsid w:val="00665EBB"/>
    <w:rsid w:val="00666023"/>
    <w:rsid w:val="006661A7"/>
    <w:rsid w:val="006662CE"/>
    <w:rsid w:val="0066638A"/>
    <w:rsid w:val="006663D3"/>
    <w:rsid w:val="006665A5"/>
    <w:rsid w:val="006665D1"/>
    <w:rsid w:val="00666852"/>
    <w:rsid w:val="00666A37"/>
    <w:rsid w:val="00666ADB"/>
    <w:rsid w:val="00666C97"/>
    <w:rsid w:val="00666DF1"/>
    <w:rsid w:val="00667112"/>
    <w:rsid w:val="00667227"/>
    <w:rsid w:val="0066725C"/>
    <w:rsid w:val="006674A7"/>
    <w:rsid w:val="006674BC"/>
    <w:rsid w:val="006674C6"/>
    <w:rsid w:val="00667579"/>
    <w:rsid w:val="00667588"/>
    <w:rsid w:val="00667607"/>
    <w:rsid w:val="00667625"/>
    <w:rsid w:val="006676FE"/>
    <w:rsid w:val="006677F2"/>
    <w:rsid w:val="006678BB"/>
    <w:rsid w:val="00667A07"/>
    <w:rsid w:val="00667A0D"/>
    <w:rsid w:val="00667ABA"/>
    <w:rsid w:val="00667B8E"/>
    <w:rsid w:val="00667BBB"/>
    <w:rsid w:val="00667C68"/>
    <w:rsid w:val="00667D04"/>
    <w:rsid w:val="00667D1F"/>
    <w:rsid w:val="00670187"/>
    <w:rsid w:val="0067044D"/>
    <w:rsid w:val="0067057D"/>
    <w:rsid w:val="006705B2"/>
    <w:rsid w:val="006706D3"/>
    <w:rsid w:val="006707C7"/>
    <w:rsid w:val="00670845"/>
    <w:rsid w:val="00670878"/>
    <w:rsid w:val="006708F8"/>
    <w:rsid w:val="00670ED3"/>
    <w:rsid w:val="00670F38"/>
    <w:rsid w:val="0067108D"/>
    <w:rsid w:val="00671354"/>
    <w:rsid w:val="0067135C"/>
    <w:rsid w:val="006713D0"/>
    <w:rsid w:val="0067147C"/>
    <w:rsid w:val="0067180F"/>
    <w:rsid w:val="006718CD"/>
    <w:rsid w:val="006719C9"/>
    <w:rsid w:val="00671A0B"/>
    <w:rsid w:val="00671BCC"/>
    <w:rsid w:val="00671D06"/>
    <w:rsid w:val="00671D21"/>
    <w:rsid w:val="0067214A"/>
    <w:rsid w:val="00672178"/>
    <w:rsid w:val="0067231E"/>
    <w:rsid w:val="00672568"/>
    <w:rsid w:val="0067264C"/>
    <w:rsid w:val="006727FE"/>
    <w:rsid w:val="006728BA"/>
    <w:rsid w:val="00672944"/>
    <w:rsid w:val="00672AD5"/>
    <w:rsid w:val="00672AF6"/>
    <w:rsid w:val="00672AFA"/>
    <w:rsid w:val="00672CA9"/>
    <w:rsid w:val="00672FC6"/>
    <w:rsid w:val="00673119"/>
    <w:rsid w:val="006733EE"/>
    <w:rsid w:val="00673562"/>
    <w:rsid w:val="0067373E"/>
    <w:rsid w:val="00673B9F"/>
    <w:rsid w:val="00673C95"/>
    <w:rsid w:val="00673DD9"/>
    <w:rsid w:val="00673F0A"/>
    <w:rsid w:val="00674058"/>
    <w:rsid w:val="0067407A"/>
    <w:rsid w:val="006740C7"/>
    <w:rsid w:val="0067411E"/>
    <w:rsid w:val="00674290"/>
    <w:rsid w:val="0067429D"/>
    <w:rsid w:val="006742D7"/>
    <w:rsid w:val="00674314"/>
    <w:rsid w:val="00674335"/>
    <w:rsid w:val="006744F5"/>
    <w:rsid w:val="006746AF"/>
    <w:rsid w:val="006748B8"/>
    <w:rsid w:val="00674BA1"/>
    <w:rsid w:val="00674C17"/>
    <w:rsid w:val="00674D9A"/>
    <w:rsid w:val="00674DB7"/>
    <w:rsid w:val="00674E1F"/>
    <w:rsid w:val="00674E9E"/>
    <w:rsid w:val="00674EBD"/>
    <w:rsid w:val="00674F1C"/>
    <w:rsid w:val="0067517E"/>
    <w:rsid w:val="006751A4"/>
    <w:rsid w:val="006755AC"/>
    <w:rsid w:val="00675617"/>
    <w:rsid w:val="0067586E"/>
    <w:rsid w:val="006758A8"/>
    <w:rsid w:val="00675BB6"/>
    <w:rsid w:val="00675CE4"/>
    <w:rsid w:val="00675E9C"/>
    <w:rsid w:val="00675EA7"/>
    <w:rsid w:val="006760FF"/>
    <w:rsid w:val="0067636C"/>
    <w:rsid w:val="00676468"/>
    <w:rsid w:val="006765FE"/>
    <w:rsid w:val="00676603"/>
    <w:rsid w:val="00676629"/>
    <w:rsid w:val="00676762"/>
    <w:rsid w:val="00676800"/>
    <w:rsid w:val="00676884"/>
    <w:rsid w:val="006769EE"/>
    <w:rsid w:val="006769FE"/>
    <w:rsid w:val="00676BD6"/>
    <w:rsid w:val="00676CAC"/>
    <w:rsid w:val="00676D7D"/>
    <w:rsid w:val="00676DC0"/>
    <w:rsid w:val="00676DC1"/>
    <w:rsid w:val="00676E9F"/>
    <w:rsid w:val="00676F91"/>
    <w:rsid w:val="00677147"/>
    <w:rsid w:val="0067723A"/>
    <w:rsid w:val="00677246"/>
    <w:rsid w:val="006774EC"/>
    <w:rsid w:val="006775C3"/>
    <w:rsid w:val="00677615"/>
    <w:rsid w:val="00677808"/>
    <w:rsid w:val="006778BD"/>
    <w:rsid w:val="00677998"/>
    <w:rsid w:val="00677A2C"/>
    <w:rsid w:val="00677AF5"/>
    <w:rsid w:val="00677B46"/>
    <w:rsid w:val="00677BBD"/>
    <w:rsid w:val="00677C49"/>
    <w:rsid w:val="00677D8D"/>
    <w:rsid w:val="00677DDA"/>
    <w:rsid w:val="00677E47"/>
    <w:rsid w:val="00680216"/>
    <w:rsid w:val="00680333"/>
    <w:rsid w:val="006804A3"/>
    <w:rsid w:val="0068054B"/>
    <w:rsid w:val="006806FA"/>
    <w:rsid w:val="00680911"/>
    <w:rsid w:val="00680AFA"/>
    <w:rsid w:val="00680CDB"/>
    <w:rsid w:val="00680D68"/>
    <w:rsid w:val="00680E16"/>
    <w:rsid w:val="0068102A"/>
    <w:rsid w:val="006810DA"/>
    <w:rsid w:val="006810E2"/>
    <w:rsid w:val="0068115B"/>
    <w:rsid w:val="00681242"/>
    <w:rsid w:val="006812E4"/>
    <w:rsid w:val="0068187E"/>
    <w:rsid w:val="006819FA"/>
    <w:rsid w:val="00681B45"/>
    <w:rsid w:val="00681DBE"/>
    <w:rsid w:val="00681E5F"/>
    <w:rsid w:val="00681F32"/>
    <w:rsid w:val="00681F6A"/>
    <w:rsid w:val="00682233"/>
    <w:rsid w:val="006822D6"/>
    <w:rsid w:val="006823BA"/>
    <w:rsid w:val="00682597"/>
    <w:rsid w:val="0068263A"/>
    <w:rsid w:val="0068266D"/>
    <w:rsid w:val="0068269F"/>
    <w:rsid w:val="00682840"/>
    <w:rsid w:val="00682861"/>
    <w:rsid w:val="006828CE"/>
    <w:rsid w:val="0068294B"/>
    <w:rsid w:val="0068298F"/>
    <w:rsid w:val="006829D5"/>
    <w:rsid w:val="00682A5E"/>
    <w:rsid w:val="00682B8F"/>
    <w:rsid w:val="00682C81"/>
    <w:rsid w:val="00682CCB"/>
    <w:rsid w:val="00682E46"/>
    <w:rsid w:val="00682E47"/>
    <w:rsid w:val="006831AB"/>
    <w:rsid w:val="00683294"/>
    <w:rsid w:val="00683504"/>
    <w:rsid w:val="006836FB"/>
    <w:rsid w:val="00683786"/>
    <w:rsid w:val="006837FC"/>
    <w:rsid w:val="006838D7"/>
    <w:rsid w:val="006838F7"/>
    <w:rsid w:val="006838FA"/>
    <w:rsid w:val="00683A0B"/>
    <w:rsid w:val="00683ACC"/>
    <w:rsid w:val="00683B37"/>
    <w:rsid w:val="00683CE5"/>
    <w:rsid w:val="00683E49"/>
    <w:rsid w:val="00683F17"/>
    <w:rsid w:val="00683FB8"/>
    <w:rsid w:val="00683FC9"/>
    <w:rsid w:val="0068400B"/>
    <w:rsid w:val="0068401E"/>
    <w:rsid w:val="00684051"/>
    <w:rsid w:val="00684135"/>
    <w:rsid w:val="00684170"/>
    <w:rsid w:val="00684336"/>
    <w:rsid w:val="00684385"/>
    <w:rsid w:val="00684412"/>
    <w:rsid w:val="00684444"/>
    <w:rsid w:val="00684732"/>
    <w:rsid w:val="006847BF"/>
    <w:rsid w:val="0068482B"/>
    <w:rsid w:val="0068499B"/>
    <w:rsid w:val="00684A21"/>
    <w:rsid w:val="00684CC2"/>
    <w:rsid w:val="00684E66"/>
    <w:rsid w:val="00684EB6"/>
    <w:rsid w:val="00684EB8"/>
    <w:rsid w:val="00684F6E"/>
    <w:rsid w:val="00685091"/>
    <w:rsid w:val="00685141"/>
    <w:rsid w:val="0068522F"/>
    <w:rsid w:val="00685355"/>
    <w:rsid w:val="0068535E"/>
    <w:rsid w:val="0068539E"/>
    <w:rsid w:val="0068555B"/>
    <w:rsid w:val="0068561F"/>
    <w:rsid w:val="00685657"/>
    <w:rsid w:val="00685660"/>
    <w:rsid w:val="00685702"/>
    <w:rsid w:val="00685745"/>
    <w:rsid w:val="006857C9"/>
    <w:rsid w:val="006857E4"/>
    <w:rsid w:val="00685814"/>
    <w:rsid w:val="00685865"/>
    <w:rsid w:val="00685AC2"/>
    <w:rsid w:val="00685B2D"/>
    <w:rsid w:val="00685B4A"/>
    <w:rsid w:val="00685B8A"/>
    <w:rsid w:val="00685BBB"/>
    <w:rsid w:val="00685C20"/>
    <w:rsid w:val="00686116"/>
    <w:rsid w:val="00686240"/>
    <w:rsid w:val="00686263"/>
    <w:rsid w:val="00686283"/>
    <w:rsid w:val="006862A9"/>
    <w:rsid w:val="006863CE"/>
    <w:rsid w:val="0068642B"/>
    <w:rsid w:val="006865FF"/>
    <w:rsid w:val="006867E7"/>
    <w:rsid w:val="00686940"/>
    <w:rsid w:val="00686CFE"/>
    <w:rsid w:val="00686D2E"/>
    <w:rsid w:val="0068709F"/>
    <w:rsid w:val="00687143"/>
    <w:rsid w:val="006871DF"/>
    <w:rsid w:val="006873B4"/>
    <w:rsid w:val="006875D3"/>
    <w:rsid w:val="006877EA"/>
    <w:rsid w:val="006879A1"/>
    <w:rsid w:val="00687A2A"/>
    <w:rsid w:val="00687A61"/>
    <w:rsid w:val="00687C8C"/>
    <w:rsid w:val="00687DE0"/>
    <w:rsid w:val="00687E52"/>
    <w:rsid w:val="00687F7D"/>
    <w:rsid w:val="0069018A"/>
    <w:rsid w:val="00690258"/>
    <w:rsid w:val="00690336"/>
    <w:rsid w:val="0069037D"/>
    <w:rsid w:val="00690385"/>
    <w:rsid w:val="006903E1"/>
    <w:rsid w:val="006906FD"/>
    <w:rsid w:val="0069078D"/>
    <w:rsid w:val="0069089C"/>
    <w:rsid w:val="00690940"/>
    <w:rsid w:val="00690941"/>
    <w:rsid w:val="0069097C"/>
    <w:rsid w:val="00690A4A"/>
    <w:rsid w:val="00690BA5"/>
    <w:rsid w:val="00690BB3"/>
    <w:rsid w:val="00690C83"/>
    <w:rsid w:val="00690CF5"/>
    <w:rsid w:val="0069100E"/>
    <w:rsid w:val="00691139"/>
    <w:rsid w:val="0069115A"/>
    <w:rsid w:val="0069139F"/>
    <w:rsid w:val="0069140C"/>
    <w:rsid w:val="00691464"/>
    <w:rsid w:val="006914F0"/>
    <w:rsid w:val="0069154F"/>
    <w:rsid w:val="0069155D"/>
    <w:rsid w:val="0069161F"/>
    <w:rsid w:val="00691763"/>
    <w:rsid w:val="006918F8"/>
    <w:rsid w:val="00691974"/>
    <w:rsid w:val="006919AC"/>
    <w:rsid w:val="006919D7"/>
    <w:rsid w:val="00691A05"/>
    <w:rsid w:val="00691D03"/>
    <w:rsid w:val="00691D1A"/>
    <w:rsid w:val="00691D85"/>
    <w:rsid w:val="00691E25"/>
    <w:rsid w:val="00691EBB"/>
    <w:rsid w:val="006920FE"/>
    <w:rsid w:val="00692177"/>
    <w:rsid w:val="00692234"/>
    <w:rsid w:val="00692240"/>
    <w:rsid w:val="00692394"/>
    <w:rsid w:val="006923D4"/>
    <w:rsid w:val="006926D2"/>
    <w:rsid w:val="00692711"/>
    <w:rsid w:val="006928C1"/>
    <w:rsid w:val="0069290A"/>
    <w:rsid w:val="00692C77"/>
    <w:rsid w:val="00692D6D"/>
    <w:rsid w:val="00692DF2"/>
    <w:rsid w:val="00692E12"/>
    <w:rsid w:val="00692F9B"/>
    <w:rsid w:val="006931C3"/>
    <w:rsid w:val="006936B4"/>
    <w:rsid w:val="006937CC"/>
    <w:rsid w:val="006937EE"/>
    <w:rsid w:val="006938DF"/>
    <w:rsid w:val="006939CD"/>
    <w:rsid w:val="00693AAB"/>
    <w:rsid w:val="00693C67"/>
    <w:rsid w:val="00693D58"/>
    <w:rsid w:val="00693F84"/>
    <w:rsid w:val="00693FA1"/>
    <w:rsid w:val="00693FF2"/>
    <w:rsid w:val="00694235"/>
    <w:rsid w:val="0069438C"/>
    <w:rsid w:val="006945B8"/>
    <w:rsid w:val="00694659"/>
    <w:rsid w:val="0069467A"/>
    <w:rsid w:val="006948AA"/>
    <w:rsid w:val="0069492A"/>
    <w:rsid w:val="00694A95"/>
    <w:rsid w:val="00694B20"/>
    <w:rsid w:val="00694BFA"/>
    <w:rsid w:val="00694CF1"/>
    <w:rsid w:val="00694E45"/>
    <w:rsid w:val="00694E4D"/>
    <w:rsid w:val="00694EAF"/>
    <w:rsid w:val="00694EC8"/>
    <w:rsid w:val="00694F55"/>
    <w:rsid w:val="00695059"/>
    <w:rsid w:val="0069515B"/>
    <w:rsid w:val="006951DE"/>
    <w:rsid w:val="00695231"/>
    <w:rsid w:val="00695337"/>
    <w:rsid w:val="00695402"/>
    <w:rsid w:val="0069569E"/>
    <w:rsid w:val="0069570D"/>
    <w:rsid w:val="006958F2"/>
    <w:rsid w:val="00695A7C"/>
    <w:rsid w:val="00695AB3"/>
    <w:rsid w:val="00695C6C"/>
    <w:rsid w:val="00695DB1"/>
    <w:rsid w:val="00695E27"/>
    <w:rsid w:val="00695FC0"/>
    <w:rsid w:val="0069612C"/>
    <w:rsid w:val="0069614E"/>
    <w:rsid w:val="0069624F"/>
    <w:rsid w:val="0069632F"/>
    <w:rsid w:val="00696381"/>
    <w:rsid w:val="006966E1"/>
    <w:rsid w:val="0069670F"/>
    <w:rsid w:val="006967D6"/>
    <w:rsid w:val="00696907"/>
    <w:rsid w:val="00696956"/>
    <w:rsid w:val="0069699D"/>
    <w:rsid w:val="006969B9"/>
    <w:rsid w:val="006969F5"/>
    <w:rsid w:val="00696A2E"/>
    <w:rsid w:val="00696AAC"/>
    <w:rsid w:val="00696B88"/>
    <w:rsid w:val="00696BDF"/>
    <w:rsid w:val="00696C45"/>
    <w:rsid w:val="00696C59"/>
    <w:rsid w:val="00696C7A"/>
    <w:rsid w:val="00696CB6"/>
    <w:rsid w:val="00696D3C"/>
    <w:rsid w:val="00696D7F"/>
    <w:rsid w:val="00696E7E"/>
    <w:rsid w:val="00696F10"/>
    <w:rsid w:val="00696FC8"/>
    <w:rsid w:val="0069701E"/>
    <w:rsid w:val="006970A7"/>
    <w:rsid w:val="00697181"/>
    <w:rsid w:val="006972E1"/>
    <w:rsid w:val="00697327"/>
    <w:rsid w:val="0069744B"/>
    <w:rsid w:val="0069747B"/>
    <w:rsid w:val="0069762F"/>
    <w:rsid w:val="00697680"/>
    <w:rsid w:val="006976A5"/>
    <w:rsid w:val="0069771D"/>
    <w:rsid w:val="0069774E"/>
    <w:rsid w:val="0069775A"/>
    <w:rsid w:val="00697813"/>
    <w:rsid w:val="006979FC"/>
    <w:rsid w:val="00697A23"/>
    <w:rsid w:val="00697B5B"/>
    <w:rsid w:val="00697EB6"/>
    <w:rsid w:val="00697FA1"/>
    <w:rsid w:val="00697FC0"/>
    <w:rsid w:val="00697FCC"/>
    <w:rsid w:val="006A002F"/>
    <w:rsid w:val="006A003D"/>
    <w:rsid w:val="006A0676"/>
    <w:rsid w:val="006A0677"/>
    <w:rsid w:val="006A0742"/>
    <w:rsid w:val="006A099F"/>
    <w:rsid w:val="006A0ABC"/>
    <w:rsid w:val="006A0ABF"/>
    <w:rsid w:val="006A0B4D"/>
    <w:rsid w:val="006A0B75"/>
    <w:rsid w:val="006A0C37"/>
    <w:rsid w:val="006A0D21"/>
    <w:rsid w:val="006A0E11"/>
    <w:rsid w:val="006A12C7"/>
    <w:rsid w:val="006A13E8"/>
    <w:rsid w:val="006A1514"/>
    <w:rsid w:val="006A1515"/>
    <w:rsid w:val="006A1896"/>
    <w:rsid w:val="006A1F98"/>
    <w:rsid w:val="006A2039"/>
    <w:rsid w:val="006A2105"/>
    <w:rsid w:val="006A2122"/>
    <w:rsid w:val="006A2185"/>
    <w:rsid w:val="006A2199"/>
    <w:rsid w:val="006A2350"/>
    <w:rsid w:val="006A23EF"/>
    <w:rsid w:val="006A25AE"/>
    <w:rsid w:val="006A2696"/>
    <w:rsid w:val="006A2740"/>
    <w:rsid w:val="006A283D"/>
    <w:rsid w:val="006A2936"/>
    <w:rsid w:val="006A29F3"/>
    <w:rsid w:val="006A2B5A"/>
    <w:rsid w:val="006A2F2C"/>
    <w:rsid w:val="006A2F2D"/>
    <w:rsid w:val="006A30B6"/>
    <w:rsid w:val="006A318F"/>
    <w:rsid w:val="006A31C5"/>
    <w:rsid w:val="006A3271"/>
    <w:rsid w:val="006A32B6"/>
    <w:rsid w:val="006A32EF"/>
    <w:rsid w:val="006A3533"/>
    <w:rsid w:val="006A373E"/>
    <w:rsid w:val="006A3894"/>
    <w:rsid w:val="006A3916"/>
    <w:rsid w:val="006A3B7C"/>
    <w:rsid w:val="006A3BEF"/>
    <w:rsid w:val="006A3DD1"/>
    <w:rsid w:val="006A3E51"/>
    <w:rsid w:val="006A3EE8"/>
    <w:rsid w:val="006A40EF"/>
    <w:rsid w:val="006A40FB"/>
    <w:rsid w:val="006A424D"/>
    <w:rsid w:val="006A4392"/>
    <w:rsid w:val="006A4522"/>
    <w:rsid w:val="006A4572"/>
    <w:rsid w:val="006A45F4"/>
    <w:rsid w:val="006A46BD"/>
    <w:rsid w:val="006A494C"/>
    <w:rsid w:val="006A4973"/>
    <w:rsid w:val="006A4A2B"/>
    <w:rsid w:val="006A4AF3"/>
    <w:rsid w:val="006A4B27"/>
    <w:rsid w:val="006A4D95"/>
    <w:rsid w:val="006A4E6E"/>
    <w:rsid w:val="006A5106"/>
    <w:rsid w:val="006A52DA"/>
    <w:rsid w:val="006A53DB"/>
    <w:rsid w:val="006A5403"/>
    <w:rsid w:val="006A5529"/>
    <w:rsid w:val="006A573B"/>
    <w:rsid w:val="006A585C"/>
    <w:rsid w:val="006A59B5"/>
    <w:rsid w:val="006A5A79"/>
    <w:rsid w:val="006A5B97"/>
    <w:rsid w:val="006A5C0D"/>
    <w:rsid w:val="006A5C39"/>
    <w:rsid w:val="006A5DB1"/>
    <w:rsid w:val="006A5E96"/>
    <w:rsid w:val="006A5F61"/>
    <w:rsid w:val="006A5FAC"/>
    <w:rsid w:val="006A60B0"/>
    <w:rsid w:val="006A60FD"/>
    <w:rsid w:val="006A6145"/>
    <w:rsid w:val="006A61F9"/>
    <w:rsid w:val="006A6226"/>
    <w:rsid w:val="006A62D0"/>
    <w:rsid w:val="006A63BA"/>
    <w:rsid w:val="006A682B"/>
    <w:rsid w:val="006A69E9"/>
    <w:rsid w:val="006A6AA4"/>
    <w:rsid w:val="006A6D15"/>
    <w:rsid w:val="006A6DB1"/>
    <w:rsid w:val="006A6E3E"/>
    <w:rsid w:val="006A6F48"/>
    <w:rsid w:val="006A6FA1"/>
    <w:rsid w:val="006A6FFF"/>
    <w:rsid w:val="006A7038"/>
    <w:rsid w:val="006A7087"/>
    <w:rsid w:val="006A729C"/>
    <w:rsid w:val="006A72BF"/>
    <w:rsid w:val="006A72DE"/>
    <w:rsid w:val="006A73C7"/>
    <w:rsid w:val="006A73DC"/>
    <w:rsid w:val="006A7428"/>
    <w:rsid w:val="006A745C"/>
    <w:rsid w:val="006A7498"/>
    <w:rsid w:val="006A7595"/>
    <w:rsid w:val="006A75D0"/>
    <w:rsid w:val="006A763E"/>
    <w:rsid w:val="006A7735"/>
    <w:rsid w:val="006A7769"/>
    <w:rsid w:val="006A77F0"/>
    <w:rsid w:val="006A799D"/>
    <w:rsid w:val="006A7AF9"/>
    <w:rsid w:val="006A7B20"/>
    <w:rsid w:val="006A7BBB"/>
    <w:rsid w:val="006A7C0F"/>
    <w:rsid w:val="006A7D2A"/>
    <w:rsid w:val="006A7D5F"/>
    <w:rsid w:val="006A7E25"/>
    <w:rsid w:val="006B0128"/>
    <w:rsid w:val="006B021E"/>
    <w:rsid w:val="006B02FC"/>
    <w:rsid w:val="006B03F2"/>
    <w:rsid w:val="006B0926"/>
    <w:rsid w:val="006B099C"/>
    <w:rsid w:val="006B0B2D"/>
    <w:rsid w:val="006B0CF9"/>
    <w:rsid w:val="006B1017"/>
    <w:rsid w:val="006B127C"/>
    <w:rsid w:val="006B13DB"/>
    <w:rsid w:val="006B1463"/>
    <w:rsid w:val="006B1582"/>
    <w:rsid w:val="006B15B6"/>
    <w:rsid w:val="006B1707"/>
    <w:rsid w:val="006B177E"/>
    <w:rsid w:val="006B1796"/>
    <w:rsid w:val="006B1916"/>
    <w:rsid w:val="006B1935"/>
    <w:rsid w:val="006B1975"/>
    <w:rsid w:val="006B1A31"/>
    <w:rsid w:val="006B1A76"/>
    <w:rsid w:val="006B1B4F"/>
    <w:rsid w:val="006B1C50"/>
    <w:rsid w:val="006B1CAC"/>
    <w:rsid w:val="006B1D51"/>
    <w:rsid w:val="006B1E71"/>
    <w:rsid w:val="006B2125"/>
    <w:rsid w:val="006B2251"/>
    <w:rsid w:val="006B2365"/>
    <w:rsid w:val="006B24FA"/>
    <w:rsid w:val="006B28D4"/>
    <w:rsid w:val="006B29C4"/>
    <w:rsid w:val="006B29E0"/>
    <w:rsid w:val="006B2AF4"/>
    <w:rsid w:val="006B2DDE"/>
    <w:rsid w:val="006B2F36"/>
    <w:rsid w:val="006B2FE6"/>
    <w:rsid w:val="006B3055"/>
    <w:rsid w:val="006B31B8"/>
    <w:rsid w:val="006B32D9"/>
    <w:rsid w:val="006B335E"/>
    <w:rsid w:val="006B3393"/>
    <w:rsid w:val="006B34DF"/>
    <w:rsid w:val="006B34E1"/>
    <w:rsid w:val="006B36DC"/>
    <w:rsid w:val="006B36E2"/>
    <w:rsid w:val="006B37DC"/>
    <w:rsid w:val="006B39AD"/>
    <w:rsid w:val="006B3A01"/>
    <w:rsid w:val="006B3B88"/>
    <w:rsid w:val="006B3B95"/>
    <w:rsid w:val="006B3ED7"/>
    <w:rsid w:val="006B3F84"/>
    <w:rsid w:val="006B3FA7"/>
    <w:rsid w:val="006B3FB6"/>
    <w:rsid w:val="006B4012"/>
    <w:rsid w:val="006B438F"/>
    <w:rsid w:val="006B43A3"/>
    <w:rsid w:val="006B43CA"/>
    <w:rsid w:val="006B4438"/>
    <w:rsid w:val="006B480D"/>
    <w:rsid w:val="006B48F4"/>
    <w:rsid w:val="006B4A79"/>
    <w:rsid w:val="006B4BB1"/>
    <w:rsid w:val="006B4CFD"/>
    <w:rsid w:val="006B4E17"/>
    <w:rsid w:val="006B4F11"/>
    <w:rsid w:val="006B4F68"/>
    <w:rsid w:val="006B5024"/>
    <w:rsid w:val="006B508F"/>
    <w:rsid w:val="006B5093"/>
    <w:rsid w:val="006B513E"/>
    <w:rsid w:val="006B5329"/>
    <w:rsid w:val="006B53DB"/>
    <w:rsid w:val="006B54A6"/>
    <w:rsid w:val="006B5605"/>
    <w:rsid w:val="006B568B"/>
    <w:rsid w:val="006B574B"/>
    <w:rsid w:val="006B57C4"/>
    <w:rsid w:val="006B5842"/>
    <w:rsid w:val="006B5AE2"/>
    <w:rsid w:val="006B5C88"/>
    <w:rsid w:val="006B5C8B"/>
    <w:rsid w:val="006B5CC5"/>
    <w:rsid w:val="006B5F09"/>
    <w:rsid w:val="006B5FF6"/>
    <w:rsid w:val="006B60C7"/>
    <w:rsid w:val="006B60D7"/>
    <w:rsid w:val="006B6117"/>
    <w:rsid w:val="006B6573"/>
    <w:rsid w:val="006B66C9"/>
    <w:rsid w:val="006B674E"/>
    <w:rsid w:val="006B6CB2"/>
    <w:rsid w:val="006B6F5C"/>
    <w:rsid w:val="006B6F62"/>
    <w:rsid w:val="006B6FEC"/>
    <w:rsid w:val="006B7359"/>
    <w:rsid w:val="006B744C"/>
    <w:rsid w:val="006B7466"/>
    <w:rsid w:val="006B7623"/>
    <w:rsid w:val="006B7670"/>
    <w:rsid w:val="006B76AF"/>
    <w:rsid w:val="006B7700"/>
    <w:rsid w:val="006B77D6"/>
    <w:rsid w:val="006B7880"/>
    <w:rsid w:val="006B792C"/>
    <w:rsid w:val="006B7ACF"/>
    <w:rsid w:val="006B7B59"/>
    <w:rsid w:val="006B7C14"/>
    <w:rsid w:val="006B7D27"/>
    <w:rsid w:val="006B7D77"/>
    <w:rsid w:val="006B7E9C"/>
    <w:rsid w:val="006B7F68"/>
    <w:rsid w:val="006B7F91"/>
    <w:rsid w:val="006C00A3"/>
    <w:rsid w:val="006C0173"/>
    <w:rsid w:val="006C038A"/>
    <w:rsid w:val="006C054E"/>
    <w:rsid w:val="006C055A"/>
    <w:rsid w:val="006C0575"/>
    <w:rsid w:val="006C0592"/>
    <w:rsid w:val="006C0674"/>
    <w:rsid w:val="006C07DD"/>
    <w:rsid w:val="006C0832"/>
    <w:rsid w:val="006C096F"/>
    <w:rsid w:val="006C0B1D"/>
    <w:rsid w:val="006C0BCF"/>
    <w:rsid w:val="006C0C87"/>
    <w:rsid w:val="006C0E87"/>
    <w:rsid w:val="006C10D2"/>
    <w:rsid w:val="006C128A"/>
    <w:rsid w:val="006C13DA"/>
    <w:rsid w:val="006C1552"/>
    <w:rsid w:val="006C1569"/>
    <w:rsid w:val="006C165C"/>
    <w:rsid w:val="006C169E"/>
    <w:rsid w:val="006C170E"/>
    <w:rsid w:val="006C1714"/>
    <w:rsid w:val="006C17A0"/>
    <w:rsid w:val="006C18C6"/>
    <w:rsid w:val="006C199D"/>
    <w:rsid w:val="006C1C7C"/>
    <w:rsid w:val="006C1D49"/>
    <w:rsid w:val="006C1E9C"/>
    <w:rsid w:val="006C20AE"/>
    <w:rsid w:val="006C2391"/>
    <w:rsid w:val="006C2620"/>
    <w:rsid w:val="006C272E"/>
    <w:rsid w:val="006C2761"/>
    <w:rsid w:val="006C27D2"/>
    <w:rsid w:val="006C27E7"/>
    <w:rsid w:val="006C2857"/>
    <w:rsid w:val="006C286B"/>
    <w:rsid w:val="006C28FB"/>
    <w:rsid w:val="006C2A0E"/>
    <w:rsid w:val="006C2CE5"/>
    <w:rsid w:val="006C2D6E"/>
    <w:rsid w:val="006C2DD8"/>
    <w:rsid w:val="006C2E01"/>
    <w:rsid w:val="006C2FFF"/>
    <w:rsid w:val="006C3231"/>
    <w:rsid w:val="006C32FC"/>
    <w:rsid w:val="006C3315"/>
    <w:rsid w:val="006C3351"/>
    <w:rsid w:val="006C36E1"/>
    <w:rsid w:val="006C3830"/>
    <w:rsid w:val="006C3EA8"/>
    <w:rsid w:val="006C3F08"/>
    <w:rsid w:val="006C3F2C"/>
    <w:rsid w:val="006C400D"/>
    <w:rsid w:val="006C40BA"/>
    <w:rsid w:val="006C40E1"/>
    <w:rsid w:val="006C43CC"/>
    <w:rsid w:val="006C4452"/>
    <w:rsid w:val="006C4556"/>
    <w:rsid w:val="006C45F7"/>
    <w:rsid w:val="006C4983"/>
    <w:rsid w:val="006C49AF"/>
    <w:rsid w:val="006C4B0D"/>
    <w:rsid w:val="006C4BAB"/>
    <w:rsid w:val="006C4DB1"/>
    <w:rsid w:val="006C500F"/>
    <w:rsid w:val="006C53D4"/>
    <w:rsid w:val="006C53E8"/>
    <w:rsid w:val="006C5479"/>
    <w:rsid w:val="006C566D"/>
    <w:rsid w:val="006C5834"/>
    <w:rsid w:val="006C588D"/>
    <w:rsid w:val="006C5969"/>
    <w:rsid w:val="006C5992"/>
    <w:rsid w:val="006C5997"/>
    <w:rsid w:val="006C5A42"/>
    <w:rsid w:val="006C5A49"/>
    <w:rsid w:val="006C5B5B"/>
    <w:rsid w:val="006C5C3A"/>
    <w:rsid w:val="006C5C7C"/>
    <w:rsid w:val="006C5C8E"/>
    <w:rsid w:val="006C5CAB"/>
    <w:rsid w:val="006C5D39"/>
    <w:rsid w:val="006C5D4E"/>
    <w:rsid w:val="006C5D62"/>
    <w:rsid w:val="006C5D98"/>
    <w:rsid w:val="006C5F19"/>
    <w:rsid w:val="006C5F57"/>
    <w:rsid w:val="006C62BC"/>
    <w:rsid w:val="006C6428"/>
    <w:rsid w:val="006C662A"/>
    <w:rsid w:val="006C677B"/>
    <w:rsid w:val="006C6806"/>
    <w:rsid w:val="006C6857"/>
    <w:rsid w:val="006C6865"/>
    <w:rsid w:val="006C6868"/>
    <w:rsid w:val="006C6E56"/>
    <w:rsid w:val="006C6F74"/>
    <w:rsid w:val="006C72DE"/>
    <w:rsid w:val="006C752A"/>
    <w:rsid w:val="006C7540"/>
    <w:rsid w:val="006C7551"/>
    <w:rsid w:val="006C7793"/>
    <w:rsid w:val="006C77A3"/>
    <w:rsid w:val="006C78A9"/>
    <w:rsid w:val="006C78F8"/>
    <w:rsid w:val="006C792C"/>
    <w:rsid w:val="006C7961"/>
    <w:rsid w:val="006C7ABD"/>
    <w:rsid w:val="006C7D47"/>
    <w:rsid w:val="006C7E51"/>
    <w:rsid w:val="006C7FAD"/>
    <w:rsid w:val="006D00B9"/>
    <w:rsid w:val="006D0176"/>
    <w:rsid w:val="006D024F"/>
    <w:rsid w:val="006D02E8"/>
    <w:rsid w:val="006D03ED"/>
    <w:rsid w:val="006D0423"/>
    <w:rsid w:val="006D06D7"/>
    <w:rsid w:val="006D0724"/>
    <w:rsid w:val="006D07CA"/>
    <w:rsid w:val="006D0804"/>
    <w:rsid w:val="006D08A1"/>
    <w:rsid w:val="006D09FA"/>
    <w:rsid w:val="006D0A05"/>
    <w:rsid w:val="006D0A66"/>
    <w:rsid w:val="006D0BEC"/>
    <w:rsid w:val="006D0EA5"/>
    <w:rsid w:val="006D0EB3"/>
    <w:rsid w:val="006D1061"/>
    <w:rsid w:val="006D1205"/>
    <w:rsid w:val="006D13B5"/>
    <w:rsid w:val="006D1458"/>
    <w:rsid w:val="006D14F3"/>
    <w:rsid w:val="006D1755"/>
    <w:rsid w:val="006D1A24"/>
    <w:rsid w:val="006D1B0F"/>
    <w:rsid w:val="006D1B3A"/>
    <w:rsid w:val="006D1DE2"/>
    <w:rsid w:val="006D1FCE"/>
    <w:rsid w:val="006D2078"/>
    <w:rsid w:val="006D2149"/>
    <w:rsid w:val="006D239A"/>
    <w:rsid w:val="006D25BE"/>
    <w:rsid w:val="006D269F"/>
    <w:rsid w:val="006D297F"/>
    <w:rsid w:val="006D29B9"/>
    <w:rsid w:val="006D2B69"/>
    <w:rsid w:val="006D2C3B"/>
    <w:rsid w:val="006D2D32"/>
    <w:rsid w:val="006D2E1C"/>
    <w:rsid w:val="006D2E21"/>
    <w:rsid w:val="006D2F77"/>
    <w:rsid w:val="006D3019"/>
    <w:rsid w:val="006D30E3"/>
    <w:rsid w:val="006D331D"/>
    <w:rsid w:val="006D34F7"/>
    <w:rsid w:val="006D360C"/>
    <w:rsid w:val="006D367F"/>
    <w:rsid w:val="006D37B9"/>
    <w:rsid w:val="006D3873"/>
    <w:rsid w:val="006D398A"/>
    <w:rsid w:val="006D3A7A"/>
    <w:rsid w:val="006D3D29"/>
    <w:rsid w:val="006D3D2B"/>
    <w:rsid w:val="006D3DC7"/>
    <w:rsid w:val="006D4002"/>
    <w:rsid w:val="006D400D"/>
    <w:rsid w:val="006D4052"/>
    <w:rsid w:val="006D4095"/>
    <w:rsid w:val="006D4505"/>
    <w:rsid w:val="006D4556"/>
    <w:rsid w:val="006D45AA"/>
    <w:rsid w:val="006D45C5"/>
    <w:rsid w:val="006D470B"/>
    <w:rsid w:val="006D48C9"/>
    <w:rsid w:val="006D493F"/>
    <w:rsid w:val="006D495E"/>
    <w:rsid w:val="006D4A78"/>
    <w:rsid w:val="006D4C95"/>
    <w:rsid w:val="006D4CF4"/>
    <w:rsid w:val="006D4D81"/>
    <w:rsid w:val="006D4DB1"/>
    <w:rsid w:val="006D517D"/>
    <w:rsid w:val="006D52EF"/>
    <w:rsid w:val="006D55E3"/>
    <w:rsid w:val="006D567A"/>
    <w:rsid w:val="006D5868"/>
    <w:rsid w:val="006D589B"/>
    <w:rsid w:val="006D58DC"/>
    <w:rsid w:val="006D5A4C"/>
    <w:rsid w:val="006D5AA7"/>
    <w:rsid w:val="006D6104"/>
    <w:rsid w:val="006D61C9"/>
    <w:rsid w:val="006D61FF"/>
    <w:rsid w:val="006D62F5"/>
    <w:rsid w:val="006D63FB"/>
    <w:rsid w:val="006D64EE"/>
    <w:rsid w:val="006D6590"/>
    <w:rsid w:val="006D65FB"/>
    <w:rsid w:val="006D6619"/>
    <w:rsid w:val="006D66A4"/>
    <w:rsid w:val="006D6A98"/>
    <w:rsid w:val="006D6B59"/>
    <w:rsid w:val="006D6BD6"/>
    <w:rsid w:val="006D6CEF"/>
    <w:rsid w:val="006D7037"/>
    <w:rsid w:val="006D70F5"/>
    <w:rsid w:val="006D72D4"/>
    <w:rsid w:val="006D75F0"/>
    <w:rsid w:val="006D7716"/>
    <w:rsid w:val="006D777D"/>
    <w:rsid w:val="006D79B3"/>
    <w:rsid w:val="006D79DB"/>
    <w:rsid w:val="006D7C65"/>
    <w:rsid w:val="006D7D80"/>
    <w:rsid w:val="006D7E74"/>
    <w:rsid w:val="006D7E75"/>
    <w:rsid w:val="006D7EA4"/>
    <w:rsid w:val="006D7FCF"/>
    <w:rsid w:val="006E0149"/>
    <w:rsid w:val="006E0271"/>
    <w:rsid w:val="006E0477"/>
    <w:rsid w:val="006E055B"/>
    <w:rsid w:val="006E05EB"/>
    <w:rsid w:val="006E0626"/>
    <w:rsid w:val="006E0746"/>
    <w:rsid w:val="006E08C3"/>
    <w:rsid w:val="006E0AED"/>
    <w:rsid w:val="006E0B3F"/>
    <w:rsid w:val="006E0BEB"/>
    <w:rsid w:val="006E0D3C"/>
    <w:rsid w:val="006E0E2C"/>
    <w:rsid w:val="006E0E3E"/>
    <w:rsid w:val="006E1106"/>
    <w:rsid w:val="006E120F"/>
    <w:rsid w:val="006E12CF"/>
    <w:rsid w:val="006E12FF"/>
    <w:rsid w:val="006E177C"/>
    <w:rsid w:val="006E18FD"/>
    <w:rsid w:val="006E190F"/>
    <w:rsid w:val="006E19F8"/>
    <w:rsid w:val="006E1AEF"/>
    <w:rsid w:val="006E1B76"/>
    <w:rsid w:val="006E1BCE"/>
    <w:rsid w:val="006E1C21"/>
    <w:rsid w:val="006E1CF1"/>
    <w:rsid w:val="006E1D2B"/>
    <w:rsid w:val="006E1D52"/>
    <w:rsid w:val="006E1E86"/>
    <w:rsid w:val="006E1EE3"/>
    <w:rsid w:val="006E1F33"/>
    <w:rsid w:val="006E1FFF"/>
    <w:rsid w:val="006E21A6"/>
    <w:rsid w:val="006E21E0"/>
    <w:rsid w:val="006E24DE"/>
    <w:rsid w:val="006E2651"/>
    <w:rsid w:val="006E280A"/>
    <w:rsid w:val="006E2819"/>
    <w:rsid w:val="006E282F"/>
    <w:rsid w:val="006E2898"/>
    <w:rsid w:val="006E28CF"/>
    <w:rsid w:val="006E297D"/>
    <w:rsid w:val="006E2A14"/>
    <w:rsid w:val="006E2A3E"/>
    <w:rsid w:val="006E2BAE"/>
    <w:rsid w:val="006E2BDA"/>
    <w:rsid w:val="006E2E42"/>
    <w:rsid w:val="006E2FBD"/>
    <w:rsid w:val="006E301E"/>
    <w:rsid w:val="006E3144"/>
    <w:rsid w:val="006E3177"/>
    <w:rsid w:val="006E3195"/>
    <w:rsid w:val="006E324B"/>
    <w:rsid w:val="006E325B"/>
    <w:rsid w:val="006E3401"/>
    <w:rsid w:val="006E3575"/>
    <w:rsid w:val="006E35B3"/>
    <w:rsid w:val="006E364A"/>
    <w:rsid w:val="006E387B"/>
    <w:rsid w:val="006E398D"/>
    <w:rsid w:val="006E3B1C"/>
    <w:rsid w:val="006E3C81"/>
    <w:rsid w:val="006E3D3B"/>
    <w:rsid w:val="006E411D"/>
    <w:rsid w:val="006E41A6"/>
    <w:rsid w:val="006E430D"/>
    <w:rsid w:val="006E4483"/>
    <w:rsid w:val="006E44FA"/>
    <w:rsid w:val="006E457F"/>
    <w:rsid w:val="006E464B"/>
    <w:rsid w:val="006E46BF"/>
    <w:rsid w:val="006E4871"/>
    <w:rsid w:val="006E4B39"/>
    <w:rsid w:val="006E4B43"/>
    <w:rsid w:val="006E4B83"/>
    <w:rsid w:val="006E4C70"/>
    <w:rsid w:val="006E4C91"/>
    <w:rsid w:val="006E4C95"/>
    <w:rsid w:val="006E4DC3"/>
    <w:rsid w:val="006E4E3A"/>
    <w:rsid w:val="006E4E55"/>
    <w:rsid w:val="006E4E8E"/>
    <w:rsid w:val="006E4F1D"/>
    <w:rsid w:val="006E5031"/>
    <w:rsid w:val="006E517E"/>
    <w:rsid w:val="006E57B5"/>
    <w:rsid w:val="006E5900"/>
    <w:rsid w:val="006E5B4A"/>
    <w:rsid w:val="006E5CA3"/>
    <w:rsid w:val="006E5D0A"/>
    <w:rsid w:val="006E5E19"/>
    <w:rsid w:val="006E5F74"/>
    <w:rsid w:val="006E607E"/>
    <w:rsid w:val="006E614A"/>
    <w:rsid w:val="006E6201"/>
    <w:rsid w:val="006E6262"/>
    <w:rsid w:val="006E62AA"/>
    <w:rsid w:val="006E62AE"/>
    <w:rsid w:val="006E6466"/>
    <w:rsid w:val="006E6576"/>
    <w:rsid w:val="006E65D1"/>
    <w:rsid w:val="006E670A"/>
    <w:rsid w:val="006E6827"/>
    <w:rsid w:val="006E6970"/>
    <w:rsid w:val="006E6979"/>
    <w:rsid w:val="006E6B85"/>
    <w:rsid w:val="006E6D75"/>
    <w:rsid w:val="006E6E1C"/>
    <w:rsid w:val="006E6E99"/>
    <w:rsid w:val="006E6FB4"/>
    <w:rsid w:val="006E6FFA"/>
    <w:rsid w:val="006E727F"/>
    <w:rsid w:val="006E7280"/>
    <w:rsid w:val="006E73DA"/>
    <w:rsid w:val="006E73EE"/>
    <w:rsid w:val="006E73FE"/>
    <w:rsid w:val="006E747F"/>
    <w:rsid w:val="006E75A0"/>
    <w:rsid w:val="006E75F8"/>
    <w:rsid w:val="006E786D"/>
    <w:rsid w:val="006E7879"/>
    <w:rsid w:val="006E7AB0"/>
    <w:rsid w:val="006E7C07"/>
    <w:rsid w:val="006E7D05"/>
    <w:rsid w:val="006E7D07"/>
    <w:rsid w:val="006E7D5F"/>
    <w:rsid w:val="006E7D67"/>
    <w:rsid w:val="006E7EE8"/>
    <w:rsid w:val="006E7F46"/>
    <w:rsid w:val="006E7F85"/>
    <w:rsid w:val="006E7FB2"/>
    <w:rsid w:val="006F0086"/>
    <w:rsid w:val="006F01A6"/>
    <w:rsid w:val="006F02D3"/>
    <w:rsid w:val="006F033F"/>
    <w:rsid w:val="006F0440"/>
    <w:rsid w:val="006F05F9"/>
    <w:rsid w:val="006F07AD"/>
    <w:rsid w:val="006F0929"/>
    <w:rsid w:val="006F096B"/>
    <w:rsid w:val="006F096F"/>
    <w:rsid w:val="006F0A03"/>
    <w:rsid w:val="006F0AAC"/>
    <w:rsid w:val="006F117D"/>
    <w:rsid w:val="006F11A0"/>
    <w:rsid w:val="006F126A"/>
    <w:rsid w:val="006F1314"/>
    <w:rsid w:val="006F144C"/>
    <w:rsid w:val="006F1469"/>
    <w:rsid w:val="006F1556"/>
    <w:rsid w:val="006F15B1"/>
    <w:rsid w:val="006F18F7"/>
    <w:rsid w:val="006F19A4"/>
    <w:rsid w:val="006F1A89"/>
    <w:rsid w:val="006F1B28"/>
    <w:rsid w:val="006F1B8A"/>
    <w:rsid w:val="006F1D73"/>
    <w:rsid w:val="006F1F39"/>
    <w:rsid w:val="006F1FF2"/>
    <w:rsid w:val="006F2030"/>
    <w:rsid w:val="006F219C"/>
    <w:rsid w:val="006F21FD"/>
    <w:rsid w:val="006F227E"/>
    <w:rsid w:val="006F22D4"/>
    <w:rsid w:val="006F23B5"/>
    <w:rsid w:val="006F23F0"/>
    <w:rsid w:val="006F25FC"/>
    <w:rsid w:val="006F261E"/>
    <w:rsid w:val="006F2628"/>
    <w:rsid w:val="006F2659"/>
    <w:rsid w:val="006F2830"/>
    <w:rsid w:val="006F2ABB"/>
    <w:rsid w:val="006F2AFF"/>
    <w:rsid w:val="006F2CCB"/>
    <w:rsid w:val="006F2F19"/>
    <w:rsid w:val="006F2F23"/>
    <w:rsid w:val="006F30EA"/>
    <w:rsid w:val="006F332E"/>
    <w:rsid w:val="006F3399"/>
    <w:rsid w:val="006F3496"/>
    <w:rsid w:val="006F35BF"/>
    <w:rsid w:val="006F3698"/>
    <w:rsid w:val="006F3719"/>
    <w:rsid w:val="006F3A62"/>
    <w:rsid w:val="006F3A8C"/>
    <w:rsid w:val="006F3A9A"/>
    <w:rsid w:val="006F3B29"/>
    <w:rsid w:val="006F3BAE"/>
    <w:rsid w:val="006F3E4F"/>
    <w:rsid w:val="006F3E90"/>
    <w:rsid w:val="006F3EEE"/>
    <w:rsid w:val="006F4052"/>
    <w:rsid w:val="006F4059"/>
    <w:rsid w:val="006F40ED"/>
    <w:rsid w:val="006F414E"/>
    <w:rsid w:val="006F4258"/>
    <w:rsid w:val="006F441F"/>
    <w:rsid w:val="006F44D5"/>
    <w:rsid w:val="006F45A3"/>
    <w:rsid w:val="006F461B"/>
    <w:rsid w:val="006F4646"/>
    <w:rsid w:val="006F4776"/>
    <w:rsid w:val="006F4951"/>
    <w:rsid w:val="006F497A"/>
    <w:rsid w:val="006F49E0"/>
    <w:rsid w:val="006F49EF"/>
    <w:rsid w:val="006F4A4B"/>
    <w:rsid w:val="006F4B1A"/>
    <w:rsid w:val="006F4B79"/>
    <w:rsid w:val="006F4BAF"/>
    <w:rsid w:val="006F4C94"/>
    <w:rsid w:val="006F4D11"/>
    <w:rsid w:val="006F4F2A"/>
    <w:rsid w:val="006F4F9E"/>
    <w:rsid w:val="006F5025"/>
    <w:rsid w:val="006F548D"/>
    <w:rsid w:val="006F5529"/>
    <w:rsid w:val="006F5632"/>
    <w:rsid w:val="006F563D"/>
    <w:rsid w:val="006F5784"/>
    <w:rsid w:val="006F58BA"/>
    <w:rsid w:val="006F5B88"/>
    <w:rsid w:val="006F5DCC"/>
    <w:rsid w:val="006F5EF9"/>
    <w:rsid w:val="006F5F8E"/>
    <w:rsid w:val="006F5FEB"/>
    <w:rsid w:val="006F6022"/>
    <w:rsid w:val="006F6092"/>
    <w:rsid w:val="006F60CD"/>
    <w:rsid w:val="006F61C8"/>
    <w:rsid w:val="006F62D8"/>
    <w:rsid w:val="006F6354"/>
    <w:rsid w:val="006F64F0"/>
    <w:rsid w:val="006F6558"/>
    <w:rsid w:val="006F65D8"/>
    <w:rsid w:val="006F669D"/>
    <w:rsid w:val="006F66D8"/>
    <w:rsid w:val="006F6709"/>
    <w:rsid w:val="006F6B6E"/>
    <w:rsid w:val="006F6D4E"/>
    <w:rsid w:val="006F6E27"/>
    <w:rsid w:val="006F6F7D"/>
    <w:rsid w:val="006F6FC5"/>
    <w:rsid w:val="006F711E"/>
    <w:rsid w:val="006F7268"/>
    <w:rsid w:val="006F72C1"/>
    <w:rsid w:val="006F73BC"/>
    <w:rsid w:val="006F7516"/>
    <w:rsid w:val="006F777C"/>
    <w:rsid w:val="006F7872"/>
    <w:rsid w:val="006F79E0"/>
    <w:rsid w:val="006F7AC3"/>
    <w:rsid w:val="006F7B8C"/>
    <w:rsid w:val="006F7D2F"/>
    <w:rsid w:val="006F7DB6"/>
    <w:rsid w:val="0070012F"/>
    <w:rsid w:val="00700456"/>
    <w:rsid w:val="00700457"/>
    <w:rsid w:val="007006F8"/>
    <w:rsid w:val="007007F4"/>
    <w:rsid w:val="00700997"/>
    <w:rsid w:val="00700A04"/>
    <w:rsid w:val="00700ADA"/>
    <w:rsid w:val="00700AEF"/>
    <w:rsid w:val="00700BEA"/>
    <w:rsid w:val="00700D0C"/>
    <w:rsid w:val="00700D5A"/>
    <w:rsid w:val="007010E2"/>
    <w:rsid w:val="007012AB"/>
    <w:rsid w:val="00701561"/>
    <w:rsid w:val="00701564"/>
    <w:rsid w:val="00701651"/>
    <w:rsid w:val="007016CB"/>
    <w:rsid w:val="007017AB"/>
    <w:rsid w:val="00701925"/>
    <w:rsid w:val="0070192C"/>
    <w:rsid w:val="00701ACF"/>
    <w:rsid w:val="00701FDD"/>
    <w:rsid w:val="00702036"/>
    <w:rsid w:val="00702056"/>
    <w:rsid w:val="00702095"/>
    <w:rsid w:val="007021E0"/>
    <w:rsid w:val="00702270"/>
    <w:rsid w:val="00702316"/>
    <w:rsid w:val="00702353"/>
    <w:rsid w:val="00702629"/>
    <w:rsid w:val="007026B3"/>
    <w:rsid w:val="0070277F"/>
    <w:rsid w:val="0070279B"/>
    <w:rsid w:val="00702956"/>
    <w:rsid w:val="007029E5"/>
    <w:rsid w:val="00702AB1"/>
    <w:rsid w:val="00702CE6"/>
    <w:rsid w:val="00702DBB"/>
    <w:rsid w:val="00702EC7"/>
    <w:rsid w:val="007031A4"/>
    <w:rsid w:val="0070320C"/>
    <w:rsid w:val="0070323E"/>
    <w:rsid w:val="0070329F"/>
    <w:rsid w:val="0070330F"/>
    <w:rsid w:val="0070332D"/>
    <w:rsid w:val="0070336B"/>
    <w:rsid w:val="0070357C"/>
    <w:rsid w:val="0070363A"/>
    <w:rsid w:val="007036B2"/>
    <w:rsid w:val="00703712"/>
    <w:rsid w:val="007038F6"/>
    <w:rsid w:val="00703936"/>
    <w:rsid w:val="007039A1"/>
    <w:rsid w:val="0070401D"/>
    <w:rsid w:val="007040B9"/>
    <w:rsid w:val="00704165"/>
    <w:rsid w:val="007041ED"/>
    <w:rsid w:val="00704229"/>
    <w:rsid w:val="007042EC"/>
    <w:rsid w:val="0070430A"/>
    <w:rsid w:val="00704339"/>
    <w:rsid w:val="007043E3"/>
    <w:rsid w:val="0070451F"/>
    <w:rsid w:val="00704669"/>
    <w:rsid w:val="007046B4"/>
    <w:rsid w:val="00704737"/>
    <w:rsid w:val="00704A0D"/>
    <w:rsid w:val="00704AEB"/>
    <w:rsid w:val="00704B4E"/>
    <w:rsid w:val="00704B5D"/>
    <w:rsid w:val="00704E59"/>
    <w:rsid w:val="00704EFC"/>
    <w:rsid w:val="00705029"/>
    <w:rsid w:val="007050CC"/>
    <w:rsid w:val="007052E1"/>
    <w:rsid w:val="0070538B"/>
    <w:rsid w:val="007053F4"/>
    <w:rsid w:val="0070554B"/>
    <w:rsid w:val="007055A7"/>
    <w:rsid w:val="00705663"/>
    <w:rsid w:val="00705932"/>
    <w:rsid w:val="007059FE"/>
    <w:rsid w:val="00705B1A"/>
    <w:rsid w:val="00705B48"/>
    <w:rsid w:val="00705B52"/>
    <w:rsid w:val="00705B6F"/>
    <w:rsid w:val="00705B8C"/>
    <w:rsid w:val="00705BEC"/>
    <w:rsid w:val="00705DD0"/>
    <w:rsid w:val="00705DEF"/>
    <w:rsid w:val="00705EEF"/>
    <w:rsid w:val="00705F40"/>
    <w:rsid w:val="00706066"/>
    <w:rsid w:val="0070611C"/>
    <w:rsid w:val="00706342"/>
    <w:rsid w:val="007063FA"/>
    <w:rsid w:val="007066BC"/>
    <w:rsid w:val="007066E1"/>
    <w:rsid w:val="007066FF"/>
    <w:rsid w:val="00706780"/>
    <w:rsid w:val="007068C3"/>
    <w:rsid w:val="00706ADF"/>
    <w:rsid w:val="00706C5D"/>
    <w:rsid w:val="00706CE6"/>
    <w:rsid w:val="00706D4C"/>
    <w:rsid w:val="00706D5D"/>
    <w:rsid w:val="00706DC0"/>
    <w:rsid w:val="00706EF3"/>
    <w:rsid w:val="00706FE0"/>
    <w:rsid w:val="007070E5"/>
    <w:rsid w:val="00707294"/>
    <w:rsid w:val="0070730E"/>
    <w:rsid w:val="007074D4"/>
    <w:rsid w:val="0070752C"/>
    <w:rsid w:val="00707564"/>
    <w:rsid w:val="007075ED"/>
    <w:rsid w:val="007076D4"/>
    <w:rsid w:val="007076F1"/>
    <w:rsid w:val="007077C8"/>
    <w:rsid w:val="007078D5"/>
    <w:rsid w:val="007078E1"/>
    <w:rsid w:val="007078E8"/>
    <w:rsid w:val="00707A3F"/>
    <w:rsid w:val="00707F09"/>
    <w:rsid w:val="00707F76"/>
    <w:rsid w:val="007100B3"/>
    <w:rsid w:val="007100D9"/>
    <w:rsid w:val="0071015B"/>
    <w:rsid w:val="00710226"/>
    <w:rsid w:val="007102DF"/>
    <w:rsid w:val="007103A9"/>
    <w:rsid w:val="007106AB"/>
    <w:rsid w:val="0071076E"/>
    <w:rsid w:val="007108D3"/>
    <w:rsid w:val="007109B0"/>
    <w:rsid w:val="00710A19"/>
    <w:rsid w:val="00710D67"/>
    <w:rsid w:val="00710D7A"/>
    <w:rsid w:val="00710DC7"/>
    <w:rsid w:val="00710E93"/>
    <w:rsid w:val="00710F6D"/>
    <w:rsid w:val="0071100C"/>
    <w:rsid w:val="00711038"/>
    <w:rsid w:val="00711140"/>
    <w:rsid w:val="00711151"/>
    <w:rsid w:val="0071163E"/>
    <w:rsid w:val="0071168E"/>
    <w:rsid w:val="007116EE"/>
    <w:rsid w:val="00711771"/>
    <w:rsid w:val="0071187D"/>
    <w:rsid w:val="007118CD"/>
    <w:rsid w:val="00711935"/>
    <w:rsid w:val="00711C93"/>
    <w:rsid w:val="00711D0B"/>
    <w:rsid w:val="00711EAA"/>
    <w:rsid w:val="00711F9C"/>
    <w:rsid w:val="00711FD9"/>
    <w:rsid w:val="00711FDD"/>
    <w:rsid w:val="00712074"/>
    <w:rsid w:val="007121C4"/>
    <w:rsid w:val="00712282"/>
    <w:rsid w:val="00712396"/>
    <w:rsid w:val="00712480"/>
    <w:rsid w:val="007126BE"/>
    <w:rsid w:val="007126DF"/>
    <w:rsid w:val="0071271A"/>
    <w:rsid w:val="0071274F"/>
    <w:rsid w:val="0071286B"/>
    <w:rsid w:val="00712910"/>
    <w:rsid w:val="00712CB1"/>
    <w:rsid w:val="00712D00"/>
    <w:rsid w:val="00712EB1"/>
    <w:rsid w:val="00712EC4"/>
    <w:rsid w:val="00713087"/>
    <w:rsid w:val="00713136"/>
    <w:rsid w:val="00713386"/>
    <w:rsid w:val="00713403"/>
    <w:rsid w:val="007139B3"/>
    <w:rsid w:val="007139D6"/>
    <w:rsid w:val="00713A54"/>
    <w:rsid w:val="00713AF8"/>
    <w:rsid w:val="00713BC6"/>
    <w:rsid w:val="00713C00"/>
    <w:rsid w:val="00713C83"/>
    <w:rsid w:val="00713D63"/>
    <w:rsid w:val="00714049"/>
    <w:rsid w:val="00714067"/>
    <w:rsid w:val="00714072"/>
    <w:rsid w:val="00714116"/>
    <w:rsid w:val="007142AF"/>
    <w:rsid w:val="00714627"/>
    <w:rsid w:val="00714660"/>
    <w:rsid w:val="00714712"/>
    <w:rsid w:val="007147A4"/>
    <w:rsid w:val="007149E2"/>
    <w:rsid w:val="00714D54"/>
    <w:rsid w:val="0071506C"/>
    <w:rsid w:val="00715078"/>
    <w:rsid w:val="00715285"/>
    <w:rsid w:val="007153DF"/>
    <w:rsid w:val="00715554"/>
    <w:rsid w:val="007155D4"/>
    <w:rsid w:val="00715ACF"/>
    <w:rsid w:val="00715AF5"/>
    <w:rsid w:val="00715CFE"/>
    <w:rsid w:val="00715D38"/>
    <w:rsid w:val="00715D54"/>
    <w:rsid w:val="00715D56"/>
    <w:rsid w:val="00715F4B"/>
    <w:rsid w:val="0071614C"/>
    <w:rsid w:val="007162F9"/>
    <w:rsid w:val="00716346"/>
    <w:rsid w:val="0071637B"/>
    <w:rsid w:val="007163EA"/>
    <w:rsid w:val="007164B1"/>
    <w:rsid w:val="007166BC"/>
    <w:rsid w:val="0071677E"/>
    <w:rsid w:val="007167C4"/>
    <w:rsid w:val="00716CD3"/>
    <w:rsid w:val="00716D5A"/>
    <w:rsid w:val="00716E53"/>
    <w:rsid w:val="00716EF8"/>
    <w:rsid w:val="00717094"/>
    <w:rsid w:val="0071726C"/>
    <w:rsid w:val="007172DE"/>
    <w:rsid w:val="00717379"/>
    <w:rsid w:val="00717639"/>
    <w:rsid w:val="007176EA"/>
    <w:rsid w:val="00717837"/>
    <w:rsid w:val="007179D9"/>
    <w:rsid w:val="00717A87"/>
    <w:rsid w:val="00717EB3"/>
    <w:rsid w:val="00717F54"/>
    <w:rsid w:val="00720136"/>
    <w:rsid w:val="00720149"/>
    <w:rsid w:val="007202E1"/>
    <w:rsid w:val="0072030A"/>
    <w:rsid w:val="00720346"/>
    <w:rsid w:val="007203F3"/>
    <w:rsid w:val="00720474"/>
    <w:rsid w:val="00720629"/>
    <w:rsid w:val="00720639"/>
    <w:rsid w:val="0072071C"/>
    <w:rsid w:val="00720865"/>
    <w:rsid w:val="00720988"/>
    <w:rsid w:val="007209CB"/>
    <w:rsid w:val="00720BD2"/>
    <w:rsid w:val="00720FC8"/>
    <w:rsid w:val="007210EF"/>
    <w:rsid w:val="00721100"/>
    <w:rsid w:val="00721234"/>
    <w:rsid w:val="0072126B"/>
    <w:rsid w:val="00721504"/>
    <w:rsid w:val="00721509"/>
    <w:rsid w:val="007215AE"/>
    <w:rsid w:val="007217C1"/>
    <w:rsid w:val="00721921"/>
    <w:rsid w:val="00721970"/>
    <w:rsid w:val="00721B5D"/>
    <w:rsid w:val="00721BBD"/>
    <w:rsid w:val="00721ECC"/>
    <w:rsid w:val="00721FD4"/>
    <w:rsid w:val="00721FD5"/>
    <w:rsid w:val="007220E6"/>
    <w:rsid w:val="0072211F"/>
    <w:rsid w:val="007221F9"/>
    <w:rsid w:val="00722351"/>
    <w:rsid w:val="007224DA"/>
    <w:rsid w:val="007226D7"/>
    <w:rsid w:val="00722706"/>
    <w:rsid w:val="00722777"/>
    <w:rsid w:val="007229A4"/>
    <w:rsid w:val="007229E7"/>
    <w:rsid w:val="00722D6F"/>
    <w:rsid w:val="00722E07"/>
    <w:rsid w:val="00723075"/>
    <w:rsid w:val="00723306"/>
    <w:rsid w:val="0072342A"/>
    <w:rsid w:val="007235CE"/>
    <w:rsid w:val="007235E8"/>
    <w:rsid w:val="0072363E"/>
    <w:rsid w:val="00723762"/>
    <w:rsid w:val="007237BD"/>
    <w:rsid w:val="00723C19"/>
    <w:rsid w:val="00723F43"/>
    <w:rsid w:val="00723FD4"/>
    <w:rsid w:val="00723FE8"/>
    <w:rsid w:val="00723FFF"/>
    <w:rsid w:val="00724039"/>
    <w:rsid w:val="00724273"/>
    <w:rsid w:val="00724295"/>
    <w:rsid w:val="00724357"/>
    <w:rsid w:val="007244E3"/>
    <w:rsid w:val="0072453C"/>
    <w:rsid w:val="0072463A"/>
    <w:rsid w:val="007246A7"/>
    <w:rsid w:val="007248D1"/>
    <w:rsid w:val="0072490E"/>
    <w:rsid w:val="0072496E"/>
    <w:rsid w:val="00724B90"/>
    <w:rsid w:val="00724C15"/>
    <w:rsid w:val="00724F24"/>
    <w:rsid w:val="00724FD0"/>
    <w:rsid w:val="00725090"/>
    <w:rsid w:val="00725198"/>
    <w:rsid w:val="007251E4"/>
    <w:rsid w:val="00725295"/>
    <w:rsid w:val="007252E2"/>
    <w:rsid w:val="0072542C"/>
    <w:rsid w:val="00725721"/>
    <w:rsid w:val="00725842"/>
    <w:rsid w:val="007258CE"/>
    <w:rsid w:val="007259D3"/>
    <w:rsid w:val="00725B64"/>
    <w:rsid w:val="00725D7D"/>
    <w:rsid w:val="00725EA3"/>
    <w:rsid w:val="00725F29"/>
    <w:rsid w:val="007264D8"/>
    <w:rsid w:val="0072656E"/>
    <w:rsid w:val="00726972"/>
    <w:rsid w:val="007269C5"/>
    <w:rsid w:val="00726A4E"/>
    <w:rsid w:val="00726A68"/>
    <w:rsid w:val="00726D61"/>
    <w:rsid w:val="00726E52"/>
    <w:rsid w:val="00726E8B"/>
    <w:rsid w:val="00726E9E"/>
    <w:rsid w:val="00727061"/>
    <w:rsid w:val="00727068"/>
    <w:rsid w:val="0072707F"/>
    <w:rsid w:val="007270BC"/>
    <w:rsid w:val="0072733B"/>
    <w:rsid w:val="00727750"/>
    <w:rsid w:val="00727785"/>
    <w:rsid w:val="007277A0"/>
    <w:rsid w:val="00727B2D"/>
    <w:rsid w:val="00727B97"/>
    <w:rsid w:val="00727C06"/>
    <w:rsid w:val="00727C11"/>
    <w:rsid w:val="00727C51"/>
    <w:rsid w:val="00727CB8"/>
    <w:rsid w:val="00727D77"/>
    <w:rsid w:val="00727F11"/>
    <w:rsid w:val="00730108"/>
    <w:rsid w:val="00730172"/>
    <w:rsid w:val="00730283"/>
    <w:rsid w:val="0073028D"/>
    <w:rsid w:val="007302FC"/>
    <w:rsid w:val="00730402"/>
    <w:rsid w:val="00730419"/>
    <w:rsid w:val="007305EC"/>
    <w:rsid w:val="007306AD"/>
    <w:rsid w:val="00730750"/>
    <w:rsid w:val="007307C6"/>
    <w:rsid w:val="00730857"/>
    <w:rsid w:val="007308B1"/>
    <w:rsid w:val="00730982"/>
    <w:rsid w:val="00730A7C"/>
    <w:rsid w:val="00730AC5"/>
    <w:rsid w:val="00730B8E"/>
    <w:rsid w:val="00730BAD"/>
    <w:rsid w:val="00730F71"/>
    <w:rsid w:val="007313AA"/>
    <w:rsid w:val="007313F8"/>
    <w:rsid w:val="0073143F"/>
    <w:rsid w:val="00731873"/>
    <w:rsid w:val="0073198C"/>
    <w:rsid w:val="0073198D"/>
    <w:rsid w:val="00731B2F"/>
    <w:rsid w:val="00731BEE"/>
    <w:rsid w:val="00731C88"/>
    <w:rsid w:val="00731F2B"/>
    <w:rsid w:val="0073204E"/>
    <w:rsid w:val="00732086"/>
    <w:rsid w:val="007320CF"/>
    <w:rsid w:val="0073267E"/>
    <w:rsid w:val="00732701"/>
    <w:rsid w:val="007327AE"/>
    <w:rsid w:val="00732922"/>
    <w:rsid w:val="00732AE5"/>
    <w:rsid w:val="00732D8B"/>
    <w:rsid w:val="00732E65"/>
    <w:rsid w:val="00732F81"/>
    <w:rsid w:val="007330E8"/>
    <w:rsid w:val="00733232"/>
    <w:rsid w:val="007332D5"/>
    <w:rsid w:val="0073347F"/>
    <w:rsid w:val="007337E9"/>
    <w:rsid w:val="00733958"/>
    <w:rsid w:val="00733979"/>
    <w:rsid w:val="007339DA"/>
    <w:rsid w:val="00733A37"/>
    <w:rsid w:val="00733CF1"/>
    <w:rsid w:val="00733D1E"/>
    <w:rsid w:val="00733DC4"/>
    <w:rsid w:val="00733E25"/>
    <w:rsid w:val="00733E4B"/>
    <w:rsid w:val="00733E5C"/>
    <w:rsid w:val="00733ED6"/>
    <w:rsid w:val="007343F2"/>
    <w:rsid w:val="0073448A"/>
    <w:rsid w:val="0073494E"/>
    <w:rsid w:val="00734985"/>
    <w:rsid w:val="007349A4"/>
    <w:rsid w:val="00734B0E"/>
    <w:rsid w:val="00734CA5"/>
    <w:rsid w:val="00734CD3"/>
    <w:rsid w:val="00734CF8"/>
    <w:rsid w:val="00734D0C"/>
    <w:rsid w:val="00734D31"/>
    <w:rsid w:val="00734FE2"/>
    <w:rsid w:val="00735089"/>
    <w:rsid w:val="007350B0"/>
    <w:rsid w:val="00735336"/>
    <w:rsid w:val="0073564A"/>
    <w:rsid w:val="007357A7"/>
    <w:rsid w:val="007357CC"/>
    <w:rsid w:val="00735928"/>
    <w:rsid w:val="00735AA7"/>
    <w:rsid w:val="00735AC6"/>
    <w:rsid w:val="00735B7F"/>
    <w:rsid w:val="00735BE1"/>
    <w:rsid w:val="00735C03"/>
    <w:rsid w:val="00735C34"/>
    <w:rsid w:val="00735C4E"/>
    <w:rsid w:val="00735D5D"/>
    <w:rsid w:val="00735E22"/>
    <w:rsid w:val="00735E90"/>
    <w:rsid w:val="00735F3E"/>
    <w:rsid w:val="007360AF"/>
    <w:rsid w:val="0073635A"/>
    <w:rsid w:val="0073644D"/>
    <w:rsid w:val="007365D0"/>
    <w:rsid w:val="00736640"/>
    <w:rsid w:val="00736696"/>
    <w:rsid w:val="00736914"/>
    <w:rsid w:val="00736927"/>
    <w:rsid w:val="00736A4C"/>
    <w:rsid w:val="00736BD7"/>
    <w:rsid w:val="00736E5E"/>
    <w:rsid w:val="00736F84"/>
    <w:rsid w:val="00736FF3"/>
    <w:rsid w:val="00737024"/>
    <w:rsid w:val="0073703A"/>
    <w:rsid w:val="00737101"/>
    <w:rsid w:val="0073716F"/>
    <w:rsid w:val="0073720F"/>
    <w:rsid w:val="007372BB"/>
    <w:rsid w:val="007373DE"/>
    <w:rsid w:val="007376CC"/>
    <w:rsid w:val="0073780D"/>
    <w:rsid w:val="00737A27"/>
    <w:rsid w:val="00737B11"/>
    <w:rsid w:val="00737CDD"/>
    <w:rsid w:val="00737E79"/>
    <w:rsid w:val="00737F5E"/>
    <w:rsid w:val="00737FCA"/>
    <w:rsid w:val="00740036"/>
    <w:rsid w:val="00740072"/>
    <w:rsid w:val="00740215"/>
    <w:rsid w:val="0074029F"/>
    <w:rsid w:val="00740303"/>
    <w:rsid w:val="0074032A"/>
    <w:rsid w:val="007404A5"/>
    <w:rsid w:val="00740542"/>
    <w:rsid w:val="00740572"/>
    <w:rsid w:val="00740698"/>
    <w:rsid w:val="007406C5"/>
    <w:rsid w:val="00740802"/>
    <w:rsid w:val="00740856"/>
    <w:rsid w:val="007408F9"/>
    <w:rsid w:val="00740BDF"/>
    <w:rsid w:val="00740C1B"/>
    <w:rsid w:val="00740D6F"/>
    <w:rsid w:val="00740E15"/>
    <w:rsid w:val="00740E47"/>
    <w:rsid w:val="00740E86"/>
    <w:rsid w:val="0074117F"/>
    <w:rsid w:val="00741254"/>
    <w:rsid w:val="0074127F"/>
    <w:rsid w:val="00741294"/>
    <w:rsid w:val="0074144F"/>
    <w:rsid w:val="007414BD"/>
    <w:rsid w:val="00741668"/>
    <w:rsid w:val="00741811"/>
    <w:rsid w:val="00741834"/>
    <w:rsid w:val="007418EC"/>
    <w:rsid w:val="00741C2C"/>
    <w:rsid w:val="00741CAF"/>
    <w:rsid w:val="00741D47"/>
    <w:rsid w:val="00741E8E"/>
    <w:rsid w:val="00741F0F"/>
    <w:rsid w:val="0074204D"/>
    <w:rsid w:val="007422D2"/>
    <w:rsid w:val="00742351"/>
    <w:rsid w:val="0074255F"/>
    <w:rsid w:val="0074268F"/>
    <w:rsid w:val="007427E0"/>
    <w:rsid w:val="007429AC"/>
    <w:rsid w:val="007429FC"/>
    <w:rsid w:val="00742AD9"/>
    <w:rsid w:val="00742B6D"/>
    <w:rsid w:val="00742C5E"/>
    <w:rsid w:val="00742D2F"/>
    <w:rsid w:val="00742D54"/>
    <w:rsid w:val="00742EC0"/>
    <w:rsid w:val="007430A9"/>
    <w:rsid w:val="007434E1"/>
    <w:rsid w:val="007436BD"/>
    <w:rsid w:val="007438DA"/>
    <w:rsid w:val="00743916"/>
    <w:rsid w:val="00743A8B"/>
    <w:rsid w:val="00743B6D"/>
    <w:rsid w:val="00743BCA"/>
    <w:rsid w:val="00743D68"/>
    <w:rsid w:val="00743E0B"/>
    <w:rsid w:val="00743E7E"/>
    <w:rsid w:val="00743F98"/>
    <w:rsid w:val="007440F9"/>
    <w:rsid w:val="00744212"/>
    <w:rsid w:val="007442F5"/>
    <w:rsid w:val="007443AE"/>
    <w:rsid w:val="007444FD"/>
    <w:rsid w:val="0074452E"/>
    <w:rsid w:val="0074454D"/>
    <w:rsid w:val="007448F2"/>
    <w:rsid w:val="00744AE6"/>
    <w:rsid w:val="00744D56"/>
    <w:rsid w:val="00744E5B"/>
    <w:rsid w:val="00744FD4"/>
    <w:rsid w:val="00745067"/>
    <w:rsid w:val="0074544C"/>
    <w:rsid w:val="007454BE"/>
    <w:rsid w:val="00745592"/>
    <w:rsid w:val="00745665"/>
    <w:rsid w:val="0074583D"/>
    <w:rsid w:val="00745896"/>
    <w:rsid w:val="00745BDF"/>
    <w:rsid w:val="00745C4F"/>
    <w:rsid w:val="00745C6C"/>
    <w:rsid w:val="00745C93"/>
    <w:rsid w:val="00745CD7"/>
    <w:rsid w:val="00745F4A"/>
    <w:rsid w:val="00745FE2"/>
    <w:rsid w:val="00746085"/>
    <w:rsid w:val="007461DF"/>
    <w:rsid w:val="0074624C"/>
    <w:rsid w:val="007462C1"/>
    <w:rsid w:val="0074635B"/>
    <w:rsid w:val="007463B5"/>
    <w:rsid w:val="007463E3"/>
    <w:rsid w:val="007464CC"/>
    <w:rsid w:val="007464D4"/>
    <w:rsid w:val="00746612"/>
    <w:rsid w:val="00746763"/>
    <w:rsid w:val="00746A20"/>
    <w:rsid w:val="00746A41"/>
    <w:rsid w:val="00746A5F"/>
    <w:rsid w:val="00746AD2"/>
    <w:rsid w:val="00746B33"/>
    <w:rsid w:val="00746E0E"/>
    <w:rsid w:val="00746E37"/>
    <w:rsid w:val="00746FD3"/>
    <w:rsid w:val="0074704E"/>
    <w:rsid w:val="00747408"/>
    <w:rsid w:val="0074751A"/>
    <w:rsid w:val="0074772F"/>
    <w:rsid w:val="00747830"/>
    <w:rsid w:val="00747925"/>
    <w:rsid w:val="00747A0A"/>
    <w:rsid w:val="00747A7C"/>
    <w:rsid w:val="00747A88"/>
    <w:rsid w:val="00747A94"/>
    <w:rsid w:val="00747BE5"/>
    <w:rsid w:val="00750251"/>
    <w:rsid w:val="007503B0"/>
    <w:rsid w:val="007504ED"/>
    <w:rsid w:val="0075056E"/>
    <w:rsid w:val="007508DB"/>
    <w:rsid w:val="00750B59"/>
    <w:rsid w:val="00750BB6"/>
    <w:rsid w:val="00750DBC"/>
    <w:rsid w:val="00751023"/>
    <w:rsid w:val="0075126F"/>
    <w:rsid w:val="00751310"/>
    <w:rsid w:val="007514A8"/>
    <w:rsid w:val="007514B8"/>
    <w:rsid w:val="00751558"/>
    <w:rsid w:val="007515A0"/>
    <w:rsid w:val="007515FF"/>
    <w:rsid w:val="0075162E"/>
    <w:rsid w:val="0075163F"/>
    <w:rsid w:val="007516B6"/>
    <w:rsid w:val="007516DD"/>
    <w:rsid w:val="00751754"/>
    <w:rsid w:val="007517FD"/>
    <w:rsid w:val="00751932"/>
    <w:rsid w:val="00752024"/>
    <w:rsid w:val="0075203B"/>
    <w:rsid w:val="00752146"/>
    <w:rsid w:val="00752258"/>
    <w:rsid w:val="0075229C"/>
    <w:rsid w:val="0075252F"/>
    <w:rsid w:val="00752548"/>
    <w:rsid w:val="0075261E"/>
    <w:rsid w:val="00752981"/>
    <w:rsid w:val="00752A9A"/>
    <w:rsid w:val="00752B2A"/>
    <w:rsid w:val="00752C36"/>
    <w:rsid w:val="00752C49"/>
    <w:rsid w:val="00752C58"/>
    <w:rsid w:val="00752CC4"/>
    <w:rsid w:val="00752D32"/>
    <w:rsid w:val="00752F79"/>
    <w:rsid w:val="00752FBE"/>
    <w:rsid w:val="0075305B"/>
    <w:rsid w:val="00753136"/>
    <w:rsid w:val="00753411"/>
    <w:rsid w:val="007534C0"/>
    <w:rsid w:val="00753775"/>
    <w:rsid w:val="007537E6"/>
    <w:rsid w:val="007538CA"/>
    <w:rsid w:val="00753993"/>
    <w:rsid w:val="00753A4D"/>
    <w:rsid w:val="00753A98"/>
    <w:rsid w:val="00753C56"/>
    <w:rsid w:val="00753D3B"/>
    <w:rsid w:val="00753D9E"/>
    <w:rsid w:val="00753E2F"/>
    <w:rsid w:val="00753F11"/>
    <w:rsid w:val="0075401F"/>
    <w:rsid w:val="00754034"/>
    <w:rsid w:val="00754093"/>
    <w:rsid w:val="00754168"/>
    <w:rsid w:val="007541B3"/>
    <w:rsid w:val="007541D6"/>
    <w:rsid w:val="00754232"/>
    <w:rsid w:val="007543C9"/>
    <w:rsid w:val="007543DE"/>
    <w:rsid w:val="00754501"/>
    <w:rsid w:val="0075454F"/>
    <w:rsid w:val="00754628"/>
    <w:rsid w:val="007549EA"/>
    <w:rsid w:val="00754B5C"/>
    <w:rsid w:val="00754C89"/>
    <w:rsid w:val="00754C92"/>
    <w:rsid w:val="00754CCD"/>
    <w:rsid w:val="00754D92"/>
    <w:rsid w:val="0075521D"/>
    <w:rsid w:val="007555E4"/>
    <w:rsid w:val="00755622"/>
    <w:rsid w:val="00755717"/>
    <w:rsid w:val="0075572F"/>
    <w:rsid w:val="0075586A"/>
    <w:rsid w:val="007558C8"/>
    <w:rsid w:val="007558DD"/>
    <w:rsid w:val="0075592E"/>
    <w:rsid w:val="00755AC5"/>
    <w:rsid w:val="00755B62"/>
    <w:rsid w:val="00755CA6"/>
    <w:rsid w:val="00755DB1"/>
    <w:rsid w:val="00755EF6"/>
    <w:rsid w:val="00755F5B"/>
    <w:rsid w:val="00755FC5"/>
    <w:rsid w:val="00756062"/>
    <w:rsid w:val="0075611F"/>
    <w:rsid w:val="007563B3"/>
    <w:rsid w:val="00756556"/>
    <w:rsid w:val="007567E2"/>
    <w:rsid w:val="007569E3"/>
    <w:rsid w:val="007569F5"/>
    <w:rsid w:val="00756A01"/>
    <w:rsid w:val="00756AA0"/>
    <w:rsid w:val="00756B02"/>
    <w:rsid w:val="00756C8B"/>
    <w:rsid w:val="00756D1B"/>
    <w:rsid w:val="00756D83"/>
    <w:rsid w:val="00757092"/>
    <w:rsid w:val="007571ED"/>
    <w:rsid w:val="00757235"/>
    <w:rsid w:val="0075728E"/>
    <w:rsid w:val="00757520"/>
    <w:rsid w:val="0075752D"/>
    <w:rsid w:val="00757724"/>
    <w:rsid w:val="007579FE"/>
    <w:rsid w:val="00757BDE"/>
    <w:rsid w:val="00757CF3"/>
    <w:rsid w:val="00757EBC"/>
    <w:rsid w:val="00757F64"/>
    <w:rsid w:val="0076004D"/>
    <w:rsid w:val="0076007A"/>
    <w:rsid w:val="007600F1"/>
    <w:rsid w:val="00760260"/>
    <w:rsid w:val="00760294"/>
    <w:rsid w:val="0076033E"/>
    <w:rsid w:val="00760348"/>
    <w:rsid w:val="00760353"/>
    <w:rsid w:val="00760383"/>
    <w:rsid w:val="007603CA"/>
    <w:rsid w:val="00760458"/>
    <w:rsid w:val="007604F9"/>
    <w:rsid w:val="00760755"/>
    <w:rsid w:val="007607B5"/>
    <w:rsid w:val="007608E3"/>
    <w:rsid w:val="00760971"/>
    <w:rsid w:val="007609E3"/>
    <w:rsid w:val="00760B3E"/>
    <w:rsid w:val="00760BC0"/>
    <w:rsid w:val="00760BFC"/>
    <w:rsid w:val="00760C98"/>
    <w:rsid w:val="007610D8"/>
    <w:rsid w:val="0076125F"/>
    <w:rsid w:val="007612B1"/>
    <w:rsid w:val="00761448"/>
    <w:rsid w:val="00761487"/>
    <w:rsid w:val="007614B9"/>
    <w:rsid w:val="00761561"/>
    <w:rsid w:val="0076180D"/>
    <w:rsid w:val="007618C4"/>
    <w:rsid w:val="00761BEF"/>
    <w:rsid w:val="00761D9E"/>
    <w:rsid w:val="00761F0B"/>
    <w:rsid w:val="00762052"/>
    <w:rsid w:val="00762061"/>
    <w:rsid w:val="0076206D"/>
    <w:rsid w:val="007620FE"/>
    <w:rsid w:val="007622A2"/>
    <w:rsid w:val="00762514"/>
    <w:rsid w:val="00762766"/>
    <w:rsid w:val="00762931"/>
    <w:rsid w:val="007629BF"/>
    <w:rsid w:val="007629F3"/>
    <w:rsid w:val="00762BBE"/>
    <w:rsid w:val="00762BFA"/>
    <w:rsid w:val="00762D6B"/>
    <w:rsid w:val="00762D94"/>
    <w:rsid w:val="00762DC2"/>
    <w:rsid w:val="00762E9A"/>
    <w:rsid w:val="00762F6B"/>
    <w:rsid w:val="00762FE1"/>
    <w:rsid w:val="00763108"/>
    <w:rsid w:val="0076312E"/>
    <w:rsid w:val="00763144"/>
    <w:rsid w:val="007631E1"/>
    <w:rsid w:val="007632A4"/>
    <w:rsid w:val="007632ED"/>
    <w:rsid w:val="00763319"/>
    <w:rsid w:val="007633A0"/>
    <w:rsid w:val="007633EA"/>
    <w:rsid w:val="00763400"/>
    <w:rsid w:val="007636AF"/>
    <w:rsid w:val="007636B6"/>
    <w:rsid w:val="00763A4C"/>
    <w:rsid w:val="00763C10"/>
    <w:rsid w:val="00763C20"/>
    <w:rsid w:val="00763EAE"/>
    <w:rsid w:val="0076445C"/>
    <w:rsid w:val="0076460A"/>
    <w:rsid w:val="00764650"/>
    <w:rsid w:val="0076475A"/>
    <w:rsid w:val="0076476A"/>
    <w:rsid w:val="00764886"/>
    <w:rsid w:val="007648EA"/>
    <w:rsid w:val="00764931"/>
    <w:rsid w:val="00764BE8"/>
    <w:rsid w:val="00764D04"/>
    <w:rsid w:val="00764DAE"/>
    <w:rsid w:val="00764E3F"/>
    <w:rsid w:val="0076509C"/>
    <w:rsid w:val="00765132"/>
    <w:rsid w:val="00765357"/>
    <w:rsid w:val="00765383"/>
    <w:rsid w:val="007653E0"/>
    <w:rsid w:val="007655CB"/>
    <w:rsid w:val="007655CD"/>
    <w:rsid w:val="007656FF"/>
    <w:rsid w:val="00765729"/>
    <w:rsid w:val="00765794"/>
    <w:rsid w:val="0076587E"/>
    <w:rsid w:val="007658B9"/>
    <w:rsid w:val="00765973"/>
    <w:rsid w:val="00765982"/>
    <w:rsid w:val="00765AB8"/>
    <w:rsid w:val="00765D2F"/>
    <w:rsid w:val="00765D4E"/>
    <w:rsid w:val="00765E47"/>
    <w:rsid w:val="00765E4E"/>
    <w:rsid w:val="007662BF"/>
    <w:rsid w:val="00766320"/>
    <w:rsid w:val="00766614"/>
    <w:rsid w:val="007666BF"/>
    <w:rsid w:val="007666E1"/>
    <w:rsid w:val="00766988"/>
    <w:rsid w:val="00766A2C"/>
    <w:rsid w:val="00766ADA"/>
    <w:rsid w:val="00766D97"/>
    <w:rsid w:val="007670A9"/>
    <w:rsid w:val="0076723E"/>
    <w:rsid w:val="0076728C"/>
    <w:rsid w:val="0076740A"/>
    <w:rsid w:val="0076743C"/>
    <w:rsid w:val="007674DA"/>
    <w:rsid w:val="007675B5"/>
    <w:rsid w:val="007675BA"/>
    <w:rsid w:val="007676C5"/>
    <w:rsid w:val="007677C2"/>
    <w:rsid w:val="0076797C"/>
    <w:rsid w:val="00767980"/>
    <w:rsid w:val="007679B8"/>
    <w:rsid w:val="00767A20"/>
    <w:rsid w:val="00767A42"/>
    <w:rsid w:val="00767A53"/>
    <w:rsid w:val="00767C40"/>
    <w:rsid w:val="00767D99"/>
    <w:rsid w:val="00767F5F"/>
    <w:rsid w:val="00770069"/>
    <w:rsid w:val="00770144"/>
    <w:rsid w:val="0077025F"/>
    <w:rsid w:val="0077026F"/>
    <w:rsid w:val="007702C9"/>
    <w:rsid w:val="007702D5"/>
    <w:rsid w:val="00770366"/>
    <w:rsid w:val="00770367"/>
    <w:rsid w:val="007703FC"/>
    <w:rsid w:val="00770412"/>
    <w:rsid w:val="007704A5"/>
    <w:rsid w:val="00770602"/>
    <w:rsid w:val="007707F4"/>
    <w:rsid w:val="0077088A"/>
    <w:rsid w:val="0077097F"/>
    <w:rsid w:val="00770986"/>
    <w:rsid w:val="00770B19"/>
    <w:rsid w:val="00770CE3"/>
    <w:rsid w:val="00770DEE"/>
    <w:rsid w:val="00771046"/>
    <w:rsid w:val="007711FD"/>
    <w:rsid w:val="007714B7"/>
    <w:rsid w:val="00771517"/>
    <w:rsid w:val="007716DC"/>
    <w:rsid w:val="00771801"/>
    <w:rsid w:val="007719BA"/>
    <w:rsid w:val="007719C2"/>
    <w:rsid w:val="00771C5C"/>
    <w:rsid w:val="00771E12"/>
    <w:rsid w:val="00771E51"/>
    <w:rsid w:val="00771E7B"/>
    <w:rsid w:val="00771EB7"/>
    <w:rsid w:val="007720CF"/>
    <w:rsid w:val="007720FB"/>
    <w:rsid w:val="00772277"/>
    <w:rsid w:val="00772405"/>
    <w:rsid w:val="00772489"/>
    <w:rsid w:val="007724CB"/>
    <w:rsid w:val="007725E5"/>
    <w:rsid w:val="0077279D"/>
    <w:rsid w:val="007727B1"/>
    <w:rsid w:val="00772811"/>
    <w:rsid w:val="007728C5"/>
    <w:rsid w:val="00772905"/>
    <w:rsid w:val="007729EA"/>
    <w:rsid w:val="00772AAB"/>
    <w:rsid w:val="00772B13"/>
    <w:rsid w:val="00772CF6"/>
    <w:rsid w:val="00772D88"/>
    <w:rsid w:val="00772D9E"/>
    <w:rsid w:val="00772FB3"/>
    <w:rsid w:val="0077325E"/>
    <w:rsid w:val="007732D2"/>
    <w:rsid w:val="00773473"/>
    <w:rsid w:val="007735C5"/>
    <w:rsid w:val="00773713"/>
    <w:rsid w:val="00773846"/>
    <w:rsid w:val="00773DAE"/>
    <w:rsid w:val="00774017"/>
    <w:rsid w:val="00774023"/>
    <w:rsid w:val="00774277"/>
    <w:rsid w:val="007745D4"/>
    <w:rsid w:val="0077463F"/>
    <w:rsid w:val="007746FA"/>
    <w:rsid w:val="0077473B"/>
    <w:rsid w:val="00774803"/>
    <w:rsid w:val="00774967"/>
    <w:rsid w:val="00774997"/>
    <w:rsid w:val="00774A6D"/>
    <w:rsid w:val="00774A77"/>
    <w:rsid w:val="00774B2C"/>
    <w:rsid w:val="00774B63"/>
    <w:rsid w:val="00774BE9"/>
    <w:rsid w:val="00774CC4"/>
    <w:rsid w:val="00774CFA"/>
    <w:rsid w:val="00774FA3"/>
    <w:rsid w:val="0077501D"/>
    <w:rsid w:val="00775119"/>
    <w:rsid w:val="0077514A"/>
    <w:rsid w:val="0077521F"/>
    <w:rsid w:val="00775242"/>
    <w:rsid w:val="00775528"/>
    <w:rsid w:val="00775565"/>
    <w:rsid w:val="00775660"/>
    <w:rsid w:val="00775757"/>
    <w:rsid w:val="00775A5C"/>
    <w:rsid w:val="00775B5F"/>
    <w:rsid w:val="00775E7A"/>
    <w:rsid w:val="0077604E"/>
    <w:rsid w:val="007761DE"/>
    <w:rsid w:val="0077649D"/>
    <w:rsid w:val="007765E6"/>
    <w:rsid w:val="00776724"/>
    <w:rsid w:val="0077678A"/>
    <w:rsid w:val="00776983"/>
    <w:rsid w:val="00776B0C"/>
    <w:rsid w:val="00776C12"/>
    <w:rsid w:val="00776C16"/>
    <w:rsid w:val="00776C24"/>
    <w:rsid w:val="00776C3B"/>
    <w:rsid w:val="00776CDA"/>
    <w:rsid w:val="00776D24"/>
    <w:rsid w:val="00776F25"/>
    <w:rsid w:val="00777025"/>
    <w:rsid w:val="0077708F"/>
    <w:rsid w:val="00777354"/>
    <w:rsid w:val="0077763B"/>
    <w:rsid w:val="007776CF"/>
    <w:rsid w:val="007776F0"/>
    <w:rsid w:val="007777C1"/>
    <w:rsid w:val="00777A2C"/>
    <w:rsid w:val="00777A41"/>
    <w:rsid w:val="00777B37"/>
    <w:rsid w:val="00777C23"/>
    <w:rsid w:val="00777C6B"/>
    <w:rsid w:val="00777DC6"/>
    <w:rsid w:val="00777F1F"/>
    <w:rsid w:val="007801C5"/>
    <w:rsid w:val="0078046B"/>
    <w:rsid w:val="0078071E"/>
    <w:rsid w:val="00780796"/>
    <w:rsid w:val="00780837"/>
    <w:rsid w:val="007808E7"/>
    <w:rsid w:val="00780A24"/>
    <w:rsid w:val="00780B72"/>
    <w:rsid w:val="00780D45"/>
    <w:rsid w:val="00780E53"/>
    <w:rsid w:val="00780EA7"/>
    <w:rsid w:val="00780EB9"/>
    <w:rsid w:val="00780FDC"/>
    <w:rsid w:val="00780FE2"/>
    <w:rsid w:val="007812FD"/>
    <w:rsid w:val="0078137B"/>
    <w:rsid w:val="007814A5"/>
    <w:rsid w:val="0078152D"/>
    <w:rsid w:val="0078194C"/>
    <w:rsid w:val="007819CC"/>
    <w:rsid w:val="007819D5"/>
    <w:rsid w:val="00781AFB"/>
    <w:rsid w:val="00781B10"/>
    <w:rsid w:val="00781BC1"/>
    <w:rsid w:val="00781D10"/>
    <w:rsid w:val="00781D45"/>
    <w:rsid w:val="00781DD0"/>
    <w:rsid w:val="00782115"/>
    <w:rsid w:val="007821B9"/>
    <w:rsid w:val="00782353"/>
    <w:rsid w:val="0078255C"/>
    <w:rsid w:val="0078256A"/>
    <w:rsid w:val="007825BC"/>
    <w:rsid w:val="00782896"/>
    <w:rsid w:val="007828C9"/>
    <w:rsid w:val="0078296E"/>
    <w:rsid w:val="00782A18"/>
    <w:rsid w:val="00782A23"/>
    <w:rsid w:val="00782C09"/>
    <w:rsid w:val="00782D5D"/>
    <w:rsid w:val="00782FCA"/>
    <w:rsid w:val="00782FCD"/>
    <w:rsid w:val="0078345F"/>
    <w:rsid w:val="007836EA"/>
    <w:rsid w:val="007839B1"/>
    <w:rsid w:val="00783A1C"/>
    <w:rsid w:val="00783B82"/>
    <w:rsid w:val="00783BA3"/>
    <w:rsid w:val="00783EF6"/>
    <w:rsid w:val="00783EFD"/>
    <w:rsid w:val="0078407F"/>
    <w:rsid w:val="007840D5"/>
    <w:rsid w:val="007841E3"/>
    <w:rsid w:val="00784278"/>
    <w:rsid w:val="007842D6"/>
    <w:rsid w:val="007844C4"/>
    <w:rsid w:val="0078452E"/>
    <w:rsid w:val="007845C4"/>
    <w:rsid w:val="007846CB"/>
    <w:rsid w:val="007846D0"/>
    <w:rsid w:val="0078478F"/>
    <w:rsid w:val="007848E1"/>
    <w:rsid w:val="00784A3C"/>
    <w:rsid w:val="00784A3E"/>
    <w:rsid w:val="00784A93"/>
    <w:rsid w:val="00784B53"/>
    <w:rsid w:val="00784C36"/>
    <w:rsid w:val="00784C44"/>
    <w:rsid w:val="00784CC0"/>
    <w:rsid w:val="00784CDA"/>
    <w:rsid w:val="00784E10"/>
    <w:rsid w:val="00784F1F"/>
    <w:rsid w:val="00784FEE"/>
    <w:rsid w:val="00785177"/>
    <w:rsid w:val="0078523F"/>
    <w:rsid w:val="007852D1"/>
    <w:rsid w:val="0078547E"/>
    <w:rsid w:val="007854FE"/>
    <w:rsid w:val="007855C7"/>
    <w:rsid w:val="007855F3"/>
    <w:rsid w:val="00785B00"/>
    <w:rsid w:val="00785CBF"/>
    <w:rsid w:val="00785CD6"/>
    <w:rsid w:val="00785E0D"/>
    <w:rsid w:val="00785FA4"/>
    <w:rsid w:val="00785FF3"/>
    <w:rsid w:val="00786120"/>
    <w:rsid w:val="00786166"/>
    <w:rsid w:val="0078636B"/>
    <w:rsid w:val="00786461"/>
    <w:rsid w:val="0078651A"/>
    <w:rsid w:val="0078661F"/>
    <w:rsid w:val="00786722"/>
    <w:rsid w:val="007867CB"/>
    <w:rsid w:val="0078688D"/>
    <w:rsid w:val="00786896"/>
    <w:rsid w:val="00786990"/>
    <w:rsid w:val="007869F4"/>
    <w:rsid w:val="00786A60"/>
    <w:rsid w:val="00786A78"/>
    <w:rsid w:val="00786B8B"/>
    <w:rsid w:val="00786DE4"/>
    <w:rsid w:val="00786DEE"/>
    <w:rsid w:val="007870CA"/>
    <w:rsid w:val="00787122"/>
    <w:rsid w:val="0078727F"/>
    <w:rsid w:val="0078732A"/>
    <w:rsid w:val="0078770E"/>
    <w:rsid w:val="00787782"/>
    <w:rsid w:val="007877F2"/>
    <w:rsid w:val="00787874"/>
    <w:rsid w:val="007878F9"/>
    <w:rsid w:val="00787922"/>
    <w:rsid w:val="007879AA"/>
    <w:rsid w:val="007879D2"/>
    <w:rsid w:val="00787C04"/>
    <w:rsid w:val="00787C85"/>
    <w:rsid w:val="00787D50"/>
    <w:rsid w:val="00787DDF"/>
    <w:rsid w:val="00787EA5"/>
    <w:rsid w:val="00787EC9"/>
    <w:rsid w:val="00787EE1"/>
    <w:rsid w:val="00787FAB"/>
    <w:rsid w:val="00787FDB"/>
    <w:rsid w:val="00790027"/>
    <w:rsid w:val="00790045"/>
    <w:rsid w:val="00790068"/>
    <w:rsid w:val="007900AE"/>
    <w:rsid w:val="007901FC"/>
    <w:rsid w:val="00790348"/>
    <w:rsid w:val="007903AB"/>
    <w:rsid w:val="007903DC"/>
    <w:rsid w:val="0079041C"/>
    <w:rsid w:val="00790428"/>
    <w:rsid w:val="007904B3"/>
    <w:rsid w:val="007906AD"/>
    <w:rsid w:val="007906C4"/>
    <w:rsid w:val="00790773"/>
    <w:rsid w:val="007909EA"/>
    <w:rsid w:val="007909EB"/>
    <w:rsid w:val="00790A25"/>
    <w:rsid w:val="00790A65"/>
    <w:rsid w:val="00790D54"/>
    <w:rsid w:val="00790E15"/>
    <w:rsid w:val="00790EDE"/>
    <w:rsid w:val="00790F17"/>
    <w:rsid w:val="0079109C"/>
    <w:rsid w:val="007910C6"/>
    <w:rsid w:val="007910D8"/>
    <w:rsid w:val="00791108"/>
    <w:rsid w:val="00791160"/>
    <w:rsid w:val="00791194"/>
    <w:rsid w:val="007911C7"/>
    <w:rsid w:val="007913D0"/>
    <w:rsid w:val="0079155E"/>
    <w:rsid w:val="007915F2"/>
    <w:rsid w:val="0079163E"/>
    <w:rsid w:val="00791965"/>
    <w:rsid w:val="0079198B"/>
    <w:rsid w:val="00791B19"/>
    <w:rsid w:val="00791B36"/>
    <w:rsid w:val="00791C13"/>
    <w:rsid w:val="00791CD2"/>
    <w:rsid w:val="00791D2C"/>
    <w:rsid w:val="00791DF9"/>
    <w:rsid w:val="00791F83"/>
    <w:rsid w:val="00791F88"/>
    <w:rsid w:val="00792193"/>
    <w:rsid w:val="007921AE"/>
    <w:rsid w:val="00792230"/>
    <w:rsid w:val="007923AE"/>
    <w:rsid w:val="0079243A"/>
    <w:rsid w:val="007925C6"/>
    <w:rsid w:val="0079281F"/>
    <w:rsid w:val="0079285A"/>
    <w:rsid w:val="0079294F"/>
    <w:rsid w:val="00792980"/>
    <w:rsid w:val="00792D3C"/>
    <w:rsid w:val="00792D4F"/>
    <w:rsid w:val="00792D86"/>
    <w:rsid w:val="00792E11"/>
    <w:rsid w:val="00792E78"/>
    <w:rsid w:val="00792E9C"/>
    <w:rsid w:val="00792EBB"/>
    <w:rsid w:val="00792F91"/>
    <w:rsid w:val="007932D4"/>
    <w:rsid w:val="007932F0"/>
    <w:rsid w:val="007933AC"/>
    <w:rsid w:val="007934E1"/>
    <w:rsid w:val="00793592"/>
    <w:rsid w:val="007935BC"/>
    <w:rsid w:val="007936F4"/>
    <w:rsid w:val="007937B9"/>
    <w:rsid w:val="00793A83"/>
    <w:rsid w:val="00793E4F"/>
    <w:rsid w:val="00793F7E"/>
    <w:rsid w:val="00793FF2"/>
    <w:rsid w:val="007940EA"/>
    <w:rsid w:val="00794190"/>
    <w:rsid w:val="007943C1"/>
    <w:rsid w:val="007943D1"/>
    <w:rsid w:val="00794401"/>
    <w:rsid w:val="00794472"/>
    <w:rsid w:val="0079456F"/>
    <w:rsid w:val="007945B8"/>
    <w:rsid w:val="007947D5"/>
    <w:rsid w:val="007948A0"/>
    <w:rsid w:val="00794984"/>
    <w:rsid w:val="00794A25"/>
    <w:rsid w:val="00794A8E"/>
    <w:rsid w:val="00794B5F"/>
    <w:rsid w:val="00794D75"/>
    <w:rsid w:val="00794DAA"/>
    <w:rsid w:val="00794E02"/>
    <w:rsid w:val="00794ECC"/>
    <w:rsid w:val="00794F52"/>
    <w:rsid w:val="007950B8"/>
    <w:rsid w:val="007950FB"/>
    <w:rsid w:val="007951AB"/>
    <w:rsid w:val="007951D5"/>
    <w:rsid w:val="007954F7"/>
    <w:rsid w:val="00795585"/>
    <w:rsid w:val="007956D6"/>
    <w:rsid w:val="007956EC"/>
    <w:rsid w:val="00795796"/>
    <w:rsid w:val="00795870"/>
    <w:rsid w:val="007958A1"/>
    <w:rsid w:val="00795A8C"/>
    <w:rsid w:val="00795AC6"/>
    <w:rsid w:val="00795B07"/>
    <w:rsid w:val="00795BFE"/>
    <w:rsid w:val="00795C5A"/>
    <w:rsid w:val="00795D22"/>
    <w:rsid w:val="00795D56"/>
    <w:rsid w:val="00795DBE"/>
    <w:rsid w:val="00795E48"/>
    <w:rsid w:val="00795E62"/>
    <w:rsid w:val="00795EBA"/>
    <w:rsid w:val="007960C2"/>
    <w:rsid w:val="00796198"/>
    <w:rsid w:val="00796225"/>
    <w:rsid w:val="007962B7"/>
    <w:rsid w:val="007963B4"/>
    <w:rsid w:val="00796764"/>
    <w:rsid w:val="0079677B"/>
    <w:rsid w:val="007967E8"/>
    <w:rsid w:val="00796804"/>
    <w:rsid w:val="00796978"/>
    <w:rsid w:val="00796AAD"/>
    <w:rsid w:val="00796EDE"/>
    <w:rsid w:val="00796FC9"/>
    <w:rsid w:val="00796FF9"/>
    <w:rsid w:val="0079705C"/>
    <w:rsid w:val="007970A0"/>
    <w:rsid w:val="007971A6"/>
    <w:rsid w:val="007973BA"/>
    <w:rsid w:val="00797428"/>
    <w:rsid w:val="0079757E"/>
    <w:rsid w:val="0079769A"/>
    <w:rsid w:val="007977E3"/>
    <w:rsid w:val="0079784D"/>
    <w:rsid w:val="00797881"/>
    <w:rsid w:val="00797B76"/>
    <w:rsid w:val="00797D2C"/>
    <w:rsid w:val="00797D2F"/>
    <w:rsid w:val="007A01A3"/>
    <w:rsid w:val="007A01C8"/>
    <w:rsid w:val="007A0247"/>
    <w:rsid w:val="007A0254"/>
    <w:rsid w:val="007A07CC"/>
    <w:rsid w:val="007A08FC"/>
    <w:rsid w:val="007A0904"/>
    <w:rsid w:val="007A09AA"/>
    <w:rsid w:val="007A0A7D"/>
    <w:rsid w:val="007A0D4A"/>
    <w:rsid w:val="007A0DEE"/>
    <w:rsid w:val="007A1127"/>
    <w:rsid w:val="007A119C"/>
    <w:rsid w:val="007A1227"/>
    <w:rsid w:val="007A15CF"/>
    <w:rsid w:val="007A16A1"/>
    <w:rsid w:val="007A174E"/>
    <w:rsid w:val="007A17FE"/>
    <w:rsid w:val="007A19D4"/>
    <w:rsid w:val="007A1A9E"/>
    <w:rsid w:val="007A1B65"/>
    <w:rsid w:val="007A1C42"/>
    <w:rsid w:val="007A1E39"/>
    <w:rsid w:val="007A1ECF"/>
    <w:rsid w:val="007A1F08"/>
    <w:rsid w:val="007A1F39"/>
    <w:rsid w:val="007A1FB8"/>
    <w:rsid w:val="007A2071"/>
    <w:rsid w:val="007A2091"/>
    <w:rsid w:val="007A2170"/>
    <w:rsid w:val="007A2206"/>
    <w:rsid w:val="007A22BF"/>
    <w:rsid w:val="007A2304"/>
    <w:rsid w:val="007A2344"/>
    <w:rsid w:val="007A2374"/>
    <w:rsid w:val="007A237C"/>
    <w:rsid w:val="007A24CD"/>
    <w:rsid w:val="007A2844"/>
    <w:rsid w:val="007A2916"/>
    <w:rsid w:val="007A29F5"/>
    <w:rsid w:val="007A2C5C"/>
    <w:rsid w:val="007A2C83"/>
    <w:rsid w:val="007A2CD7"/>
    <w:rsid w:val="007A2D48"/>
    <w:rsid w:val="007A2F4A"/>
    <w:rsid w:val="007A2F9A"/>
    <w:rsid w:val="007A31E2"/>
    <w:rsid w:val="007A31F5"/>
    <w:rsid w:val="007A3323"/>
    <w:rsid w:val="007A337D"/>
    <w:rsid w:val="007A3758"/>
    <w:rsid w:val="007A3784"/>
    <w:rsid w:val="007A3795"/>
    <w:rsid w:val="007A38AF"/>
    <w:rsid w:val="007A38C3"/>
    <w:rsid w:val="007A3B88"/>
    <w:rsid w:val="007A3BA7"/>
    <w:rsid w:val="007A3C9A"/>
    <w:rsid w:val="007A3DC3"/>
    <w:rsid w:val="007A3EC2"/>
    <w:rsid w:val="007A4023"/>
    <w:rsid w:val="007A40C5"/>
    <w:rsid w:val="007A40E5"/>
    <w:rsid w:val="007A42BC"/>
    <w:rsid w:val="007A44F6"/>
    <w:rsid w:val="007A45E1"/>
    <w:rsid w:val="007A4653"/>
    <w:rsid w:val="007A46D8"/>
    <w:rsid w:val="007A475B"/>
    <w:rsid w:val="007A47BA"/>
    <w:rsid w:val="007A4815"/>
    <w:rsid w:val="007A48D4"/>
    <w:rsid w:val="007A4909"/>
    <w:rsid w:val="007A493F"/>
    <w:rsid w:val="007A4BB3"/>
    <w:rsid w:val="007A4CE0"/>
    <w:rsid w:val="007A4DE6"/>
    <w:rsid w:val="007A4F9A"/>
    <w:rsid w:val="007A502A"/>
    <w:rsid w:val="007A5040"/>
    <w:rsid w:val="007A505F"/>
    <w:rsid w:val="007A5113"/>
    <w:rsid w:val="007A5283"/>
    <w:rsid w:val="007A5348"/>
    <w:rsid w:val="007A5545"/>
    <w:rsid w:val="007A55C0"/>
    <w:rsid w:val="007A5683"/>
    <w:rsid w:val="007A5867"/>
    <w:rsid w:val="007A599E"/>
    <w:rsid w:val="007A59C7"/>
    <w:rsid w:val="007A5AA1"/>
    <w:rsid w:val="007A5B48"/>
    <w:rsid w:val="007A5C46"/>
    <w:rsid w:val="007A5DBA"/>
    <w:rsid w:val="007A5F23"/>
    <w:rsid w:val="007A6186"/>
    <w:rsid w:val="007A6213"/>
    <w:rsid w:val="007A6229"/>
    <w:rsid w:val="007A639A"/>
    <w:rsid w:val="007A646E"/>
    <w:rsid w:val="007A64FB"/>
    <w:rsid w:val="007A6660"/>
    <w:rsid w:val="007A66BF"/>
    <w:rsid w:val="007A6725"/>
    <w:rsid w:val="007A6753"/>
    <w:rsid w:val="007A676E"/>
    <w:rsid w:val="007A6775"/>
    <w:rsid w:val="007A6876"/>
    <w:rsid w:val="007A687C"/>
    <w:rsid w:val="007A6942"/>
    <w:rsid w:val="007A6990"/>
    <w:rsid w:val="007A69AD"/>
    <w:rsid w:val="007A6A8F"/>
    <w:rsid w:val="007A6ACF"/>
    <w:rsid w:val="007A6BCE"/>
    <w:rsid w:val="007A6D1D"/>
    <w:rsid w:val="007A6D8B"/>
    <w:rsid w:val="007A6E0A"/>
    <w:rsid w:val="007A6EC2"/>
    <w:rsid w:val="007A6F07"/>
    <w:rsid w:val="007A6F72"/>
    <w:rsid w:val="007A6F9F"/>
    <w:rsid w:val="007A7081"/>
    <w:rsid w:val="007A71D5"/>
    <w:rsid w:val="007A7317"/>
    <w:rsid w:val="007A73B7"/>
    <w:rsid w:val="007A75F2"/>
    <w:rsid w:val="007A7638"/>
    <w:rsid w:val="007A7651"/>
    <w:rsid w:val="007A7882"/>
    <w:rsid w:val="007A78F0"/>
    <w:rsid w:val="007A79EC"/>
    <w:rsid w:val="007A7BCD"/>
    <w:rsid w:val="007A7E34"/>
    <w:rsid w:val="007A7EA5"/>
    <w:rsid w:val="007B00CE"/>
    <w:rsid w:val="007B00F2"/>
    <w:rsid w:val="007B02A8"/>
    <w:rsid w:val="007B0358"/>
    <w:rsid w:val="007B05B0"/>
    <w:rsid w:val="007B0639"/>
    <w:rsid w:val="007B0676"/>
    <w:rsid w:val="007B0700"/>
    <w:rsid w:val="007B07E1"/>
    <w:rsid w:val="007B0D59"/>
    <w:rsid w:val="007B0DFE"/>
    <w:rsid w:val="007B0F96"/>
    <w:rsid w:val="007B0FC7"/>
    <w:rsid w:val="007B11DD"/>
    <w:rsid w:val="007B1337"/>
    <w:rsid w:val="007B1367"/>
    <w:rsid w:val="007B14A8"/>
    <w:rsid w:val="007B151A"/>
    <w:rsid w:val="007B152E"/>
    <w:rsid w:val="007B1565"/>
    <w:rsid w:val="007B15EA"/>
    <w:rsid w:val="007B1837"/>
    <w:rsid w:val="007B1882"/>
    <w:rsid w:val="007B1AB1"/>
    <w:rsid w:val="007B1B71"/>
    <w:rsid w:val="007B1C00"/>
    <w:rsid w:val="007B1F1F"/>
    <w:rsid w:val="007B214F"/>
    <w:rsid w:val="007B22BC"/>
    <w:rsid w:val="007B2377"/>
    <w:rsid w:val="007B23A1"/>
    <w:rsid w:val="007B23AE"/>
    <w:rsid w:val="007B2469"/>
    <w:rsid w:val="007B250C"/>
    <w:rsid w:val="007B257B"/>
    <w:rsid w:val="007B25AA"/>
    <w:rsid w:val="007B2631"/>
    <w:rsid w:val="007B28DF"/>
    <w:rsid w:val="007B290A"/>
    <w:rsid w:val="007B2A47"/>
    <w:rsid w:val="007B2C61"/>
    <w:rsid w:val="007B2D7D"/>
    <w:rsid w:val="007B2EBB"/>
    <w:rsid w:val="007B2F2E"/>
    <w:rsid w:val="007B2F9D"/>
    <w:rsid w:val="007B2FAB"/>
    <w:rsid w:val="007B2FFA"/>
    <w:rsid w:val="007B3067"/>
    <w:rsid w:val="007B30E7"/>
    <w:rsid w:val="007B31D2"/>
    <w:rsid w:val="007B34D2"/>
    <w:rsid w:val="007B3527"/>
    <w:rsid w:val="007B359A"/>
    <w:rsid w:val="007B35EE"/>
    <w:rsid w:val="007B3795"/>
    <w:rsid w:val="007B393B"/>
    <w:rsid w:val="007B3981"/>
    <w:rsid w:val="007B3988"/>
    <w:rsid w:val="007B3B3A"/>
    <w:rsid w:val="007B3E14"/>
    <w:rsid w:val="007B40C3"/>
    <w:rsid w:val="007B42A7"/>
    <w:rsid w:val="007B441A"/>
    <w:rsid w:val="007B463B"/>
    <w:rsid w:val="007B46BD"/>
    <w:rsid w:val="007B489E"/>
    <w:rsid w:val="007B498A"/>
    <w:rsid w:val="007B4AB7"/>
    <w:rsid w:val="007B4BC5"/>
    <w:rsid w:val="007B4C8D"/>
    <w:rsid w:val="007B4D78"/>
    <w:rsid w:val="007B4F65"/>
    <w:rsid w:val="007B4FE3"/>
    <w:rsid w:val="007B51A9"/>
    <w:rsid w:val="007B53C4"/>
    <w:rsid w:val="007B53E0"/>
    <w:rsid w:val="007B5456"/>
    <w:rsid w:val="007B5531"/>
    <w:rsid w:val="007B55BA"/>
    <w:rsid w:val="007B55FC"/>
    <w:rsid w:val="007B5633"/>
    <w:rsid w:val="007B5A06"/>
    <w:rsid w:val="007B5A86"/>
    <w:rsid w:val="007B5AC8"/>
    <w:rsid w:val="007B5ADE"/>
    <w:rsid w:val="007B5D5C"/>
    <w:rsid w:val="007B5E5B"/>
    <w:rsid w:val="007B6286"/>
    <w:rsid w:val="007B630D"/>
    <w:rsid w:val="007B636A"/>
    <w:rsid w:val="007B6490"/>
    <w:rsid w:val="007B64A9"/>
    <w:rsid w:val="007B6593"/>
    <w:rsid w:val="007B66B7"/>
    <w:rsid w:val="007B698D"/>
    <w:rsid w:val="007B6A8E"/>
    <w:rsid w:val="007B6BCF"/>
    <w:rsid w:val="007B6BD6"/>
    <w:rsid w:val="007B6C63"/>
    <w:rsid w:val="007B6D39"/>
    <w:rsid w:val="007B6F75"/>
    <w:rsid w:val="007B7026"/>
    <w:rsid w:val="007B703C"/>
    <w:rsid w:val="007B711D"/>
    <w:rsid w:val="007B71C0"/>
    <w:rsid w:val="007B722B"/>
    <w:rsid w:val="007B72B8"/>
    <w:rsid w:val="007B7403"/>
    <w:rsid w:val="007B74C4"/>
    <w:rsid w:val="007B76EA"/>
    <w:rsid w:val="007B799B"/>
    <w:rsid w:val="007B79A8"/>
    <w:rsid w:val="007B79CB"/>
    <w:rsid w:val="007B7A58"/>
    <w:rsid w:val="007B7A86"/>
    <w:rsid w:val="007B7A8E"/>
    <w:rsid w:val="007B7AA4"/>
    <w:rsid w:val="007B7BB6"/>
    <w:rsid w:val="007B7C91"/>
    <w:rsid w:val="007B7D32"/>
    <w:rsid w:val="007B7FB7"/>
    <w:rsid w:val="007B7FED"/>
    <w:rsid w:val="007C0043"/>
    <w:rsid w:val="007C009F"/>
    <w:rsid w:val="007C0185"/>
    <w:rsid w:val="007C0273"/>
    <w:rsid w:val="007C0372"/>
    <w:rsid w:val="007C041A"/>
    <w:rsid w:val="007C0499"/>
    <w:rsid w:val="007C051D"/>
    <w:rsid w:val="007C0733"/>
    <w:rsid w:val="007C077D"/>
    <w:rsid w:val="007C0829"/>
    <w:rsid w:val="007C0833"/>
    <w:rsid w:val="007C084C"/>
    <w:rsid w:val="007C089B"/>
    <w:rsid w:val="007C0981"/>
    <w:rsid w:val="007C09C2"/>
    <w:rsid w:val="007C09E7"/>
    <w:rsid w:val="007C0A0C"/>
    <w:rsid w:val="007C0CE9"/>
    <w:rsid w:val="007C0E0C"/>
    <w:rsid w:val="007C0E73"/>
    <w:rsid w:val="007C0E98"/>
    <w:rsid w:val="007C0F7A"/>
    <w:rsid w:val="007C128E"/>
    <w:rsid w:val="007C12C2"/>
    <w:rsid w:val="007C12E2"/>
    <w:rsid w:val="007C14B3"/>
    <w:rsid w:val="007C14DF"/>
    <w:rsid w:val="007C1506"/>
    <w:rsid w:val="007C17D2"/>
    <w:rsid w:val="007C1880"/>
    <w:rsid w:val="007C1B99"/>
    <w:rsid w:val="007C1C18"/>
    <w:rsid w:val="007C1C92"/>
    <w:rsid w:val="007C1F54"/>
    <w:rsid w:val="007C1FAD"/>
    <w:rsid w:val="007C21AC"/>
    <w:rsid w:val="007C21B5"/>
    <w:rsid w:val="007C247A"/>
    <w:rsid w:val="007C25A8"/>
    <w:rsid w:val="007C26D3"/>
    <w:rsid w:val="007C2765"/>
    <w:rsid w:val="007C2A55"/>
    <w:rsid w:val="007C2D49"/>
    <w:rsid w:val="007C2E9A"/>
    <w:rsid w:val="007C2FC0"/>
    <w:rsid w:val="007C30F0"/>
    <w:rsid w:val="007C3175"/>
    <w:rsid w:val="007C3265"/>
    <w:rsid w:val="007C35EE"/>
    <w:rsid w:val="007C3754"/>
    <w:rsid w:val="007C38DF"/>
    <w:rsid w:val="007C3996"/>
    <w:rsid w:val="007C3ACC"/>
    <w:rsid w:val="007C3B15"/>
    <w:rsid w:val="007C3B2F"/>
    <w:rsid w:val="007C3B70"/>
    <w:rsid w:val="007C3BCC"/>
    <w:rsid w:val="007C3CB1"/>
    <w:rsid w:val="007C4006"/>
    <w:rsid w:val="007C4029"/>
    <w:rsid w:val="007C4196"/>
    <w:rsid w:val="007C41F8"/>
    <w:rsid w:val="007C42E2"/>
    <w:rsid w:val="007C4A55"/>
    <w:rsid w:val="007C4A9F"/>
    <w:rsid w:val="007C4D34"/>
    <w:rsid w:val="007C4D36"/>
    <w:rsid w:val="007C501C"/>
    <w:rsid w:val="007C503A"/>
    <w:rsid w:val="007C51D1"/>
    <w:rsid w:val="007C51F3"/>
    <w:rsid w:val="007C5274"/>
    <w:rsid w:val="007C529A"/>
    <w:rsid w:val="007C529D"/>
    <w:rsid w:val="007C5367"/>
    <w:rsid w:val="007C53A5"/>
    <w:rsid w:val="007C53D0"/>
    <w:rsid w:val="007C55E2"/>
    <w:rsid w:val="007C5621"/>
    <w:rsid w:val="007C56FB"/>
    <w:rsid w:val="007C581C"/>
    <w:rsid w:val="007C58E1"/>
    <w:rsid w:val="007C5A65"/>
    <w:rsid w:val="007C5A90"/>
    <w:rsid w:val="007C5C1F"/>
    <w:rsid w:val="007C5C6E"/>
    <w:rsid w:val="007C5D97"/>
    <w:rsid w:val="007C5E26"/>
    <w:rsid w:val="007C5EB8"/>
    <w:rsid w:val="007C5EBC"/>
    <w:rsid w:val="007C5EF1"/>
    <w:rsid w:val="007C60D5"/>
    <w:rsid w:val="007C60DD"/>
    <w:rsid w:val="007C6102"/>
    <w:rsid w:val="007C61ED"/>
    <w:rsid w:val="007C6203"/>
    <w:rsid w:val="007C6215"/>
    <w:rsid w:val="007C6415"/>
    <w:rsid w:val="007C64EA"/>
    <w:rsid w:val="007C667E"/>
    <w:rsid w:val="007C66F9"/>
    <w:rsid w:val="007C6874"/>
    <w:rsid w:val="007C6B41"/>
    <w:rsid w:val="007C6B59"/>
    <w:rsid w:val="007C6C65"/>
    <w:rsid w:val="007C6D08"/>
    <w:rsid w:val="007C6E39"/>
    <w:rsid w:val="007C6E85"/>
    <w:rsid w:val="007C7141"/>
    <w:rsid w:val="007C7445"/>
    <w:rsid w:val="007C74F8"/>
    <w:rsid w:val="007C7C1F"/>
    <w:rsid w:val="007C7D63"/>
    <w:rsid w:val="007C7DE4"/>
    <w:rsid w:val="007C7E07"/>
    <w:rsid w:val="007C7E0A"/>
    <w:rsid w:val="007C7E70"/>
    <w:rsid w:val="007C7FF2"/>
    <w:rsid w:val="007D0110"/>
    <w:rsid w:val="007D020B"/>
    <w:rsid w:val="007D0447"/>
    <w:rsid w:val="007D0476"/>
    <w:rsid w:val="007D054C"/>
    <w:rsid w:val="007D055B"/>
    <w:rsid w:val="007D055C"/>
    <w:rsid w:val="007D0573"/>
    <w:rsid w:val="007D05AC"/>
    <w:rsid w:val="007D05B9"/>
    <w:rsid w:val="007D0729"/>
    <w:rsid w:val="007D076F"/>
    <w:rsid w:val="007D077C"/>
    <w:rsid w:val="007D0802"/>
    <w:rsid w:val="007D082A"/>
    <w:rsid w:val="007D0A27"/>
    <w:rsid w:val="007D0AA9"/>
    <w:rsid w:val="007D0AAE"/>
    <w:rsid w:val="007D0ABB"/>
    <w:rsid w:val="007D0B1A"/>
    <w:rsid w:val="007D0B6F"/>
    <w:rsid w:val="007D0C84"/>
    <w:rsid w:val="007D0F03"/>
    <w:rsid w:val="007D0FE9"/>
    <w:rsid w:val="007D10AC"/>
    <w:rsid w:val="007D1173"/>
    <w:rsid w:val="007D130F"/>
    <w:rsid w:val="007D136E"/>
    <w:rsid w:val="007D13FC"/>
    <w:rsid w:val="007D1664"/>
    <w:rsid w:val="007D17D6"/>
    <w:rsid w:val="007D18B3"/>
    <w:rsid w:val="007D19C9"/>
    <w:rsid w:val="007D1A0E"/>
    <w:rsid w:val="007D1B37"/>
    <w:rsid w:val="007D1D16"/>
    <w:rsid w:val="007D1D18"/>
    <w:rsid w:val="007D1D28"/>
    <w:rsid w:val="007D1DA1"/>
    <w:rsid w:val="007D1EEB"/>
    <w:rsid w:val="007D1FE8"/>
    <w:rsid w:val="007D20BE"/>
    <w:rsid w:val="007D224A"/>
    <w:rsid w:val="007D2520"/>
    <w:rsid w:val="007D27C6"/>
    <w:rsid w:val="007D28AA"/>
    <w:rsid w:val="007D2930"/>
    <w:rsid w:val="007D2B82"/>
    <w:rsid w:val="007D2C08"/>
    <w:rsid w:val="007D2CF0"/>
    <w:rsid w:val="007D2D19"/>
    <w:rsid w:val="007D2E99"/>
    <w:rsid w:val="007D313E"/>
    <w:rsid w:val="007D3298"/>
    <w:rsid w:val="007D3416"/>
    <w:rsid w:val="007D3461"/>
    <w:rsid w:val="007D3465"/>
    <w:rsid w:val="007D3573"/>
    <w:rsid w:val="007D35AE"/>
    <w:rsid w:val="007D35BB"/>
    <w:rsid w:val="007D3730"/>
    <w:rsid w:val="007D3759"/>
    <w:rsid w:val="007D38D1"/>
    <w:rsid w:val="007D3913"/>
    <w:rsid w:val="007D3CC8"/>
    <w:rsid w:val="007D3E29"/>
    <w:rsid w:val="007D3EBB"/>
    <w:rsid w:val="007D3EF8"/>
    <w:rsid w:val="007D3F09"/>
    <w:rsid w:val="007D4378"/>
    <w:rsid w:val="007D450F"/>
    <w:rsid w:val="007D472C"/>
    <w:rsid w:val="007D481D"/>
    <w:rsid w:val="007D482A"/>
    <w:rsid w:val="007D4905"/>
    <w:rsid w:val="007D4952"/>
    <w:rsid w:val="007D497C"/>
    <w:rsid w:val="007D497D"/>
    <w:rsid w:val="007D49A5"/>
    <w:rsid w:val="007D49B7"/>
    <w:rsid w:val="007D4AC1"/>
    <w:rsid w:val="007D4C68"/>
    <w:rsid w:val="007D4D18"/>
    <w:rsid w:val="007D4F35"/>
    <w:rsid w:val="007D4FB8"/>
    <w:rsid w:val="007D4FF4"/>
    <w:rsid w:val="007D5120"/>
    <w:rsid w:val="007D519F"/>
    <w:rsid w:val="007D5331"/>
    <w:rsid w:val="007D5380"/>
    <w:rsid w:val="007D543A"/>
    <w:rsid w:val="007D555D"/>
    <w:rsid w:val="007D5651"/>
    <w:rsid w:val="007D5808"/>
    <w:rsid w:val="007D58CF"/>
    <w:rsid w:val="007D5B56"/>
    <w:rsid w:val="007D5B97"/>
    <w:rsid w:val="007D607B"/>
    <w:rsid w:val="007D60DA"/>
    <w:rsid w:val="007D613A"/>
    <w:rsid w:val="007D61BF"/>
    <w:rsid w:val="007D63B6"/>
    <w:rsid w:val="007D6614"/>
    <w:rsid w:val="007D6978"/>
    <w:rsid w:val="007D6A02"/>
    <w:rsid w:val="007D6A4A"/>
    <w:rsid w:val="007D6C35"/>
    <w:rsid w:val="007D6DF3"/>
    <w:rsid w:val="007D6F56"/>
    <w:rsid w:val="007D6FB2"/>
    <w:rsid w:val="007D7197"/>
    <w:rsid w:val="007D719A"/>
    <w:rsid w:val="007D71DE"/>
    <w:rsid w:val="007D7275"/>
    <w:rsid w:val="007D727F"/>
    <w:rsid w:val="007D72C2"/>
    <w:rsid w:val="007D731B"/>
    <w:rsid w:val="007D73DE"/>
    <w:rsid w:val="007D73DF"/>
    <w:rsid w:val="007D752F"/>
    <w:rsid w:val="007D75FB"/>
    <w:rsid w:val="007D7628"/>
    <w:rsid w:val="007D76D7"/>
    <w:rsid w:val="007D7732"/>
    <w:rsid w:val="007D77FC"/>
    <w:rsid w:val="007D7E44"/>
    <w:rsid w:val="007D7FC7"/>
    <w:rsid w:val="007E0014"/>
    <w:rsid w:val="007E0118"/>
    <w:rsid w:val="007E0306"/>
    <w:rsid w:val="007E040F"/>
    <w:rsid w:val="007E0474"/>
    <w:rsid w:val="007E04E7"/>
    <w:rsid w:val="007E06DE"/>
    <w:rsid w:val="007E0A56"/>
    <w:rsid w:val="007E0A6D"/>
    <w:rsid w:val="007E0AC1"/>
    <w:rsid w:val="007E0B14"/>
    <w:rsid w:val="007E0EC0"/>
    <w:rsid w:val="007E0F8C"/>
    <w:rsid w:val="007E0FC1"/>
    <w:rsid w:val="007E10E0"/>
    <w:rsid w:val="007E1100"/>
    <w:rsid w:val="007E12B8"/>
    <w:rsid w:val="007E12C6"/>
    <w:rsid w:val="007E12CC"/>
    <w:rsid w:val="007E1393"/>
    <w:rsid w:val="007E1460"/>
    <w:rsid w:val="007E14AF"/>
    <w:rsid w:val="007E1564"/>
    <w:rsid w:val="007E1572"/>
    <w:rsid w:val="007E15CE"/>
    <w:rsid w:val="007E1843"/>
    <w:rsid w:val="007E1A39"/>
    <w:rsid w:val="007E1B57"/>
    <w:rsid w:val="007E1C6D"/>
    <w:rsid w:val="007E1C81"/>
    <w:rsid w:val="007E1F41"/>
    <w:rsid w:val="007E2248"/>
    <w:rsid w:val="007E228F"/>
    <w:rsid w:val="007E23CA"/>
    <w:rsid w:val="007E2411"/>
    <w:rsid w:val="007E24D6"/>
    <w:rsid w:val="007E25B4"/>
    <w:rsid w:val="007E262E"/>
    <w:rsid w:val="007E27EC"/>
    <w:rsid w:val="007E27ED"/>
    <w:rsid w:val="007E2BDB"/>
    <w:rsid w:val="007E2BF7"/>
    <w:rsid w:val="007E2CC0"/>
    <w:rsid w:val="007E2E67"/>
    <w:rsid w:val="007E2E96"/>
    <w:rsid w:val="007E2F19"/>
    <w:rsid w:val="007E31B6"/>
    <w:rsid w:val="007E3413"/>
    <w:rsid w:val="007E3483"/>
    <w:rsid w:val="007E3550"/>
    <w:rsid w:val="007E35B9"/>
    <w:rsid w:val="007E3BBE"/>
    <w:rsid w:val="007E3D0F"/>
    <w:rsid w:val="007E3DAE"/>
    <w:rsid w:val="007E3F1D"/>
    <w:rsid w:val="007E3F84"/>
    <w:rsid w:val="007E4062"/>
    <w:rsid w:val="007E410B"/>
    <w:rsid w:val="007E4454"/>
    <w:rsid w:val="007E445B"/>
    <w:rsid w:val="007E44EC"/>
    <w:rsid w:val="007E462B"/>
    <w:rsid w:val="007E46D5"/>
    <w:rsid w:val="007E46D8"/>
    <w:rsid w:val="007E47FF"/>
    <w:rsid w:val="007E48E8"/>
    <w:rsid w:val="007E4BD2"/>
    <w:rsid w:val="007E4CD1"/>
    <w:rsid w:val="007E4E45"/>
    <w:rsid w:val="007E4FD1"/>
    <w:rsid w:val="007E505A"/>
    <w:rsid w:val="007E5089"/>
    <w:rsid w:val="007E50DB"/>
    <w:rsid w:val="007E5450"/>
    <w:rsid w:val="007E5609"/>
    <w:rsid w:val="007E5623"/>
    <w:rsid w:val="007E56B9"/>
    <w:rsid w:val="007E56EB"/>
    <w:rsid w:val="007E5781"/>
    <w:rsid w:val="007E57A8"/>
    <w:rsid w:val="007E594B"/>
    <w:rsid w:val="007E5BEA"/>
    <w:rsid w:val="007E5C2E"/>
    <w:rsid w:val="007E5CCA"/>
    <w:rsid w:val="007E5EC6"/>
    <w:rsid w:val="007E5FA0"/>
    <w:rsid w:val="007E614D"/>
    <w:rsid w:val="007E6280"/>
    <w:rsid w:val="007E642A"/>
    <w:rsid w:val="007E6630"/>
    <w:rsid w:val="007E6634"/>
    <w:rsid w:val="007E6655"/>
    <w:rsid w:val="007E6670"/>
    <w:rsid w:val="007E6781"/>
    <w:rsid w:val="007E689D"/>
    <w:rsid w:val="007E6BF0"/>
    <w:rsid w:val="007E6FCE"/>
    <w:rsid w:val="007E7003"/>
    <w:rsid w:val="007E70BE"/>
    <w:rsid w:val="007E7101"/>
    <w:rsid w:val="007E7170"/>
    <w:rsid w:val="007E71DB"/>
    <w:rsid w:val="007E7211"/>
    <w:rsid w:val="007E7217"/>
    <w:rsid w:val="007E7756"/>
    <w:rsid w:val="007E7861"/>
    <w:rsid w:val="007E7A5B"/>
    <w:rsid w:val="007E7ADE"/>
    <w:rsid w:val="007E7C18"/>
    <w:rsid w:val="007E7C86"/>
    <w:rsid w:val="007E7CAC"/>
    <w:rsid w:val="007E7D9A"/>
    <w:rsid w:val="007E7DFD"/>
    <w:rsid w:val="007E7E19"/>
    <w:rsid w:val="007E7FAE"/>
    <w:rsid w:val="007E7FAF"/>
    <w:rsid w:val="007F0010"/>
    <w:rsid w:val="007F0025"/>
    <w:rsid w:val="007F00B1"/>
    <w:rsid w:val="007F02B3"/>
    <w:rsid w:val="007F032B"/>
    <w:rsid w:val="007F04D4"/>
    <w:rsid w:val="007F0633"/>
    <w:rsid w:val="007F066F"/>
    <w:rsid w:val="007F0740"/>
    <w:rsid w:val="007F0798"/>
    <w:rsid w:val="007F0CD9"/>
    <w:rsid w:val="007F10CE"/>
    <w:rsid w:val="007F10EB"/>
    <w:rsid w:val="007F118B"/>
    <w:rsid w:val="007F12E1"/>
    <w:rsid w:val="007F1308"/>
    <w:rsid w:val="007F1607"/>
    <w:rsid w:val="007F1650"/>
    <w:rsid w:val="007F165B"/>
    <w:rsid w:val="007F17EB"/>
    <w:rsid w:val="007F1A3D"/>
    <w:rsid w:val="007F1ABE"/>
    <w:rsid w:val="007F1AF2"/>
    <w:rsid w:val="007F1CCD"/>
    <w:rsid w:val="007F1DA0"/>
    <w:rsid w:val="007F1DB9"/>
    <w:rsid w:val="007F2221"/>
    <w:rsid w:val="007F23D6"/>
    <w:rsid w:val="007F2403"/>
    <w:rsid w:val="007F2551"/>
    <w:rsid w:val="007F2675"/>
    <w:rsid w:val="007F2951"/>
    <w:rsid w:val="007F2968"/>
    <w:rsid w:val="007F2C1B"/>
    <w:rsid w:val="007F2D81"/>
    <w:rsid w:val="007F2FB7"/>
    <w:rsid w:val="007F3066"/>
    <w:rsid w:val="007F3156"/>
    <w:rsid w:val="007F31BD"/>
    <w:rsid w:val="007F31F2"/>
    <w:rsid w:val="007F3302"/>
    <w:rsid w:val="007F342B"/>
    <w:rsid w:val="007F3454"/>
    <w:rsid w:val="007F3518"/>
    <w:rsid w:val="007F35F5"/>
    <w:rsid w:val="007F3838"/>
    <w:rsid w:val="007F3A65"/>
    <w:rsid w:val="007F3B83"/>
    <w:rsid w:val="007F3D6B"/>
    <w:rsid w:val="007F3E0C"/>
    <w:rsid w:val="007F3EC0"/>
    <w:rsid w:val="007F41E4"/>
    <w:rsid w:val="007F4220"/>
    <w:rsid w:val="007F425D"/>
    <w:rsid w:val="007F42B4"/>
    <w:rsid w:val="007F42CD"/>
    <w:rsid w:val="007F42D6"/>
    <w:rsid w:val="007F4449"/>
    <w:rsid w:val="007F4459"/>
    <w:rsid w:val="007F468C"/>
    <w:rsid w:val="007F4691"/>
    <w:rsid w:val="007F4A21"/>
    <w:rsid w:val="007F4A9A"/>
    <w:rsid w:val="007F4B27"/>
    <w:rsid w:val="007F4BB4"/>
    <w:rsid w:val="007F4C90"/>
    <w:rsid w:val="007F4DA5"/>
    <w:rsid w:val="007F4F4E"/>
    <w:rsid w:val="007F5140"/>
    <w:rsid w:val="007F514B"/>
    <w:rsid w:val="007F55AF"/>
    <w:rsid w:val="007F55ED"/>
    <w:rsid w:val="007F5AB8"/>
    <w:rsid w:val="007F5B12"/>
    <w:rsid w:val="007F5B1B"/>
    <w:rsid w:val="007F5C16"/>
    <w:rsid w:val="007F5C6B"/>
    <w:rsid w:val="007F5CE2"/>
    <w:rsid w:val="007F5D78"/>
    <w:rsid w:val="007F5E39"/>
    <w:rsid w:val="007F61E7"/>
    <w:rsid w:val="007F63C0"/>
    <w:rsid w:val="007F664C"/>
    <w:rsid w:val="007F687E"/>
    <w:rsid w:val="007F6AEB"/>
    <w:rsid w:val="007F6B67"/>
    <w:rsid w:val="007F6EBB"/>
    <w:rsid w:val="007F6F5D"/>
    <w:rsid w:val="007F7193"/>
    <w:rsid w:val="007F723C"/>
    <w:rsid w:val="007F727A"/>
    <w:rsid w:val="007F736F"/>
    <w:rsid w:val="007F75E4"/>
    <w:rsid w:val="007F76D6"/>
    <w:rsid w:val="007F79E0"/>
    <w:rsid w:val="007F7A4C"/>
    <w:rsid w:val="007F7A82"/>
    <w:rsid w:val="007F7B49"/>
    <w:rsid w:val="007F7C59"/>
    <w:rsid w:val="007F7C94"/>
    <w:rsid w:val="007F7E94"/>
    <w:rsid w:val="007F7ECB"/>
    <w:rsid w:val="00800144"/>
    <w:rsid w:val="00800450"/>
    <w:rsid w:val="00800481"/>
    <w:rsid w:val="008005D0"/>
    <w:rsid w:val="00800900"/>
    <w:rsid w:val="0080091F"/>
    <w:rsid w:val="00800E86"/>
    <w:rsid w:val="00800EFE"/>
    <w:rsid w:val="00801094"/>
    <w:rsid w:val="0080133A"/>
    <w:rsid w:val="00801393"/>
    <w:rsid w:val="00801516"/>
    <w:rsid w:val="00801551"/>
    <w:rsid w:val="00801790"/>
    <w:rsid w:val="00801817"/>
    <w:rsid w:val="00801863"/>
    <w:rsid w:val="008018D1"/>
    <w:rsid w:val="008019E0"/>
    <w:rsid w:val="00801C70"/>
    <w:rsid w:val="00801C78"/>
    <w:rsid w:val="00801D50"/>
    <w:rsid w:val="00801E15"/>
    <w:rsid w:val="00801F1C"/>
    <w:rsid w:val="008020B3"/>
    <w:rsid w:val="008020F3"/>
    <w:rsid w:val="00802107"/>
    <w:rsid w:val="0080239A"/>
    <w:rsid w:val="0080247A"/>
    <w:rsid w:val="00802483"/>
    <w:rsid w:val="008026E9"/>
    <w:rsid w:val="008028AB"/>
    <w:rsid w:val="008028BA"/>
    <w:rsid w:val="00802B1B"/>
    <w:rsid w:val="00802D14"/>
    <w:rsid w:val="00802D3D"/>
    <w:rsid w:val="00802D9B"/>
    <w:rsid w:val="00802DFF"/>
    <w:rsid w:val="00802F21"/>
    <w:rsid w:val="00802F27"/>
    <w:rsid w:val="00802F88"/>
    <w:rsid w:val="0080318A"/>
    <w:rsid w:val="008031A1"/>
    <w:rsid w:val="00803304"/>
    <w:rsid w:val="0080335E"/>
    <w:rsid w:val="008034F2"/>
    <w:rsid w:val="00803597"/>
    <w:rsid w:val="008035F5"/>
    <w:rsid w:val="0080376E"/>
    <w:rsid w:val="00803831"/>
    <w:rsid w:val="008038E0"/>
    <w:rsid w:val="00803949"/>
    <w:rsid w:val="00803A23"/>
    <w:rsid w:val="00803AFF"/>
    <w:rsid w:val="00803E2C"/>
    <w:rsid w:val="00803F4B"/>
    <w:rsid w:val="00804136"/>
    <w:rsid w:val="0080413C"/>
    <w:rsid w:val="008046C7"/>
    <w:rsid w:val="00804947"/>
    <w:rsid w:val="00804AB9"/>
    <w:rsid w:val="00804C21"/>
    <w:rsid w:val="00804DAB"/>
    <w:rsid w:val="00804E23"/>
    <w:rsid w:val="00804E86"/>
    <w:rsid w:val="00805324"/>
    <w:rsid w:val="008053D1"/>
    <w:rsid w:val="00805592"/>
    <w:rsid w:val="008055B9"/>
    <w:rsid w:val="0080576B"/>
    <w:rsid w:val="00805783"/>
    <w:rsid w:val="00805A2A"/>
    <w:rsid w:val="00805A4F"/>
    <w:rsid w:val="00805A86"/>
    <w:rsid w:val="00805A92"/>
    <w:rsid w:val="00805DF7"/>
    <w:rsid w:val="00805FCC"/>
    <w:rsid w:val="00805FFC"/>
    <w:rsid w:val="00806142"/>
    <w:rsid w:val="0080615F"/>
    <w:rsid w:val="008066F4"/>
    <w:rsid w:val="0080682F"/>
    <w:rsid w:val="00806900"/>
    <w:rsid w:val="00806CFB"/>
    <w:rsid w:val="00806F1C"/>
    <w:rsid w:val="00806FFF"/>
    <w:rsid w:val="00807116"/>
    <w:rsid w:val="00807256"/>
    <w:rsid w:val="00807301"/>
    <w:rsid w:val="008074C8"/>
    <w:rsid w:val="008076E8"/>
    <w:rsid w:val="0080772E"/>
    <w:rsid w:val="008077BC"/>
    <w:rsid w:val="00807834"/>
    <w:rsid w:val="00807871"/>
    <w:rsid w:val="008079F9"/>
    <w:rsid w:val="00807AB1"/>
    <w:rsid w:val="00807AEA"/>
    <w:rsid w:val="00807DBF"/>
    <w:rsid w:val="00807EED"/>
    <w:rsid w:val="00807F13"/>
    <w:rsid w:val="00807FD4"/>
    <w:rsid w:val="00810591"/>
    <w:rsid w:val="0081076B"/>
    <w:rsid w:val="00810895"/>
    <w:rsid w:val="00810898"/>
    <w:rsid w:val="00810A5C"/>
    <w:rsid w:val="00810D1D"/>
    <w:rsid w:val="00810D26"/>
    <w:rsid w:val="00810E04"/>
    <w:rsid w:val="00810EB2"/>
    <w:rsid w:val="00810FA6"/>
    <w:rsid w:val="0081104C"/>
    <w:rsid w:val="00811155"/>
    <w:rsid w:val="008111D0"/>
    <w:rsid w:val="00811238"/>
    <w:rsid w:val="008113E0"/>
    <w:rsid w:val="00811422"/>
    <w:rsid w:val="008114C3"/>
    <w:rsid w:val="008114C8"/>
    <w:rsid w:val="0081161C"/>
    <w:rsid w:val="008118CA"/>
    <w:rsid w:val="008119DD"/>
    <w:rsid w:val="008119FF"/>
    <w:rsid w:val="00811BB4"/>
    <w:rsid w:val="00811BBF"/>
    <w:rsid w:val="00811BCB"/>
    <w:rsid w:val="00811E28"/>
    <w:rsid w:val="008121C9"/>
    <w:rsid w:val="00812284"/>
    <w:rsid w:val="0081293E"/>
    <w:rsid w:val="00812A60"/>
    <w:rsid w:val="00812AD0"/>
    <w:rsid w:val="00812BFA"/>
    <w:rsid w:val="00812C03"/>
    <w:rsid w:val="00812D25"/>
    <w:rsid w:val="00812D3F"/>
    <w:rsid w:val="00812E19"/>
    <w:rsid w:val="00812FA6"/>
    <w:rsid w:val="00812FFC"/>
    <w:rsid w:val="00813077"/>
    <w:rsid w:val="008130A7"/>
    <w:rsid w:val="008131F2"/>
    <w:rsid w:val="008132D9"/>
    <w:rsid w:val="00813385"/>
    <w:rsid w:val="0081353E"/>
    <w:rsid w:val="00813612"/>
    <w:rsid w:val="0081374D"/>
    <w:rsid w:val="00813760"/>
    <w:rsid w:val="0081376D"/>
    <w:rsid w:val="008137A0"/>
    <w:rsid w:val="008137B9"/>
    <w:rsid w:val="00813850"/>
    <w:rsid w:val="008138C4"/>
    <w:rsid w:val="00813A1F"/>
    <w:rsid w:val="00813A6B"/>
    <w:rsid w:val="00813A6F"/>
    <w:rsid w:val="00813C7F"/>
    <w:rsid w:val="00813CDF"/>
    <w:rsid w:val="00813D24"/>
    <w:rsid w:val="00813DBA"/>
    <w:rsid w:val="00813E54"/>
    <w:rsid w:val="00813E96"/>
    <w:rsid w:val="00814115"/>
    <w:rsid w:val="008143D2"/>
    <w:rsid w:val="008143F8"/>
    <w:rsid w:val="00814518"/>
    <w:rsid w:val="00814558"/>
    <w:rsid w:val="008146A5"/>
    <w:rsid w:val="008146AF"/>
    <w:rsid w:val="008146F8"/>
    <w:rsid w:val="00814AF8"/>
    <w:rsid w:val="00814BAE"/>
    <w:rsid w:val="00814C4A"/>
    <w:rsid w:val="00814C91"/>
    <w:rsid w:val="00814E4A"/>
    <w:rsid w:val="00814EDC"/>
    <w:rsid w:val="00815250"/>
    <w:rsid w:val="008152FC"/>
    <w:rsid w:val="00815322"/>
    <w:rsid w:val="00815388"/>
    <w:rsid w:val="008153F0"/>
    <w:rsid w:val="00815465"/>
    <w:rsid w:val="0081558B"/>
    <w:rsid w:val="00815635"/>
    <w:rsid w:val="00815689"/>
    <w:rsid w:val="008156BC"/>
    <w:rsid w:val="008156D7"/>
    <w:rsid w:val="008157BE"/>
    <w:rsid w:val="008157E7"/>
    <w:rsid w:val="00815A27"/>
    <w:rsid w:val="00815CD4"/>
    <w:rsid w:val="00815EAC"/>
    <w:rsid w:val="00815EB5"/>
    <w:rsid w:val="00816006"/>
    <w:rsid w:val="0081622E"/>
    <w:rsid w:val="0081629F"/>
    <w:rsid w:val="008162E1"/>
    <w:rsid w:val="008162F1"/>
    <w:rsid w:val="008164C0"/>
    <w:rsid w:val="0081674C"/>
    <w:rsid w:val="00816824"/>
    <w:rsid w:val="008168AB"/>
    <w:rsid w:val="00816966"/>
    <w:rsid w:val="00816A37"/>
    <w:rsid w:val="00816D4F"/>
    <w:rsid w:val="00816DD2"/>
    <w:rsid w:val="00816E83"/>
    <w:rsid w:val="00816EA8"/>
    <w:rsid w:val="00816F3F"/>
    <w:rsid w:val="00817057"/>
    <w:rsid w:val="0081717A"/>
    <w:rsid w:val="008171D1"/>
    <w:rsid w:val="008171DE"/>
    <w:rsid w:val="00817472"/>
    <w:rsid w:val="008178F5"/>
    <w:rsid w:val="00817950"/>
    <w:rsid w:val="008179B4"/>
    <w:rsid w:val="00817A2C"/>
    <w:rsid w:val="00817AC3"/>
    <w:rsid w:val="00817B29"/>
    <w:rsid w:val="00817BDC"/>
    <w:rsid w:val="00817E9A"/>
    <w:rsid w:val="008202E4"/>
    <w:rsid w:val="008203A1"/>
    <w:rsid w:val="008203A6"/>
    <w:rsid w:val="008204F3"/>
    <w:rsid w:val="0082060A"/>
    <w:rsid w:val="008208E3"/>
    <w:rsid w:val="00820904"/>
    <w:rsid w:val="00820B08"/>
    <w:rsid w:val="00820D7D"/>
    <w:rsid w:val="00820F55"/>
    <w:rsid w:val="00820FBC"/>
    <w:rsid w:val="00821203"/>
    <w:rsid w:val="0082147E"/>
    <w:rsid w:val="008216C6"/>
    <w:rsid w:val="008218A3"/>
    <w:rsid w:val="00821B52"/>
    <w:rsid w:val="00821CDA"/>
    <w:rsid w:val="00821CF5"/>
    <w:rsid w:val="00821D9B"/>
    <w:rsid w:val="00821FB9"/>
    <w:rsid w:val="00821FFC"/>
    <w:rsid w:val="00822230"/>
    <w:rsid w:val="0082261C"/>
    <w:rsid w:val="00822719"/>
    <w:rsid w:val="00822748"/>
    <w:rsid w:val="00822766"/>
    <w:rsid w:val="0082280D"/>
    <w:rsid w:val="00822812"/>
    <w:rsid w:val="0082282E"/>
    <w:rsid w:val="00822A6F"/>
    <w:rsid w:val="00822A74"/>
    <w:rsid w:val="00822B30"/>
    <w:rsid w:val="00822B4C"/>
    <w:rsid w:val="00822E8A"/>
    <w:rsid w:val="00822EA1"/>
    <w:rsid w:val="00823603"/>
    <w:rsid w:val="0082363B"/>
    <w:rsid w:val="008236B4"/>
    <w:rsid w:val="00823963"/>
    <w:rsid w:val="00823B75"/>
    <w:rsid w:val="00823D6F"/>
    <w:rsid w:val="00823E33"/>
    <w:rsid w:val="00823E99"/>
    <w:rsid w:val="00823EFF"/>
    <w:rsid w:val="0082409E"/>
    <w:rsid w:val="00824157"/>
    <w:rsid w:val="0082432B"/>
    <w:rsid w:val="008243B9"/>
    <w:rsid w:val="008243D9"/>
    <w:rsid w:val="00824498"/>
    <w:rsid w:val="008244B9"/>
    <w:rsid w:val="008245ED"/>
    <w:rsid w:val="0082462B"/>
    <w:rsid w:val="00824665"/>
    <w:rsid w:val="008246CB"/>
    <w:rsid w:val="00824718"/>
    <w:rsid w:val="008247B6"/>
    <w:rsid w:val="008248B0"/>
    <w:rsid w:val="00824A9C"/>
    <w:rsid w:val="00824C85"/>
    <w:rsid w:val="00824D8A"/>
    <w:rsid w:val="00824E3E"/>
    <w:rsid w:val="00824E7E"/>
    <w:rsid w:val="00824E8A"/>
    <w:rsid w:val="00825077"/>
    <w:rsid w:val="00825103"/>
    <w:rsid w:val="008252E0"/>
    <w:rsid w:val="00825453"/>
    <w:rsid w:val="00825782"/>
    <w:rsid w:val="00825846"/>
    <w:rsid w:val="008258C5"/>
    <w:rsid w:val="00825A47"/>
    <w:rsid w:val="00825AD2"/>
    <w:rsid w:val="00825BBC"/>
    <w:rsid w:val="00825E84"/>
    <w:rsid w:val="00825E8A"/>
    <w:rsid w:val="00825F22"/>
    <w:rsid w:val="00825F50"/>
    <w:rsid w:val="00825F96"/>
    <w:rsid w:val="00826068"/>
    <w:rsid w:val="00826377"/>
    <w:rsid w:val="008264D2"/>
    <w:rsid w:val="00826571"/>
    <w:rsid w:val="00826707"/>
    <w:rsid w:val="008267D8"/>
    <w:rsid w:val="00826862"/>
    <w:rsid w:val="008269B9"/>
    <w:rsid w:val="008269C4"/>
    <w:rsid w:val="00826A8A"/>
    <w:rsid w:val="00826D89"/>
    <w:rsid w:val="00826DA1"/>
    <w:rsid w:val="00826F3C"/>
    <w:rsid w:val="00827027"/>
    <w:rsid w:val="00827102"/>
    <w:rsid w:val="0082715A"/>
    <w:rsid w:val="008274C0"/>
    <w:rsid w:val="00827544"/>
    <w:rsid w:val="008279C6"/>
    <w:rsid w:val="00827A50"/>
    <w:rsid w:val="00827B92"/>
    <w:rsid w:val="00827D83"/>
    <w:rsid w:val="00827D90"/>
    <w:rsid w:val="00827F35"/>
    <w:rsid w:val="008301E5"/>
    <w:rsid w:val="00830277"/>
    <w:rsid w:val="008302B0"/>
    <w:rsid w:val="00830310"/>
    <w:rsid w:val="008303AF"/>
    <w:rsid w:val="008303D5"/>
    <w:rsid w:val="0083055D"/>
    <w:rsid w:val="00830636"/>
    <w:rsid w:val="00830642"/>
    <w:rsid w:val="00830678"/>
    <w:rsid w:val="00830681"/>
    <w:rsid w:val="008306BD"/>
    <w:rsid w:val="00830765"/>
    <w:rsid w:val="00830803"/>
    <w:rsid w:val="00830A3A"/>
    <w:rsid w:val="00830BFD"/>
    <w:rsid w:val="00830C7A"/>
    <w:rsid w:val="00830D36"/>
    <w:rsid w:val="00831193"/>
    <w:rsid w:val="00831207"/>
    <w:rsid w:val="0083124D"/>
    <w:rsid w:val="00831356"/>
    <w:rsid w:val="008314E5"/>
    <w:rsid w:val="00831601"/>
    <w:rsid w:val="008319E3"/>
    <w:rsid w:val="00831A43"/>
    <w:rsid w:val="00831A80"/>
    <w:rsid w:val="00831AF1"/>
    <w:rsid w:val="00831B1C"/>
    <w:rsid w:val="00831BAE"/>
    <w:rsid w:val="00831C15"/>
    <w:rsid w:val="00831C28"/>
    <w:rsid w:val="00831E99"/>
    <w:rsid w:val="00831F3B"/>
    <w:rsid w:val="00831F5C"/>
    <w:rsid w:val="00831FDB"/>
    <w:rsid w:val="00831FDC"/>
    <w:rsid w:val="0083208F"/>
    <w:rsid w:val="008321F6"/>
    <w:rsid w:val="0083221B"/>
    <w:rsid w:val="00832363"/>
    <w:rsid w:val="008323AE"/>
    <w:rsid w:val="00832429"/>
    <w:rsid w:val="00832793"/>
    <w:rsid w:val="00832887"/>
    <w:rsid w:val="00832918"/>
    <w:rsid w:val="0083293F"/>
    <w:rsid w:val="008329BA"/>
    <w:rsid w:val="00832A26"/>
    <w:rsid w:val="00832E83"/>
    <w:rsid w:val="00832F89"/>
    <w:rsid w:val="008330DC"/>
    <w:rsid w:val="0083318B"/>
    <w:rsid w:val="00833271"/>
    <w:rsid w:val="008334E5"/>
    <w:rsid w:val="008334F6"/>
    <w:rsid w:val="0083358D"/>
    <w:rsid w:val="00833625"/>
    <w:rsid w:val="00833687"/>
    <w:rsid w:val="00833743"/>
    <w:rsid w:val="008337AA"/>
    <w:rsid w:val="00833815"/>
    <w:rsid w:val="0083396F"/>
    <w:rsid w:val="008339B4"/>
    <w:rsid w:val="00833AF7"/>
    <w:rsid w:val="00833B11"/>
    <w:rsid w:val="00833B33"/>
    <w:rsid w:val="00833C3B"/>
    <w:rsid w:val="00833F93"/>
    <w:rsid w:val="008340A4"/>
    <w:rsid w:val="008340FE"/>
    <w:rsid w:val="0083416F"/>
    <w:rsid w:val="008342D5"/>
    <w:rsid w:val="008342FD"/>
    <w:rsid w:val="00834507"/>
    <w:rsid w:val="00834565"/>
    <w:rsid w:val="008345BA"/>
    <w:rsid w:val="008345CC"/>
    <w:rsid w:val="00834897"/>
    <w:rsid w:val="00834912"/>
    <w:rsid w:val="008349F9"/>
    <w:rsid w:val="00834AB4"/>
    <w:rsid w:val="00834B43"/>
    <w:rsid w:val="00834B7D"/>
    <w:rsid w:val="00834B8C"/>
    <w:rsid w:val="00834C62"/>
    <w:rsid w:val="00834CBB"/>
    <w:rsid w:val="00834DC1"/>
    <w:rsid w:val="008350CB"/>
    <w:rsid w:val="0083525F"/>
    <w:rsid w:val="00835298"/>
    <w:rsid w:val="008353A9"/>
    <w:rsid w:val="00835422"/>
    <w:rsid w:val="008354B2"/>
    <w:rsid w:val="008354EF"/>
    <w:rsid w:val="00835610"/>
    <w:rsid w:val="00835664"/>
    <w:rsid w:val="008357E6"/>
    <w:rsid w:val="0083599A"/>
    <w:rsid w:val="008359E0"/>
    <w:rsid w:val="008359F4"/>
    <w:rsid w:val="00835A38"/>
    <w:rsid w:val="00835AA6"/>
    <w:rsid w:val="00835AA8"/>
    <w:rsid w:val="00835B43"/>
    <w:rsid w:val="00835C4C"/>
    <w:rsid w:val="00835D01"/>
    <w:rsid w:val="00835DAD"/>
    <w:rsid w:val="00835E12"/>
    <w:rsid w:val="00835E89"/>
    <w:rsid w:val="00836036"/>
    <w:rsid w:val="008360DC"/>
    <w:rsid w:val="008361ED"/>
    <w:rsid w:val="008367E2"/>
    <w:rsid w:val="0083680E"/>
    <w:rsid w:val="00836938"/>
    <w:rsid w:val="00836949"/>
    <w:rsid w:val="00836A04"/>
    <w:rsid w:val="00836B4B"/>
    <w:rsid w:val="00836B60"/>
    <w:rsid w:val="00836BA4"/>
    <w:rsid w:val="00836C26"/>
    <w:rsid w:val="00836E89"/>
    <w:rsid w:val="00837002"/>
    <w:rsid w:val="00837147"/>
    <w:rsid w:val="00837163"/>
    <w:rsid w:val="008371DC"/>
    <w:rsid w:val="008372D1"/>
    <w:rsid w:val="00837686"/>
    <w:rsid w:val="008376C0"/>
    <w:rsid w:val="00837756"/>
    <w:rsid w:val="00837831"/>
    <w:rsid w:val="00837863"/>
    <w:rsid w:val="00837938"/>
    <w:rsid w:val="00837950"/>
    <w:rsid w:val="00837974"/>
    <w:rsid w:val="008379D7"/>
    <w:rsid w:val="00837B07"/>
    <w:rsid w:val="00837BC6"/>
    <w:rsid w:val="00837BEC"/>
    <w:rsid w:val="00837D0A"/>
    <w:rsid w:val="00837E93"/>
    <w:rsid w:val="00837F1D"/>
    <w:rsid w:val="0084014F"/>
    <w:rsid w:val="00840151"/>
    <w:rsid w:val="008404CF"/>
    <w:rsid w:val="00840D81"/>
    <w:rsid w:val="00840DDA"/>
    <w:rsid w:val="008410CC"/>
    <w:rsid w:val="00841714"/>
    <w:rsid w:val="008417BD"/>
    <w:rsid w:val="0084187A"/>
    <w:rsid w:val="0084189E"/>
    <w:rsid w:val="008419E4"/>
    <w:rsid w:val="00841AC2"/>
    <w:rsid w:val="00841C19"/>
    <w:rsid w:val="00841EB8"/>
    <w:rsid w:val="00841EEC"/>
    <w:rsid w:val="00841F9F"/>
    <w:rsid w:val="00841FB9"/>
    <w:rsid w:val="00842018"/>
    <w:rsid w:val="00842298"/>
    <w:rsid w:val="008422F0"/>
    <w:rsid w:val="00842347"/>
    <w:rsid w:val="00842360"/>
    <w:rsid w:val="008425E9"/>
    <w:rsid w:val="00842828"/>
    <w:rsid w:val="00842A3A"/>
    <w:rsid w:val="00842A9D"/>
    <w:rsid w:val="00842AE1"/>
    <w:rsid w:val="00842B48"/>
    <w:rsid w:val="00842D0D"/>
    <w:rsid w:val="00842DF1"/>
    <w:rsid w:val="00842E2D"/>
    <w:rsid w:val="00842E2F"/>
    <w:rsid w:val="00842F7C"/>
    <w:rsid w:val="008430CA"/>
    <w:rsid w:val="00843120"/>
    <w:rsid w:val="00843279"/>
    <w:rsid w:val="0084340F"/>
    <w:rsid w:val="0084349E"/>
    <w:rsid w:val="008434B0"/>
    <w:rsid w:val="00843553"/>
    <w:rsid w:val="008435BF"/>
    <w:rsid w:val="008436AF"/>
    <w:rsid w:val="008436D9"/>
    <w:rsid w:val="008437DC"/>
    <w:rsid w:val="0084382A"/>
    <w:rsid w:val="008438F7"/>
    <w:rsid w:val="00843A66"/>
    <w:rsid w:val="00843ADD"/>
    <w:rsid w:val="00843CD9"/>
    <w:rsid w:val="00843E2E"/>
    <w:rsid w:val="00843E41"/>
    <w:rsid w:val="00843E46"/>
    <w:rsid w:val="00843F15"/>
    <w:rsid w:val="00844194"/>
    <w:rsid w:val="0084421E"/>
    <w:rsid w:val="008443A2"/>
    <w:rsid w:val="0084448F"/>
    <w:rsid w:val="00844663"/>
    <w:rsid w:val="00844705"/>
    <w:rsid w:val="00844808"/>
    <w:rsid w:val="00844892"/>
    <w:rsid w:val="008448CA"/>
    <w:rsid w:val="00844B7A"/>
    <w:rsid w:val="00844C8D"/>
    <w:rsid w:val="00844CC7"/>
    <w:rsid w:val="00844E34"/>
    <w:rsid w:val="00844E51"/>
    <w:rsid w:val="00844EAD"/>
    <w:rsid w:val="00844F01"/>
    <w:rsid w:val="008450E8"/>
    <w:rsid w:val="0084514E"/>
    <w:rsid w:val="00845150"/>
    <w:rsid w:val="008453E9"/>
    <w:rsid w:val="0084560D"/>
    <w:rsid w:val="00845699"/>
    <w:rsid w:val="0084570B"/>
    <w:rsid w:val="008457CB"/>
    <w:rsid w:val="0084590F"/>
    <w:rsid w:val="00845A05"/>
    <w:rsid w:val="00845A1F"/>
    <w:rsid w:val="00845C6E"/>
    <w:rsid w:val="00845CD8"/>
    <w:rsid w:val="00845FE3"/>
    <w:rsid w:val="008464E1"/>
    <w:rsid w:val="0084661F"/>
    <w:rsid w:val="00846682"/>
    <w:rsid w:val="00846767"/>
    <w:rsid w:val="008467C5"/>
    <w:rsid w:val="00846879"/>
    <w:rsid w:val="00846A47"/>
    <w:rsid w:val="00846B9C"/>
    <w:rsid w:val="00846F42"/>
    <w:rsid w:val="00847067"/>
    <w:rsid w:val="008470D3"/>
    <w:rsid w:val="00847340"/>
    <w:rsid w:val="0084740B"/>
    <w:rsid w:val="008474E2"/>
    <w:rsid w:val="00847574"/>
    <w:rsid w:val="00847896"/>
    <w:rsid w:val="00847B4F"/>
    <w:rsid w:val="00847BA5"/>
    <w:rsid w:val="00847D74"/>
    <w:rsid w:val="00850198"/>
    <w:rsid w:val="008502B1"/>
    <w:rsid w:val="0085049D"/>
    <w:rsid w:val="00850558"/>
    <w:rsid w:val="008508FD"/>
    <w:rsid w:val="00850979"/>
    <w:rsid w:val="008509D6"/>
    <w:rsid w:val="00850A6A"/>
    <w:rsid w:val="00850A91"/>
    <w:rsid w:val="00850AC0"/>
    <w:rsid w:val="00850C32"/>
    <w:rsid w:val="00850C4D"/>
    <w:rsid w:val="00850D02"/>
    <w:rsid w:val="00850D5C"/>
    <w:rsid w:val="00850F37"/>
    <w:rsid w:val="00850FB2"/>
    <w:rsid w:val="00851179"/>
    <w:rsid w:val="008511F7"/>
    <w:rsid w:val="00851273"/>
    <w:rsid w:val="00851355"/>
    <w:rsid w:val="008514B2"/>
    <w:rsid w:val="00851671"/>
    <w:rsid w:val="00851725"/>
    <w:rsid w:val="0085179F"/>
    <w:rsid w:val="008517C7"/>
    <w:rsid w:val="008519B2"/>
    <w:rsid w:val="00851C0E"/>
    <w:rsid w:val="00851C99"/>
    <w:rsid w:val="00851CF6"/>
    <w:rsid w:val="00852014"/>
    <w:rsid w:val="0085222F"/>
    <w:rsid w:val="00852576"/>
    <w:rsid w:val="0085266B"/>
    <w:rsid w:val="00852906"/>
    <w:rsid w:val="00852911"/>
    <w:rsid w:val="00852B25"/>
    <w:rsid w:val="00852C11"/>
    <w:rsid w:val="00852D6D"/>
    <w:rsid w:val="00853134"/>
    <w:rsid w:val="0085318C"/>
    <w:rsid w:val="00853193"/>
    <w:rsid w:val="00853194"/>
    <w:rsid w:val="0085329E"/>
    <w:rsid w:val="00853343"/>
    <w:rsid w:val="00853384"/>
    <w:rsid w:val="00853433"/>
    <w:rsid w:val="00853525"/>
    <w:rsid w:val="0085358A"/>
    <w:rsid w:val="0085363E"/>
    <w:rsid w:val="00853781"/>
    <w:rsid w:val="008537C0"/>
    <w:rsid w:val="0085382F"/>
    <w:rsid w:val="00853B5B"/>
    <w:rsid w:val="00853D3A"/>
    <w:rsid w:val="00853DAC"/>
    <w:rsid w:val="00853F56"/>
    <w:rsid w:val="00853FC0"/>
    <w:rsid w:val="00854123"/>
    <w:rsid w:val="0085422C"/>
    <w:rsid w:val="00854241"/>
    <w:rsid w:val="008543FA"/>
    <w:rsid w:val="0085444B"/>
    <w:rsid w:val="0085458C"/>
    <w:rsid w:val="008545D0"/>
    <w:rsid w:val="00854646"/>
    <w:rsid w:val="008546CD"/>
    <w:rsid w:val="00854748"/>
    <w:rsid w:val="008547E5"/>
    <w:rsid w:val="00854AEA"/>
    <w:rsid w:val="00854C8A"/>
    <w:rsid w:val="00854DC8"/>
    <w:rsid w:val="00854EA3"/>
    <w:rsid w:val="00854F7C"/>
    <w:rsid w:val="008553B5"/>
    <w:rsid w:val="008553FC"/>
    <w:rsid w:val="00855464"/>
    <w:rsid w:val="008557AF"/>
    <w:rsid w:val="008557D3"/>
    <w:rsid w:val="008558D6"/>
    <w:rsid w:val="008559B8"/>
    <w:rsid w:val="00855D48"/>
    <w:rsid w:val="00855E14"/>
    <w:rsid w:val="008560B5"/>
    <w:rsid w:val="0085613E"/>
    <w:rsid w:val="00856232"/>
    <w:rsid w:val="00856293"/>
    <w:rsid w:val="0085642A"/>
    <w:rsid w:val="00856654"/>
    <w:rsid w:val="0085666C"/>
    <w:rsid w:val="008567B2"/>
    <w:rsid w:val="008567E4"/>
    <w:rsid w:val="0085686F"/>
    <w:rsid w:val="00856909"/>
    <w:rsid w:val="0085690F"/>
    <w:rsid w:val="00856A76"/>
    <w:rsid w:val="00856B35"/>
    <w:rsid w:val="00856B86"/>
    <w:rsid w:val="00856CBA"/>
    <w:rsid w:val="00856CDC"/>
    <w:rsid w:val="00856D9D"/>
    <w:rsid w:val="00856ED8"/>
    <w:rsid w:val="00856F29"/>
    <w:rsid w:val="00856F98"/>
    <w:rsid w:val="00856FA5"/>
    <w:rsid w:val="00857094"/>
    <w:rsid w:val="008572A1"/>
    <w:rsid w:val="00857584"/>
    <w:rsid w:val="00857645"/>
    <w:rsid w:val="00857767"/>
    <w:rsid w:val="008578E0"/>
    <w:rsid w:val="008578FA"/>
    <w:rsid w:val="0085796B"/>
    <w:rsid w:val="00857A31"/>
    <w:rsid w:val="00857B9C"/>
    <w:rsid w:val="00857D06"/>
    <w:rsid w:val="00857DAA"/>
    <w:rsid w:val="00860078"/>
    <w:rsid w:val="008601E8"/>
    <w:rsid w:val="00860332"/>
    <w:rsid w:val="0086037C"/>
    <w:rsid w:val="008604D1"/>
    <w:rsid w:val="00860657"/>
    <w:rsid w:val="0086065C"/>
    <w:rsid w:val="0086065D"/>
    <w:rsid w:val="00860693"/>
    <w:rsid w:val="00860894"/>
    <w:rsid w:val="00860CC6"/>
    <w:rsid w:val="00860D55"/>
    <w:rsid w:val="00860ECE"/>
    <w:rsid w:val="00860F4C"/>
    <w:rsid w:val="008612AB"/>
    <w:rsid w:val="008612B2"/>
    <w:rsid w:val="008612CB"/>
    <w:rsid w:val="00861406"/>
    <w:rsid w:val="00861649"/>
    <w:rsid w:val="00861663"/>
    <w:rsid w:val="00861A21"/>
    <w:rsid w:val="00861A6A"/>
    <w:rsid w:val="00861ADF"/>
    <w:rsid w:val="00861E77"/>
    <w:rsid w:val="00861E8D"/>
    <w:rsid w:val="00861EBD"/>
    <w:rsid w:val="00861F45"/>
    <w:rsid w:val="00861F8B"/>
    <w:rsid w:val="00861FEB"/>
    <w:rsid w:val="00862066"/>
    <w:rsid w:val="0086213E"/>
    <w:rsid w:val="00862245"/>
    <w:rsid w:val="0086226A"/>
    <w:rsid w:val="008623B1"/>
    <w:rsid w:val="00862607"/>
    <w:rsid w:val="00862775"/>
    <w:rsid w:val="00862784"/>
    <w:rsid w:val="00862A38"/>
    <w:rsid w:val="00862A4D"/>
    <w:rsid w:val="00862A65"/>
    <w:rsid w:val="00862B93"/>
    <w:rsid w:val="00862C52"/>
    <w:rsid w:val="00862D56"/>
    <w:rsid w:val="00862DA0"/>
    <w:rsid w:val="00862F35"/>
    <w:rsid w:val="00862F6F"/>
    <w:rsid w:val="00863204"/>
    <w:rsid w:val="008633EC"/>
    <w:rsid w:val="00863433"/>
    <w:rsid w:val="0086351E"/>
    <w:rsid w:val="008637A8"/>
    <w:rsid w:val="0086399D"/>
    <w:rsid w:val="008639A8"/>
    <w:rsid w:val="00863C83"/>
    <w:rsid w:val="00863C89"/>
    <w:rsid w:val="00863CAE"/>
    <w:rsid w:val="00863CB2"/>
    <w:rsid w:val="00863DB3"/>
    <w:rsid w:val="00863E56"/>
    <w:rsid w:val="00863FCD"/>
    <w:rsid w:val="008640F3"/>
    <w:rsid w:val="008643F9"/>
    <w:rsid w:val="00864481"/>
    <w:rsid w:val="0086448E"/>
    <w:rsid w:val="008644D6"/>
    <w:rsid w:val="008645A7"/>
    <w:rsid w:val="0086470C"/>
    <w:rsid w:val="0086487E"/>
    <w:rsid w:val="008648A5"/>
    <w:rsid w:val="008648BA"/>
    <w:rsid w:val="008649B3"/>
    <w:rsid w:val="00864B09"/>
    <w:rsid w:val="00864B54"/>
    <w:rsid w:val="00864D72"/>
    <w:rsid w:val="00864E85"/>
    <w:rsid w:val="00864F0C"/>
    <w:rsid w:val="00865071"/>
    <w:rsid w:val="00865338"/>
    <w:rsid w:val="00865560"/>
    <w:rsid w:val="00865644"/>
    <w:rsid w:val="008656B9"/>
    <w:rsid w:val="008656F5"/>
    <w:rsid w:val="0086572B"/>
    <w:rsid w:val="00865948"/>
    <w:rsid w:val="00865982"/>
    <w:rsid w:val="00865A54"/>
    <w:rsid w:val="00865AB5"/>
    <w:rsid w:val="00865B34"/>
    <w:rsid w:val="00865FF2"/>
    <w:rsid w:val="0086609D"/>
    <w:rsid w:val="00866109"/>
    <w:rsid w:val="00866185"/>
    <w:rsid w:val="008661A4"/>
    <w:rsid w:val="008662EE"/>
    <w:rsid w:val="00866436"/>
    <w:rsid w:val="0086659A"/>
    <w:rsid w:val="00866849"/>
    <w:rsid w:val="00866A24"/>
    <w:rsid w:val="00866D63"/>
    <w:rsid w:val="00866DA0"/>
    <w:rsid w:val="00866E5E"/>
    <w:rsid w:val="00866F21"/>
    <w:rsid w:val="00866FCE"/>
    <w:rsid w:val="008670A3"/>
    <w:rsid w:val="00867242"/>
    <w:rsid w:val="008672C8"/>
    <w:rsid w:val="008673B9"/>
    <w:rsid w:val="00867418"/>
    <w:rsid w:val="00867439"/>
    <w:rsid w:val="0086753B"/>
    <w:rsid w:val="00867593"/>
    <w:rsid w:val="00867598"/>
    <w:rsid w:val="00867723"/>
    <w:rsid w:val="00867734"/>
    <w:rsid w:val="0086791B"/>
    <w:rsid w:val="00867B90"/>
    <w:rsid w:val="00867BE4"/>
    <w:rsid w:val="00867C4F"/>
    <w:rsid w:val="00867CF6"/>
    <w:rsid w:val="00867D13"/>
    <w:rsid w:val="00867DA5"/>
    <w:rsid w:val="00870133"/>
    <w:rsid w:val="0087033C"/>
    <w:rsid w:val="008703D1"/>
    <w:rsid w:val="008706EE"/>
    <w:rsid w:val="0087074A"/>
    <w:rsid w:val="008707D9"/>
    <w:rsid w:val="00870BBC"/>
    <w:rsid w:val="00870BC1"/>
    <w:rsid w:val="00870C68"/>
    <w:rsid w:val="00870F00"/>
    <w:rsid w:val="00870FEC"/>
    <w:rsid w:val="00871011"/>
    <w:rsid w:val="008711A0"/>
    <w:rsid w:val="0087135F"/>
    <w:rsid w:val="00871506"/>
    <w:rsid w:val="00871529"/>
    <w:rsid w:val="00871635"/>
    <w:rsid w:val="00871845"/>
    <w:rsid w:val="0087187E"/>
    <w:rsid w:val="00871AB4"/>
    <w:rsid w:val="00871AF4"/>
    <w:rsid w:val="00871B61"/>
    <w:rsid w:val="00871BB7"/>
    <w:rsid w:val="00871CB2"/>
    <w:rsid w:val="00871CCB"/>
    <w:rsid w:val="00871F81"/>
    <w:rsid w:val="00871FC6"/>
    <w:rsid w:val="00872025"/>
    <w:rsid w:val="00872038"/>
    <w:rsid w:val="00872131"/>
    <w:rsid w:val="008721EC"/>
    <w:rsid w:val="00872219"/>
    <w:rsid w:val="0087221E"/>
    <w:rsid w:val="008723C7"/>
    <w:rsid w:val="008723D2"/>
    <w:rsid w:val="008724DA"/>
    <w:rsid w:val="0087276A"/>
    <w:rsid w:val="0087279E"/>
    <w:rsid w:val="008727BD"/>
    <w:rsid w:val="008727D4"/>
    <w:rsid w:val="008727F6"/>
    <w:rsid w:val="008728A0"/>
    <w:rsid w:val="00872958"/>
    <w:rsid w:val="00872BB1"/>
    <w:rsid w:val="00872D4C"/>
    <w:rsid w:val="00872D94"/>
    <w:rsid w:val="00872F31"/>
    <w:rsid w:val="00872F32"/>
    <w:rsid w:val="0087308A"/>
    <w:rsid w:val="00873485"/>
    <w:rsid w:val="008735E0"/>
    <w:rsid w:val="00873851"/>
    <w:rsid w:val="0087388A"/>
    <w:rsid w:val="008738D4"/>
    <w:rsid w:val="00873908"/>
    <w:rsid w:val="00873A3C"/>
    <w:rsid w:val="00873AD2"/>
    <w:rsid w:val="00873AF5"/>
    <w:rsid w:val="00873E2A"/>
    <w:rsid w:val="00873FA1"/>
    <w:rsid w:val="0087400B"/>
    <w:rsid w:val="00874057"/>
    <w:rsid w:val="008741E1"/>
    <w:rsid w:val="00874254"/>
    <w:rsid w:val="00874365"/>
    <w:rsid w:val="0087445B"/>
    <w:rsid w:val="008744AE"/>
    <w:rsid w:val="008745E9"/>
    <w:rsid w:val="00874701"/>
    <w:rsid w:val="0087481E"/>
    <w:rsid w:val="00874A25"/>
    <w:rsid w:val="00874AC7"/>
    <w:rsid w:val="00874D00"/>
    <w:rsid w:val="00874E5D"/>
    <w:rsid w:val="00874F1D"/>
    <w:rsid w:val="00874F33"/>
    <w:rsid w:val="00874F5A"/>
    <w:rsid w:val="00874F9E"/>
    <w:rsid w:val="00875006"/>
    <w:rsid w:val="00875028"/>
    <w:rsid w:val="00875102"/>
    <w:rsid w:val="00875158"/>
    <w:rsid w:val="0087533C"/>
    <w:rsid w:val="0087548C"/>
    <w:rsid w:val="0087553D"/>
    <w:rsid w:val="00875548"/>
    <w:rsid w:val="00875597"/>
    <w:rsid w:val="00875611"/>
    <w:rsid w:val="008756EE"/>
    <w:rsid w:val="00875996"/>
    <w:rsid w:val="00875ADB"/>
    <w:rsid w:val="00875B1D"/>
    <w:rsid w:val="00875CE5"/>
    <w:rsid w:val="00875D0E"/>
    <w:rsid w:val="00875E89"/>
    <w:rsid w:val="00875FF5"/>
    <w:rsid w:val="0087612B"/>
    <w:rsid w:val="0087627D"/>
    <w:rsid w:val="008762D4"/>
    <w:rsid w:val="0087646D"/>
    <w:rsid w:val="00876591"/>
    <w:rsid w:val="008765E2"/>
    <w:rsid w:val="0087672D"/>
    <w:rsid w:val="008768A7"/>
    <w:rsid w:val="008768C6"/>
    <w:rsid w:val="008768D6"/>
    <w:rsid w:val="008769D0"/>
    <w:rsid w:val="00876B8B"/>
    <w:rsid w:val="00876E1E"/>
    <w:rsid w:val="00876EC1"/>
    <w:rsid w:val="00876EE3"/>
    <w:rsid w:val="00876FB3"/>
    <w:rsid w:val="00877087"/>
    <w:rsid w:val="008770BB"/>
    <w:rsid w:val="0087729F"/>
    <w:rsid w:val="00877695"/>
    <w:rsid w:val="008777D4"/>
    <w:rsid w:val="00877811"/>
    <w:rsid w:val="0087781F"/>
    <w:rsid w:val="00877837"/>
    <w:rsid w:val="008778C0"/>
    <w:rsid w:val="00877A11"/>
    <w:rsid w:val="00877AF8"/>
    <w:rsid w:val="00877C0F"/>
    <w:rsid w:val="00877C5E"/>
    <w:rsid w:val="00877D3F"/>
    <w:rsid w:val="00877DCF"/>
    <w:rsid w:val="00877E0B"/>
    <w:rsid w:val="00877EE3"/>
    <w:rsid w:val="00877F69"/>
    <w:rsid w:val="008800A3"/>
    <w:rsid w:val="008802BB"/>
    <w:rsid w:val="00880364"/>
    <w:rsid w:val="00880581"/>
    <w:rsid w:val="00880666"/>
    <w:rsid w:val="008806F6"/>
    <w:rsid w:val="008808E9"/>
    <w:rsid w:val="00880A2E"/>
    <w:rsid w:val="00880ACD"/>
    <w:rsid w:val="00880AD9"/>
    <w:rsid w:val="00880D1A"/>
    <w:rsid w:val="00880E53"/>
    <w:rsid w:val="00880E68"/>
    <w:rsid w:val="00880F4B"/>
    <w:rsid w:val="00881137"/>
    <w:rsid w:val="008811D6"/>
    <w:rsid w:val="0088124F"/>
    <w:rsid w:val="008813C8"/>
    <w:rsid w:val="00881404"/>
    <w:rsid w:val="0088144E"/>
    <w:rsid w:val="008814D0"/>
    <w:rsid w:val="008817B0"/>
    <w:rsid w:val="008818AD"/>
    <w:rsid w:val="00881AC3"/>
    <w:rsid w:val="00881B15"/>
    <w:rsid w:val="00881EAA"/>
    <w:rsid w:val="00881F5A"/>
    <w:rsid w:val="00881FD0"/>
    <w:rsid w:val="0088208B"/>
    <w:rsid w:val="0088215B"/>
    <w:rsid w:val="0088216A"/>
    <w:rsid w:val="008821EF"/>
    <w:rsid w:val="008821F5"/>
    <w:rsid w:val="008822E0"/>
    <w:rsid w:val="00882410"/>
    <w:rsid w:val="008824F3"/>
    <w:rsid w:val="008826D1"/>
    <w:rsid w:val="00882865"/>
    <w:rsid w:val="00882902"/>
    <w:rsid w:val="00882BD7"/>
    <w:rsid w:val="00882D3E"/>
    <w:rsid w:val="00882E23"/>
    <w:rsid w:val="00882FA3"/>
    <w:rsid w:val="00882FF8"/>
    <w:rsid w:val="008831F7"/>
    <w:rsid w:val="00883312"/>
    <w:rsid w:val="008835C3"/>
    <w:rsid w:val="00883605"/>
    <w:rsid w:val="00883725"/>
    <w:rsid w:val="00883788"/>
    <w:rsid w:val="00883797"/>
    <w:rsid w:val="00883A1A"/>
    <w:rsid w:val="00883BC4"/>
    <w:rsid w:val="00883D82"/>
    <w:rsid w:val="00883DC4"/>
    <w:rsid w:val="00883FFF"/>
    <w:rsid w:val="00884092"/>
    <w:rsid w:val="008840EF"/>
    <w:rsid w:val="0088414A"/>
    <w:rsid w:val="008841B8"/>
    <w:rsid w:val="00884258"/>
    <w:rsid w:val="008842A3"/>
    <w:rsid w:val="0088436C"/>
    <w:rsid w:val="00884454"/>
    <w:rsid w:val="008846DD"/>
    <w:rsid w:val="008847E4"/>
    <w:rsid w:val="00884A90"/>
    <w:rsid w:val="00884AD9"/>
    <w:rsid w:val="00884C4A"/>
    <w:rsid w:val="00884CF6"/>
    <w:rsid w:val="00884E02"/>
    <w:rsid w:val="00884E47"/>
    <w:rsid w:val="00884EB2"/>
    <w:rsid w:val="00884F9E"/>
    <w:rsid w:val="00885173"/>
    <w:rsid w:val="008854AF"/>
    <w:rsid w:val="00885637"/>
    <w:rsid w:val="0088596F"/>
    <w:rsid w:val="008859B0"/>
    <w:rsid w:val="00885A04"/>
    <w:rsid w:val="00885A0F"/>
    <w:rsid w:val="00885A9A"/>
    <w:rsid w:val="00885D0F"/>
    <w:rsid w:val="00886267"/>
    <w:rsid w:val="00886276"/>
    <w:rsid w:val="00886312"/>
    <w:rsid w:val="0088643E"/>
    <w:rsid w:val="00886577"/>
    <w:rsid w:val="0088664D"/>
    <w:rsid w:val="00886663"/>
    <w:rsid w:val="0088669C"/>
    <w:rsid w:val="00886830"/>
    <w:rsid w:val="008868E5"/>
    <w:rsid w:val="00886922"/>
    <w:rsid w:val="00886A47"/>
    <w:rsid w:val="00886C0E"/>
    <w:rsid w:val="00886C7D"/>
    <w:rsid w:val="00886DFE"/>
    <w:rsid w:val="00886E0F"/>
    <w:rsid w:val="00886E8C"/>
    <w:rsid w:val="00886FC0"/>
    <w:rsid w:val="00886FCB"/>
    <w:rsid w:val="008870FA"/>
    <w:rsid w:val="0088710E"/>
    <w:rsid w:val="00887346"/>
    <w:rsid w:val="008873FD"/>
    <w:rsid w:val="00887443"/>
    <w:rsid w:val="00887478"/>
    <w:rsid w:val="00887552"/>
    <w:rsid w:val="00887716"/>
    <w:rsid w:val="00887791"/>
    <w:rsid w:val="0088786F"/>
    <w:rsid w:val="0088789B"/>
    <w:rsid w:val="008879CD"/>
    <w:rsid w:val="00887A6F"/>
    <w:rsid w:val="00887A99"/>
    <w:rsid w:val="00887AB8"/>
    <w:rsid w:val="00887B5F"/>
    <w:rsid w:val="00887CB1"/>
    <w:rsid w:val="00887E6C"/>
    <w:rsid w:val="00887FBB"/>
    <w:rsid w:val="00887FF1"/>
    <w:rsid w:val="008900C0"/>
    <w:rsid w:val="0089011C"/>
    <w:rsid w:val="00890182"/>
    <w:rsid w:val="00890206"/>
    <w:rsid w:val="0089021E"/>
    <w:rsid w:val="00890240"/>
    <w:rsid w:val="008903BC"/>
    <w:rsid w:val="008903D5"/>
    <w:rsid w:val="008907A5"/>
    <w:rsid w:val="008907E4"/>
    <w:rsid w:val="0089085B"/>
    <w:rsid w:val="008909BD"/>
    <w:rsid w:val="00890A91"/>
    <w:rsid w:val="00890AF7"/>
    <w:rsid w:val="00890BD6"/>
    <w:rsid w:val="00890BFA"/>
    <w:rsid w:val="00890C50"/>
    <w:rsid w:val="00890C93"/>
    <w:rsid w:val="00890FCB"/>
    <w:rsid w:val="00891047"/>
    <w:rsid w:val="008910DF"/>
    <w:rsid w:val="008911A8"/>
    <w:rsid w:val="008913E2"/>
    <w:rsid w:val="0089140B"/>
    <w:rsid w:val="00891412"/>
    <w:rsid w:val="00891503"/>
    <w:rsid w:val="00891592"/>
    <w:rsid w:val="00891614"/>
    <w:rsid w:val="00891981"/>
    <w:rsid w:val="008919C3"/>
    <w:rsid w:val="00891ACC"/>
    <w:rsid w:val="00891DAA"/>
    <w:rsid w:val="00891DF5"/>
    <w:rsid w:val="00891DF7"/>
    <w:rsid w:val="00891E31"/>
    <w:rsid w:val="00891E75"/>
    <w:rsid w:val="00891E9E"/>
    <w:rsid w:val="00891EDE"/>
    <w:rsid w:val="00891EDF"/>
    <w:rsid w:val="00891FCA"/>
    <w:rsid w:val="0089218B"/>
    <w:rsid w:val="008923FF"/>
    <w:rsid w:val="008924B8"/>
    <w:rsid w:val="00892578"/>
    <w:rsid w:val="00892615"/>
    <w:rsid w:val="008927D5"/>
    <w:rsid w:val="0089294D"/>
    <w:rsid w:val="00892CE4"/>
    <w:rsid w:val="00893140"/>
    <w:rsid w:val="0089320D"/>
    <w:rsid w:val="00893265"/>
    <w:rsid w:val="00893305"/>
    <w:rsid w:val="008933C5"/>
    <w:rsid w:val="00893423"/>
    <w:rsid w:val="00893580"/>
    <w:rsid w:val="00893621"/>
    <w:rsid w:val="00893817"/>
    <w:rsid w:val="00893A37"/>
    <w:rsid w:val="00893BE9"/>
    <w:rsid w:val="00893D84"/>
    <w:rsid w:val="00893DC8"/>
    <w:rsid w:val="00893E4F"/>
    <w:rsid w:val="00893FBF"/>
    <w:rsid w:val="0089400C"/>
    <w:rsid w:val="008941A8"/>
    <w:rsid w:val="00894256"/>
    <w:rsid w:val="008942E9"/>
    <w:rsid w:val="008943C6"/>
    <w:rsid w:val="0089440E"/>
    <w:rsid w:val="008947E3"/>
    <w:rsid w:val="008948C0"/>
    <w:rsid w:val="00894ABE"/>
    <w:rsid w:val="00894B16"/>
    <w:rsid w:val="00894C8E"/>
    <w:rsid w:val="00894CC1"/>
    <w:rsid w:val="00894F07"/>
    <w:rsid w:val="00895338"/>
    <w:rsid w:val="0089536A"/>
    <w:rsid w:val="00895862"/>
    <w:rsid w:val="008958DF"/>
    <w:rsid w:val="008959C3"/>
    <w:rsid w:val="008959D8"/>
    <w:rsid w:val="00895A81"/>
    <w:rsid w:val="00895C0C"/>
    <w:rsid w:val="00895C60"/>
    <w:rsid w:val="00895DEA"/>
    <w:rsid w:val="00895E45"/>
    <w:rsid w:val="00895F1C"/>
    <w:rsid w:val="00895F52"/>
    <w:rsid w:val="00895FD3"/>
    <w:rsid w:val="0089622D"/>
    <w:rsid w:val="00896234"/>
    <w:rsid w:val="00896341"/>
    <w:rsid w:val="0089676B"/>
    <w:rsid w:val="008969CE"/>
    <w:rsid w:val="00896C70"/>
    <w:rsid w:val="00896C7A"/>
    <w:rsid w:val="00896C8B"/>
    <w:rsid w:val="00896D6D"/>
    <w:rsid w:val="00896E52"/>
    <w:rsid w:val="00896EE0"/>
    <w:rsid w:val="00896EFA"/>
    <w:rsid w:val="00896F9C"/>
    <w:rsid w:val="008971FF"/>
    <w:rsid w:val="008972EB"/>
    <w:rsid w:val="00897401"/>
    <w:rsid w:val="00897615"/>
    <w:rsid w:val="008976B5"/>
    <w:rsid w:val="00897947"/>
    <w:rsid w:val="00897A36"/>
    <w:rsid w:val="00897AE2"/>
    <w:rsid w:val="00897B13"/>
    <w:rsid w:val="00897C51"/>
    <w:rsid w:val="00897C61"/>
    <w:rsid w:val="00897CC5"/>
    <w:rsid w:val="00897CCE"/>
    <w:rsid w:val="00897E02"/>
    <w:rsid w:val="00897F5A"/>
    <w:rsid w:val="00897FD4"/>
    <w:rsid w:val="008A04F9"/>
    <w:rsid w:val="008A0515"/>
    <w:rsid w:val="008A0573"/>
    <w:rsid w:val="008A073D"/>
    <w:rsid w:val="008A0916"/>
    <w:rsid w:val="008A0BA1"/>
    <w:rsid w:val="008A0DA7"/>
    <w:rsid w:val="008A0DEE"/>
    <w:rsid w:val="008A112C"/>
    <w:rsid w:val="008A11B0"/>
    <w:rsid w:val="008A1278"/>
    <w:rsid w:val="008A14E5"/>
    <w:rsid w:val="008A14F7"/>
    <w:rsid w:val="008A1562"/>
    <w:rsid w:val="008A167E"/>
    <w:rsid w:val="008A17F6"/>
    <w:rsid w:val="008A1866"/>
    <w:rsid w:val="008A19D4"/>
    <w:rsid w:val="008A1ADE"/>
    <w:rsid w:val="008A1B0D"/>
    <w:rsid w:val="008A1B71"/>
    <w:rsid w:val="008A1D19"/>
    <w:rsid w:val="008A1D32"/>
    <w:rsid w:val="008A1D48"/>
    <w:rsid w:val="008A1E33"/>
    <w:rsid w:val="008A1E98"/>
    <w:rsid w:val="008A1FD1"/>
    <w:rsid w:val="008A20F5"/>
    <w:rsid w:val="008A2203"/>
    <w:rsid w:val="008A225A"/>
    <w:rsid w:val="008A240D"/>
    <w:rsid w:val="008A2578"/>
    <w:rsid w:val="008A25C7"/>
    <w:rsid w:val="008A28F3"/>
    <w:rsid w:val="008A2A08"/>
    <w:rsid w:val="008A2A52"/>
    <w:rsid w:val="008A2AF1"/>
    <w:rsid w:val="008A2AF2"/>
    <w:rsid w:val="008A2BD5"/>
    <w:rsid w:val="008A2C86"/>
    <w:rsid w:val="008A2CB3"/>
    <w:rsid w:val="008A2E50"/>
    <w:rsid w:val="008A2F68"/>
    <w:rsid w:val="008A2F9C"/>
    <w:rsid w:val="008A3012"/>
    <w:rsid w:val="008A30A0"/>
    <w:rsid w:val="008A30C2"/>
    <w:rsid w:val="008A3236"/>
    <w:rsid w:val="008A329D"/>
    <w:rsid w:val="008A3417"/>
    <w:rsid w:val="008A35D3"/>
    <w:rsid w:val="008A37AD"/>
    <w:rsid w:val="008A38F3"/>
    <w:rsid w:val="008A39AA"/>
    <w:rsid w:val="008A39E5"/>
    <w:rsid w:val="008A3A2C"/>
    <w:rsid w:val="008A3C71"/>
    <w:rsid w:val="008A3C87"/>
    <w:rsid w:val="008A3D0D"/>
    <w:rsid w:val="008A3EE0"/>
    <w:rsid w:val="008A41AF"/>
    <w:rsid w:val="008A434F"/>
    <w:rsid w:val="008A444A"/>
    <w:rsid w:val="008A453D"/>
    <w:rsid w:val="008A4643"/>
    <w:rsid w:val="008A4666"/>
    <w:rsid w:val="008A46F4"/>
    <w:rsid w:val="008A4977"/>
    <w:rsid w:val="008A4B86"/>
    <w:rsid w:val="008A4C05"/>
    <w:rsid w:val="008A4C9F"/>
    <w:rsid w:val="008A4E37"/>
    <w:rsid w:val="008A4E8A"/>
    <w:rsid w:val="008A4F42"/>
    <w:rsid w:val="008A4F52"/>
    <w:rsid w:val="008A4FBB"/>
    <w:rsid w:val="008A5196"/>
    <w:rsid w:val="008A51FA"/>
    <w:rsid w:val="008A52CA"/>
    <w:rsid w:val="008A53B8"/>
    <w:rsid w:val="008A5653"/>
    <w:rsid w:val="008A5AB0"/>
    <w:rsid w:val="008A5AF8"/>
    <w:rsid w:val="008A5CDD"/>
    <w:rsid w:val="008A5DF9"/>
    <w:rsid w:val="008A5EA2"/>
    <w:rsid w:val="008A614B"/>
    <w:rsid w:val="008A6405"/>
    <w:rsid w:val="008A6580"/>
    <w:rsid w:val="008A6599"/>
    <w:rsid w:val="008A6675"/>
    <w:rsid w:val="008A68AE"/>
    <w:rsid w:val="008A69AE"/>
    <w:rsid w:val="008A6B43"/>
    <w:rsid w:val="008A6BD4"/>
    <w:rsid w:val="008A6D64"/>
    <w:rsid w:val="008A6D78"/>
    <w:rsid w:val="008A6DB9"/>
    <w:rsid w:val="008A6E64"/>
    <w:rsid w:val="008A7182"/>
    <w:rsid w:val="008A76C8"/>
    <w:rsid w:val="008A7AE3"/>
    <w:rsid w:val="008A7AFE"/>
    <w:rsid w:val="008A7B0C"/>
    <w:rsid w:val="008A7C1A"/>
    <w:rsid w:val="008A7CF0"/>
    <w:rsid w:val="008A7E8A"/>
    <w:rsid w:val="008B00C4"/>
    <w:rsid w:val="008B00CB"/>
    <w:rsid w:val="008B02FF"/>
    <w:rsid w:val="008B031E"/>
    <w:rsid w:val="008B0350"/>
    <w:rsid w:val="008B0388"/>
    <w:rsid w:val="008B03D5"/>
    <w:rsid w:val="008B060F"/>
    <w:rsid w:val="008B06DB"/>
    <w:rsid w:val="008B0755"/>
    <w:rsid w:val="008B079B"/>
    <w:rsid w:val="008B0C2D"/>
    <w:rsid w:val="008B0CA4"/>
    <w:rsid w:val="008B0D26"/>
    <w:rsid w:val="008B0E45"/>
    <w:rsid w:val="008B0FB6"/>
    <w:rsid w:val="008B0FBA"/>
    <w:rsid w:val="008B116B"/>
    <w:rsid w:val="008B11F0"/>
    <w:rsid w:val="008B13A5"/>
    <w:rsid w:val="008B15CC"/>
    <w:rsid w:val="008B1631"/>
    <w:rsid w:val="008B16D4"/>
    <w:rsid w:val="008B19DF"/>
    <w:rsid w:val="008B1BF3"/>
    <w:rsid w:val="008B1ED0"/>
    <w:rsid w:val="008B1FE5"/>
    <w:rsid w:val="008B200B"/>
    <w:rsid w:val="008B20DB"/>
    <w:rsid w:val="008B2608"/>
    <w:rsid w:val="008B2779"/>
    <w:rsid w:val="008B2850"/>
    <w:rsid w:val="008B291A"/>
    <w:rsid w:val="008B2B02"/>
    <w:rsid w:val="008B2B0C"/>
    <w:rsid w:val="008B2BFD"/>
    <w:rsid w:val="008B2D37"/>
    <w:rsid w:val="008B3292"/>
    <w:rsid w:val="008B3360"/>
    <w:rsid w:val="008B3367"/>
    <w:rsid w:val="008B343D"/>
    <w:rsid w:val="008B352B"/>
    <w:rsid w:val="008B3585"/>
    <w:rsid w:val="008B359A"/>
    <w:rsid w:val="008B36C3"/>
    <w:rsid w:val="008B36CA"/>
    <w:rsid w:val="008B39E2"/>
    <w:rsid w:val="008B3CA4"/>
    <w:rsid w:val="008B3DF4"/>
    <w:rsid w:val="008B3EC1"/>
    <w:rsid w:val="008B4178"/>
    <w:rsid w:val="008B4492"/>
    <w:rsid w:val="008B44A2"/>
    <w:rsid w:val="008B44A3"/>
    <w:rsid w:val="008B4772"/>
    <w:rsid w:val="008B48B4"/>
    <w:rsid w:val="008B48CA"/>
    <w:rsid w:val="008B48CE"/>
    <w:rsid w:val="008B49C2"/>
    <w:rsid w:val="008B4D34"/>
    <w:rsid w:val="008B4E37"/>
    <w:rsid w:val="008B4F0A"/>
    <w:rsid w:val="008B4F97"/>
    <w:rsid w:val="008B4FA6"/>
    <w:rsid w:val="008B4FCF"/>
    <w:rsid w:val="008B506B"/>
    <w:rsid w:val="008B509B"/>
    <w:rsid w:val="008B5130"/>
    <w:rsid w:val="008B51A6"/>
    <w:rsid w:val="008B525F"/>
    <w:rsid w:val="008B526D"/>
    <w:rsid w:val="008B5282"/>
    <w:rsid w:val="008B5297"/>
    <w:rsid w:val="008B53AE"/>
    <w:rsid w:val="008B55D2"/>
    <w:rsid w:val="008B572F"/>
    <w:rsid w:val="008B58F6"/>
    <w:rsid w:val="008B590F"/>
    <w:rsid w:val="008B593F"/>
    <w:rsid w:val="008B5AB5"/>
    <w:rsid w:val="008B5B9E"/>
    <w:rsid w:val="008B5D6A"/>
    <w:rsid w:val="008B5DBB"/>
    <w:rsid w:val="008B5E18"/>
    <w:rsid w:val="008B5EF8"/>
    <w:rsid w:val="008B6091"/>
    <w:rsid w:val="008B60AC"/>
    <w:rsid w:val="008B6277"/>
    <w:rsid w:val="008B6308"/>
    <w:rsid w:val="008B6466"/>
    <w:rsid w:val="008B6479"/>
    <w:rsid w:val="008B67F3"/>
    <w:rsid w:val="008B68EB"/>
    <w:rsid w:val="008B6993"/>
    <w:rsid w:val="008B6C52"/>
    <w:rsid w:val="008B6C54"/>
    <w:rsid w:val="008B6D20"/>
    <w:rsid w:val="008B6E39"/>
    <w:rsid w:val="008B6E3B"/>
    <w:rsid w:val="008B6E42"/>
    <w:rsid w:val="008B6EDE"/>
    <w:rsid w:val="008B6EFC"/>
    <w:rsid w:val="008B6F18"/>
    <w:rsid w:val="008B6F36"/>
    <w:rsid w:val="008B701B"/>
    <w:rsid w:val="008B742B"/>
    <w:rsid w:val="008B7490"/>
    <w:rsid w:val="008B75E9"/>
    <w:rsid w:val="008B761F"/>
    <w:rsid w:val="008B776E"/>
    <w:rsid w:val="008B78EE"/>
    <w:rsid w:val="008B7BA3"/>
    <w:rsid w:val="008B7BC4"/>
    <w:rsid w:val="008B7C17"/>
    <w:rsid w:val="008B7F47"/>
    <w:rsid w:val="008C02CD"/>
    <w:rsid w:val="008C03CA"/>
    <w:rsid w:val="008C04EE"/>
    <w:rsid w:val="008C068C"/>
    <w:rsid w:val="008C08D6"/>
    <w:rsid w:val="008C0909"/>
    <w:rsid w:val="008C09C5"/>
    <w:rsid w:val="008C0AE3"/>
    <w:rsid w:val="008C0B92"/>
    <w:rsid w:val="008C0C22"/>
    <w:rsid w:val="008C0F6A"/>
    <w:rsid w:val="008C1000"/>
    <w:rsid w:val="008C103E"/>
    <w:rsid w:val="008C10CA"/>
    <w:rsid w:val="008C11B2"/>
    <w:rsid w:val="008C167B"/>
    <w:rsid w:val="008C181E"/>
    <w:rsid w:val="008C18A3"/>
    <w:rsid w:val="008C1971"/>
    <w:rsid w:val="008C19EE"/>
    <w:rsid w:val="008C1B4C"/>
    <w:rsid w:val="008C1C3E"/>
    <w:rsid w:val="008C1F01"/>
    <w:rsid w:val="008C21B0"/>
    <w:rsid w:val="008C21B1"/>
    <w:rsid w:val="008C21D6"/>
    <w:rsid w:val="008C221C"/>
    <w:rsid w:val="008C224A"/>
    <w:rsid w:val="008C2290"/>
    <w:rsid w:val="008C2292"/>
    <w:rsid w:val="008C2377"/>
    <w:rsid w:val="008C2494"/>
    <w:rsid w:val="008C2495"/>
    <w:rsid w:val="008C2574"/>
    <w:rsid w:val="008C26C5"/>
    <w:rsid w:val="008C27F5"/>
    <w:rsid w:val="008C2B76"/>
    <w:rsid w:val="008C2C42"/>
    <w:rsid w:val="008C2C5A"/>
    <w:rsid w:val="008C2C8F"/>
    <w:rsid w:val="008C2D01"/>
    <w:rsid w:val="008C2FE6"/>
    <w:rsid w:val="008C30AE"/>
    <w:rsid w:val="008C3149"/>
    <w:rsid w:val="008C3273"/>
    <w:rsid w:val="008C3365"/>
    <w:rsid w:val="008C345A"/>
    <w:rsid w:val="008C34F5"/>
    <w:rsid w:val="008C353E"/>
    <w:rsid w:val="008C356A"/>
    <w:rsid w:val="008C360E"/>
    <w:rsid w:val="008C38C0"/>
    <w:rsid w:val="008C3943"/>
    <w:rsid w:val="008C39CF"/>
    <w:rsid w:val="008C3A28"/>
    <w:rsid w:val="008C3A79"/>
    <w:rsid w:val="008C3ADF"/>
    <w:rsid w:val="008C3C49"/>
    <w:rsid w:val="008C3EAF"/>
    <w:rsid w:val="008C3EF0"/>
    <w:rsid w:val="008C4008"/>
    <w:rsid w:val="008C40E6"/>
    <w:rsid w:val="008C41E0"/>
    <w:rsid w:val="008C437E"/>
    <w:rsid w:val="008C4398"/>
    <w:rsid w:val="008C453F"/>
    <w:rsid w:val="008C45E5"/>
    <w:rsid w:val="008C47B6"/>
    <w:rsid w:val="008C48DB"/>
    <w:rsid w:val="008C49D9"/>
    <w:rsid w:val="008C49E6"/>
    <w:rsid w:val="008C4A81"/>
    <w:rsid w:val="008C4B54"/>
    <w:rsid w:val="008C4BB8"/>
    <w:rsid w:val="008C4D5A"/>
    <w:rsid w:val="008C4E45"/>
    <w:rsid w:val="008C4F78"/>
    <w:rsid w:val="008C5292"/>
    <w:rsid w:val="008C539F"/>
    <w:rsid w:val="008C5842"/>
    <w:rsid w:val="008C5895"/>
    <w:rsid w:val="008C5BB2"/>
    <w:rsid w:val="008C5BF7"/>
    <w:rsid w:val="008C5C13"/>
    <w:rsid w:val="008C5CB5"/>
    <w:rsid w:val="008C5DC8"/>
    <w:rsid w:val="008C6017"/>
    <w:rsid w:val="008C60E3"/>
    <w:rsid w:val="008C61C9"/>
    <w:rsid w:val="008C6415"/>
    <w:rsid w:val="008C6608"/>
    <w:rsid w:val="008C6670"/>
    <w:rsid w:val="008C67C0"/>
    <w:rsid w:val="008C6828"/>
    <w:rsid w:val="008C6896"/>
    <w:rsid w:val="008C6B4F"/>
    <w:rsid w:val="008C6BF5"/>
    <w:rsid w:val="008C7111"/>
    <w:rsid w:val="008C71D3"/>
    <w:rsid w:val="008C78A4"/>
    <w:rsid w:val="008C78D9"/>
    <w:rsid w:val="008C78EC"/>
    <w:rsid w:val="008C7A0A"/>
    <w:rsid w:val="008C7DCD"/>
    <w:rsid w:val="008C7DD2"/>
    <w:rsid w:val="008C7E93"/>
    <w:rsid w:val="008D028A"/>
    <w:rsid w:val="008D044B"/>
    <w:rsid w:val="008D058A"/>
    <w:rsid w:val="008D06CA"/>
    <w:rsid w:val="008D06CB"/>
    <w:rsid w:val="008D06F1"/>
    <w:rsid w:val="008D0790"/>
    <w:rsid w:val="008D089E"/>
    <w:rsid w:val="008D0AA7"/>
    <w:rsid w:val="008D0B4B"/>
    <w:rsid w:val="008D0BEB"/>
    <w:rsid w:val="008D0C51"/>
    <w:rsid w:val="008D0DB8"/>
    <w:rsid w:val="008D0E7B"/>
    <w:rsid w:val="008D0E93"/>
    <w:rsid w:val="008D0F7A"/>
    <w:rsid w:val="008D0F99"/>
    <w:rsid w:val="008D0FB0"/>
    <w:rsid w:val="008D1032"/>
    <w:rsid w:val="008D10FE"/>
    <w:rsid w:val="008D1101"/>
    <w:rsid w:val="008D11F1"/>
    <w:rsid w:val="008D1218"/>
    <w:rsid w:val="008D1447"/>
    <w:rsid w:val="008D1459"/>
    <w:rsid w:val="008D14B9"/>
    <w:rsid w:val="008D15D9"/>
    <w:rsid w:val="008D18FD"/>
    <w:rsid w:val="008D196A"/>
    <w:rsid w:val="008D1C8E"/>
    <w:rsid w:val="008D1D90"/>
    <w:rsid w:val="008D1E21"/>
    <w:rsid w:val="008D1E5B"/>
    <w:rsid w:val="008D1F64"/>
    <w:rsid w:val="008D1FD1"/>
    <w:rsid w:val="008D215D"/>
    <w:rsid w:val="008D21BE"/>
    <w:rsid w:val="008D22D2"/>
    <w:rsid w:val="008D22E9"/>
    <w:rsid w:val="008D2388"/>
    <w:rsid w:val="008D238B"/>
    <w:rsid w:val="008D24B2"/>
    <w:rsid w:val="008D258C"/>
    <w:rsid w:val="008D2678"/>
    <w:rsid w:val="008D2705"/>
    <w:rsid w:val="008D274F"/>
    <w:rsid w:val="008D28E2"/>
    <w:rsid w:val="008D2945"/>
    <w:rsid w:val="008D299D"/>
    <w:rsid w:val="008D2BD6"/>
    <w:rsid w:val="008D2DF6"/>
    <w:rsid w:val="008D2E65"/>
    <w:rsid w:val="008D2ED7"/>
    <w:rsid w:val="008D2F9F"/>
    <w:rsid w:val="008D3263"/>
    <w:rsid w:val="008D32F1"/>
    <w:rsid w:val="008D34CC"/>
    <w:rsid w:val="008D351F"/>
    <w:rsid w:val="008D3821"/>
    <w:rsid w:val="008D38BD"/>
    <w:rsid w:val="008D3B10"/>
    <w:rsid w:val="008D3EB1"/>
    <w:rsid w:val="008D3F91"/>
    <w:rsid w:val="008D3F9C"/>
    <w:rsid w:val="008D3FBB"/>
    <w:rsid w:val="008D3FEA"/>
    <w:rsid w:val="008D403E"/>
    <w:rsid w:val="008D408D"/>
    <w:rsid w:val="008D40CD"/>
    <w:rsid w:val="008D427A"/>
    <w:rsid w:val="008D44C3"/>
    <w:rsid w:val="008D4543"/>
    <w:rsid w:val="008D4582"/>
    <w:rsid w:val="008D4670"/>
    <w:rsid w:val="008D48CF"/>
    <w:rsid w:val="008D4E70"/>
    <w:rsid w:val="008D4EF5"/>
    <w:rsid w:val="008D4F66"/>
    <w:rsid w:val="008D4F79"/>
    <w:rsid w:val="008D5022"/>
    <w:rsid w:val="008D506C"/>
    <w:rsid w:val="008D5071"/>
    <w:rsid w:val="008D5134"/>
    <w:rsid w:val="008D5142"/>
    <w:rsid w:val="008D51F1"/>
    <w:rsid w:val="008D53CD"/>
    <w:rsid w:val="008D561C"/>
    <w:rsid w:val="008D56F9"/>
    <w:rsid w:val="008D5CF6"/>
    <w:rsid w:val="008D5DE3"/>
    <w:rsid w:val="008D5ED0"/>
    <w:rsid w:val="008D5F0A"/>
    <w:rsid w:val="008D6007"/>
    <w:rsid w:val="008D61E5"/>
    <w:rsid w:val="008D65AF"/>
    <w:rsid w:val="008D66EC"/>
    <w:rsid w:val="008D68E4"/>
    <w:rsid w:val="008D6A98"/>
    <w:rsid w:val="008D7062"/>
    <w:rsid w:val="008D75EE"/>
    <w:rsid w:val="008D7647"/>
    <w:rsid w:val="008D7846"/>
    <w:rsid w:val="008D796E"/>
    <w:rsid w:val="008D7DDB"/>
    <w:rsid w:val="008D7EB1"/>
    <w:rsid w:val="008D7F4B"/>
    <w:rsid w:val="008E0145"/>
    <w:rsid w:val="008E01ED"/>
    <w:rsid w:val="008E045B"/>
    <w:rsid w:val="008E04DE"/>
    <w:rsid w:val="008E0506"/>
    <w:rsid w:val="008E068A"/>
    <w:rsid w:val="008E06E6"/>
    <w:rsid w:val="008E08C4"/>
    <w:rsid w:val="008E09A0"/>
    <w:rsid w:val="008E0AAB"/>
    <w:rsid w:val="008E0ACA"/>
    <w:rsid w:val="008E0CC0"/>
    <w:rsid w:val="008E0CFF"/>
    <w:rsid w:val="008E0E3E"/>
    <w:rsid w:val="008E106B"/>
    <w:rsid w:val="008E108F"/>
    <w:rsid w:val="008E1299"/>
    <w:rsid w:val="008E1321"/>
    <w:rsid w:val="008E1472"/>
    <w:rsid w:val="008E175A"/>
    <w:rsid w:val="008E176D"/>
    <w:rsid w:val="008E18B2"/>
    <w:rsid w:val="008E1957"/>
    <w:rsid w:val="008E19A2"/>
    <w:rsid w:val="008E1B2E"/>
    <w:rsid w:val="008E1B6D"/>
    <w:rsid w:val="008E1C8D"/>
    <w:rsid w:val="008E1D1B"/>
    <w:rsid w:val="008E1E68"/>
    <w:rsid w:val="008E1F0E"/>
    <w:rsid w:val="008E23D8"/>
    <w:rsid w:val="008E23F8"/>
    <w:rsid w:val="008E242E"/>
    <w:rsid w:val="008E269E"/>
    <w:rsid w:val="008E296A"/>
    <w:rsid w:val="008E29D6"/>
    <w:rsid w:val="008E2AEA"/>
    <w:rsid w:val="008E2CD6"/>
    <w:rsid w:val="008E2D74"/>
    <w:rsid w:val="008E2DB6"/>
    <w:rsid w:val="008E2EB2"/>
    <w:rsid w:val="008E30AD"/>
    <w:rsid w:val="008E3374"/>
    <w:rsid w:val="008E33D9"/>
    <w:rsid w:val="008E342E"/>
    <w:rsid w:val="008E3568"/>
    <w:rsid w:val="008E3643"/>
    <w:rsid w:val="008E36DB"/>
    <w:rsid w:val="008E3999"/>
    <w:rsid w:val="008E39E6"/>
    <w:rsid w:val="008E3B13"/>
    <w:rsid w:val="008E3B32"/>
    <w:rsid w:val="008E3B4B"/>
    <w:rsid w:val="008E3C22"/>
    <w:rsid w:val="008E3D13"/>
    <w:rsid w:val="008E3D18"/>
    <w:rsid w:val="008E42C4"/>
    <w:rsid w:val="008E44CC"/>
    <w:rsid w:val="008E451E"/>
    <w:rsid w:val="008E45A6"/>
    <w:rsid w:val="008E45B5"/>
    <w:rsid w:val="008E46EE"/>
    <w:rsid w:val="008E47DD"/>
    <w:rsid w:val="008E48B4"/>
    <w:rsid w:val="008E48BA"/>
    <w:rsid w:val="008E4982"/>
    <w:rsid w:val="008E49A5"/>
    <w:rsid w:val="008E4BB0"/>
    <w:rsid w:val="008E4DAA"/>
    <w:rsid w:val="008E4EE1"/>
    <w:rsid w:val="008E4F7B"/>
    <w:rsid w:val="008E514F"/>
    <w:rsid w:val="008E5260"/>
    <w:rsid w:val="008E52C6"/>
    <w:rsid w:val="008E54E6"/>
    <w:rsid w:val="008E5615"/>
    <w:rsid w:val="008E568F"/>
    <w:rsid w:val="008E58C5"/>
    <w:rsid w:val="008E5A61"/>
    <w:rsid w:val="008E5A90"/>
    <w:rsid w:val="008E5D6B"/>
    <w:rsid w:val="008E5F2C"/>
    <w:rsid w:val="008E608E"/>
    <w:rsid w:val="008E634B"/>
    <w:rsid w:val="008E65E7"/>
    <w:rsid w:val="008E6684"/>
    <w:rsid w:val="008E671C"/>
    <w:rsid w:val="008E67C6"/>
    <w:rsid w:val="008E68D2"/>
    <w:rsid w:val="008E691F"/>
    <w:rsid w:val="008E69C8"/>
    <w:rsid w:val="008E6B3C"/>
    <w:rsid w:val="008E6BD5"/>
    <w:rsid w:val="008E6C49"/>
    <w:rsid w:val="008E6CB0"/>
    <w:rsid w:val="008E702C"/>
    <w:rsid w:val="008E7080"/>
    <w:rsid w:val="008E7172"/>
    <w:rsid w:val="008E7259"/>
    <w:rsid w:val="008E7272"/>
    <w:rsid w:val="008E732F"/>
    <w:rsid w:val="008E7334"/>
    <w:rsid w:val="008E73A2"/>
    <w:rsid w:val="008E73E8"/>
    <w:rsid w:val="008E7404"/>
    <w:rsid w:val="008E74DE"/>
    <w:rsid w:val="008E7600"/>
    <w:rsid w:val="008E76BC"/>
    <w:rsid w:val="008E76F0"/>
    <w:rsid w:val="008E779C"/>
    <w:rsid w:val="008E78B9"/>
    <w:rsid w:val="008E7932"/>
    <w:rsid w:val="008E79AB"/>
    <w:rsid w:val="008E79D0"/>
    <w:rsid w:val="008E79FD"/>
    <w:rsid w:val="008E7B99"/>
    <w:rsid w:val="008E7C7E"/>
    <w:rsid w:val="008E7C8D"/>
    <w:rsid w:val="008E7CCB"/>
    <w:rsid w:val="008E7DCF"/>
    <w:rsid w:val="008E7EA1"/>
    <w:rsid w:val="008E7EDF"/>
    <w:rsid w:val="008E7F59"/>
    <w:rsid w:val="008F009A"/>
    <w:rsid w:val="008F00A9"/>
    <w:rsid w:val="008F00BC"/>
    <w:rsid w:val="008F0172"/>
    <w:rsid w:val="008F0445"/>
    <w:rsid w:val="008F0548"/>
    <w:rsid w:val="008F081F"/>
    <w:rsid w:val="008F087D"/>
    <w:rsid w:val="008F08CC"/>
    <w:rsid w:val="008F09C3"/>
    <w:rsid w:val="008F0B0D"/>
    <w:rsid w:val="008F0BCA"/>
    <w:rsid w:val="008F0C63"/>
    <w:rsid w:val="008F0E93"/>
    <w:rsid w:val="008F0ECE"/>
    <w:rsid w:val="008F0F98"/>
    <w:rsid w:val="008F1106"/>
    <w:rsid w:val="008F110E"/>
    <w:rsid w:val="008F11EA"/>
    <w:rsid w:val="008F11F7"/>
    <w:rsid w:val="008F1210"/>
    <w:rsid w:val="008F126F"/>
    <w:rsid w:val="008F136F"/>
    <w:rsid w:val="008F14AB"/>
    <w:rsid w:val="008F151C"/>
    <w:rsid w:val="008F15F0"/>
    <w:rsid w:val="008F15FE"/>
    <w:rsid w:val="008F163B"/>
    <w:rsid w:val="008F1A8C"/>
    <w:rsid w:val="008F1C27"/>
    <w:rsid w:val="008F22D6"/>
    <w:rsid w:val="008F2354"/>
    <w:rsid w:val="008F2410"/>
    <w:rsid w:val="008F27FF"/>
    <w:rsid w:val="008F292A"/>
    <w:rsid w:val="008F2985"/>
    <w:rsid w:val="008F2A61"/>
    <w:rsid w:val="008F2AD0"/>
    <w:rsid w:val="008F2C05"/>
    <w:rsid w:val="008F2C4A"/>
    <w:rsid w:val="008F2CA3"/>
    <w:rsid w:val="008F2D29"/>
    <w:rsid w:val="008F2DF4"/>
    <w:rsid w:val="008F2E00"/>
    <w:rsid w:val="008F2FEE"/>
    <w:rsid w:val="008F2FF4"/>
    <w:rsid w:val="008F2FF7"/>
    <w:rsid w:val="008F3195"/>
    <w:rsid w:val="008F3351"/>
    <w:rsid w:val="008F3362"/>
    <w:rsid w:val="008F3477"/>
    <w:rsid w:val="008F348F"/>
    <w:rsid w:val="008F34B0"/>
    <w:rsid w:val="008F3531"/>
    <w:rsid w:val="008F3754"/>
    <w:rsid w:val="008F38C2"/>
    <w:rsid w:val="008F3B24"/>
    <w:rsid w:val="008F3BAE"/>
    <w:rsid w:val="008F3CB0"/>
    <w:rsid w:val="008F3D0D"/>
    <w:rsid w:val="008F3D88"/>
    <w:rsid w:val="008F3DD0"/>
    <w:rsid w:val="008F404F"/>
    <w:rsid w:val="008F40F9"/>
    <w:rsid w:val="008F4116"/>
    <w:rsid w:val="008F4170"/>
    <w:rsid w:val="008F42B3"/>
    <w:rsid w:val="008F438F"/>
    <w:rsid w:val="008F4686"/>
    <w:rsid w:val="008F4716"/>
    <w:rsid w:val="008F480C"/>
    <w:rsid w:val="008F4920"/>
    <w:rsid w:val="008F49C4"/>
    <w:rsid w:val="008F4BBD"/>
    <w:rsid w:val="008F4ECF"/>
    <w:rsid w:val="008F4EDF"/>
    <w:rsid w:val="008F4EF2"/>
    <w:rsid w:val="008F5013"/>
    <w:rsid w:val="008F5187"/>
    <w:rsid w:val="008F5217"/>
    <w:rsid w:val="008F522C"/>
    <w:rsid w:val="008F5262"/>
    <w:rsid w:val="008F52DB"/>
    <w:rsid w:val="008F552B"/>
    <w:rsid w:val="008F5588"/>
    <w:rsid w:val="008F5785"/>
    <w:rsid w:val="008F585F"/>
    <w:rsid w:val="008F5875"/>
    <w:rsid w:val="008F58BC"/>
    <w:rsid w:val="008F5AA9"/>
    <w:rsid w:val="008F5B09"/>
    <w:rsid w:val="008F5BBA"/>
    <w:rsid w:val="008F5D8C"/>
    <w:rsid w:val="008F5EC4"/>
    <w:rsid w:val="008F60AB"/>
    <w:rsid w:val="008F60D8"/>
    <w:rsid w:val="008F61F8"/>
    <w:rsid w:val="008F658A"/>
    <w:rsid w:val="008F6794"/>
    <w:rsid w:val="008F679D"/>
    <w:rsid w:val="008F6892"/>
    <w:rsid w:val="008F6916"/>
    <w:rsid w:val="008F6B8D"/>
    <w:rsid w:val="008F6C1E"/>
    <w:rsid w:val="008F6D39"/>
    <w:rsid w:val="008F6D4C"/>
    <w:rsid w:val="008F6F0E"/>
    <w:rsid w:val="008F711A"/>
    <w:rsid w:val="008F718A"/>
    <w:rsid w:val="008F71D8"/>
    <w:rsid w:val="008F7261"/>
    <w:rsid w:val="008F73C4"/>
    <w:rsid w:val="008F73DC"/>
    <w:rsid w:val="008F7433"/>
    <w:rsid w:val="008F7583"/>
    <w:rsid w:val="008F7692"/>
    <w:rsid w:val="008F774A"/>
    <w:rsid w:val="008F7769"/>
    <w:rsid w:val="008F77B3"/>
    <w:rsid w:val="008F77C5"/>
    <w:rsid w:val="008F782A"/>
    <w:rsid w:val="008F78E4"/>
    <w:rsid w:val="008F7A02"/>
    <w:rsid w:val="008F7ACA"/>
    <w:rsid w:val="008F7B44"/>
    <w:rsid w:val="008F7C42"/>
    <w:rsid w:val="008F7F67"/>
    <w:rsid w:val="008F7FEF"/>
    <w:rsid w:val="009000CE"/>
    <w:rsid w:val="0090011C"/>
    <w:rsid w:val="0090019B"/>
    <w:rsid w:val="009001B1"/>
    <w:rsid w:val="00900215"/>
    <w:rsid w:val="00900292"/>
    <w:rsid w:val="00900303"/>
    <w:rsid w:val="00900305"/>
    <w:rsid w:val="0090035E"/>
    <w:rsid w:val="0090038F"/>
    <w:rsid w:val="0090045B"/>
    <w:rsid w:val="009005DE"/>
    <w:rsid w:val="00900705"/>
    <w:rsid w:val="00900742"/>
    <w:rsid w:val="00900758"/>
    <w:rsid w:val="00900768"/>
    <w:rsid w:val="00900814"/>
    <w:rsid w:val="00900886"/>
    <w:rsid w:val="009008FF"/>
    <w:rsid w:val="00900939"/>
    <w:rsid w:val="009009AE"/>
    <w:rsid w:val="009009B0"/>
    <w:rsid w:val="00900C0B"/>
    <w:rsid w:val="00900CEA"/>
    <w:rsid w:val="00900DE5"/>
    <w:rsid w:val="00900F5C"/>
    <w:rsid w:val="00900FBE"/>
    <w:rsid w:val="009012EB"/>
    <w:rsid w:val="009012EE"/>
    <w:rsid w:val="0090133E"/>
    <w:rsid w:val="00901346"/>
    <w:rsid w:val="0090146E"/>
    <w:rsid w:val="009014D2"/>
    <w:rsid w:val="0090162E"/>
    <w:rsid w:val="009016AF"/>
    <w:rsid w:val="00901730"/>
    <w:rsid w:val="00901940"/>
    <w:rsid w:val="00901A2E"/>
    <w:rsid w:val="00901C37"/>
    <w:rsid w:val="00901E40"/>
    <w:rsid w:val="00901FB5"/>
    <w:rsid w:val="00902231"/>
    <w:rsid w:val="0090224A"/>
    <w:rsid w:val="009022AE"/>
    <w:rsid w:val="0090238F"/>
    <w:rsid w:val="00902727"/>
    <w:rsid w:val="0090287E"/>
    <w:rsid w:val="00902A80"/>
    <w:rsid w:val="00902D8F"/>
    <w:rsid w:val="00902E72"/>
    <w:rsid w:val="0090312B"/>
    <w:rsid w:val="00903158"/>
    <w:rsid w:val="009031EB"/>
    <w:rsid w:val="0090322E"/>
    <w:rsid w:val="0090329D"/>
    <w:rsid w:val="009032BF"/>
    <w:rsid w:val="00903500"/>
    <w:rsid w:val="00903635"/>
    <w:rsid w:val="0090363A"/>
    <w:rsid w:val="009036F4"/>
    <w:rsid w:val="00903785"/>
    <w:rsid w:val="0090398C"/>
    <w:rsid w:val="00903A35"/>
    <w:rsid w:val="00903B00"/>
    <w:rsid w:val="00903B2D"/>
    <w:rsid w:val="00903B4E"/>
    <w:rsid w:val="00903D83"/>
    <w:rsid w:val="00903EA5"/>
    <w:rsid w:val="00903EDF"/>
    <w:rsid w:val="00903EE1"/>
    <w:rsid w:val="00903FCE"/>
    <w:rsid w:val="00903FD3"/>
    <w:rsid w:val="0090407A"/>
    <w:rsid w:val="00904128"/>
    <w:rsid w:val="00904137"/>
    <w:rsid w:val="00904239"/>
    <w:rsid w:val="00904242"/>
    <w:rsid w:val="009043B1"/>
    <w:rsid w:val="009043D9"/>
    <w:rsid w:val="009045BB"/>
    <w:rsid w:val="009045DD"/>
    <w:rsid w:val="00904700"/>
    <w:rsid w:val="00904729"/>
    <w:rsid w:val="009047B5"/>
    <w:rsid w:val="00904850"/>
    <w:rsid w:val="009048E7"/>
    <w:rsid w:val="00904908"/>
    <w:rsid w:val="00904B28"/>
    <w:rsid w:val="00904C65"/>
    <w:rsid w:val="00904CCC"/>
    <w:rsid w:val="00904D12"/>
    <w:rsid w:val="00904E1B"/>
    <w:rsid w:val="00904EFD"/>
    <w:rsid w:val="00904EFE"/>
    <w:rsid w:val="00904F7E"/>
    <w:rsid w:val="00905158"/>
    <w:rsid w:val="009051C3"/>
    <w:rsid w:val="00905291"/>
    <w:rsid w:val="009052E4"/>
    <w:rsid w:val="009054A5"/>
    <w:rsid w:val="009054C1"/>
    <w:rsid w:val="0090550C"/>
    <w:rsid w:val="009055D8"/>
    <w:rsid w:val="009056DC"/>
    <w:rsid w:val="00905916"/>
    <w:rsid w:val="009059BB"/>
    <w:rsid w:val="00905A4F"/>
    <w:rsid w:val="00905A86"/>
    <w:rsid w:val="00905B13"/>
    <w:rsid w:val="00905BB5"/>
    <w:rsid w:val="00905BF0"/>
    <w:rsid w:val="00905C72"/>
    <w:rsid w:val="00905DCF"/>
    <w:rsid w:val="00905E7D"/>
    <w:rsid w:val="00905EEE"/>
    <w:rsid w:val="00905F34"/>
    <w:rsid w:val="009062AC"/>
    <w:rsid w:val="009065A3"/>
    <w:rsid w:val="00906781"/>
    <w:rsid w:val="009067A4"/>
    <w:rsid w:val="00906891"/>
    <w:rsid w:val="00906ACF"/>
    <w:rsid w:val="00906AE1"/>
    <w:rsid w:val="00906D17"/>
    <w:rsid w:val="00907173"/>
    <w:rsid w:val="009071A4"/>
    <w:rsid w:val="009071EF"/>
    <w:rsid w:val="0090720D"/>
    <w:rsid w:val="00907277"/>
    <w:rsid w:val="0090738A"/>
    <w:rsid w:val="00907394"/>
    <w:rsid w:val="009074F8"/>
    <w:rsid w:val="00907531"/>
    <w:rsid w:val="0090762D"/>
    <w:rsid w:val="00907915"/>
    <w:rsid w:val="00907B08"/>
    <w:rsid w:val="00907F49"/>
    <w:rsid w:val="00910043"/>
    <w:rsid w:val="00910136"/>
    <w:rsid w:val="00910311"/>
    <w:rsid w:val="00910991"/>
    <w:rsid w:val="00910999"/>
    <w:rsid w:val="00910A56"/>
    <w:rsid w:val="00910B21"/>
    <w:rsid w:val="00910D47"/>
    <w:rsid w:val="00910D95"/>
    <w:rsid w:val="00910F5F"/>
    <w:rsid w:val="00910F66"/>
    <w:rsid w:val="0091144F"/>
    <w:rsid w:val="00911510"/>
    <w:rsid w:val="00911616"/>
    <w:rsid w:val="009117DD"/>
    <w:rsid w:val="00911816"/>
    <w:rsid w:val="0091183D"/>
    <w:rsid w:val="00911A2A"/>
    <w:rsid w:val="00911BC4"/>
    <w:rsid w:val="00911DE1"/>
    <w:rsid w:val="00911EE9"/>
    <w:rsid w:val="00911F52"/>
    <w:rsid w:val="00911F5C"/>
    <w:rsid w:val="00911F92"/>
    <w:rsid w:val="00911FFC"/>
    <w:rsid w:val="00912041"/>
    <w:rsid w:val="00912044"/>
    <w:rsid w:val="00912187"/>
    <w:rsid w:val="00912454"/>
    <w:rsid w:val="0091250A"/>
    <w:rsid w:val="009125F8"/>
    <w:rsid w:val="00912738"/>
    <w:rsid w:val="009128BE"/>
    <w:rsid w:val="00912942"/>
    <w:rsid w:val="0091295E"/>
    <w:rsid w:val="00912A8F"/>
    <w:rsid w:val="00912B8E"/>
    <w:rsid w:val="00912BB2"/>
    <w:rsid w:val="00912C6D"/>
    <w:rsid w:val="00912DB7"/>
    <w:rsid w:val="00912DF7"/>
    <w:rsid w:val="00912EB6"/>
    <w:rsid w:val="00912F11"/>
    <w:rsid w:val="00912F77"/>
    <w:rsid w:val="00912FAE"/>
    <w:rsid w:val="00913013"/>
    <w:rsid w:val="0091305C"/>
    <w:rsid w:val="009133A1"/>
    <w:rsid w:val="00913516"/>
    <w:rsid w:val="0091358C"/>
    <w:rsid w:val="009135CA"/>
    <w:rsid w:val="0091365D"/>
    <w:rsid w:val="00913989"/>
    <w:rsid w:val="00913AE0"/>
    <w:rsid w:val="00913C75"/>
    <w:rsid w:val="00913DBF"/>
    <w:rsid w:val="00913E27"/>
    <w:rsid w:val="00913F36"/>
    <w:rsid w:val="00913FC7"/>
    <w:rsid w:val="00913FE8"/>
    <w:rsid w:val="00914163"/>
    <w:rsid w:val="009141C8"/>
    <w:rsid w:val="0091438F"/>
    <w:rsid w:val="009143A3"/>
    <w:rsid w:val="009143C1"/>
    <w:rsid w:val="009143D1"/>
    <w:rsid w:val="009143F3"/>
    <w:rsid w:val="009145EF"/>
    <w:rsid w:val="009146C4"/>
    <w:rsid w:val="009146E8"/>
    <w:rsid w:val="0091472E"/>
    <w:rsid w:val="009147EC"/>
    <w:rsid w:val="0091484C"/>
    <w:rsid w:val="0091495B"/>
    <w:rsid w:val="00914966"/>
    <w:rsid w:val="009149CF"/>
    <w:rsid w:val="00914BB8"/>
    <w:rsid w:val="00914C72"/>
    <w:rsid w:val="00914F97"/>
    <w:rsid w:val="0091515E"/>
    <w:rsid w:val="009152C1"/>
    <w:rsid w:val="00915302"/>
    <w:rsid w:val="00915398"/>
    <w:rsid w:val="009154E9"/>
    <w:rsid w:val="00915568"/>
    <w:rsid w:val="009155FE"/>
    <w:rsid w:val="0091573A"/>
    <w:rsid w:val="009157D6"/>
    <w:rsid w:val="00915BF2"/>
    <w:rsid w:val="009160BD"/>
    <w:rsid w:val="00916103"/>
    <w:rsid w:val="009161D9"/>
    <w:rsid w:val="0091665E"/>
    <w:rsid w:val="009166C8"/>
    <w:rsid w:val="00916818"/>
    <w:rsid w:val="00916B48"/>
    <w:rsid w:val="00916B9D"/>
    <w:rsid w:val="00916CF3"/>
    <w:rsid w:val="00916D02"/>
    <w:rsid w:val="009172B5"/>
    <w:rsid w:val="009172C8"/>
    <w:rsid w:val="00917329"/>
    <w:rsid w:val="0091736D"/>
    <w:rsid w:val="009176C9"/>
    <w:rsid w:val="00917729"/>
    <w:rsid w:val="00917762"/>
    <w:rsid w:val="00917803"/>
    <w:rsid w:val="0091780B"/>
    <w:rsid w:val="009178CF"/>
    <w:rsid w:val="00917AC0"/>
    <w:rsid w:val="00917AE1"/>
    <w:rsid w:val="00917B4F"/>
    <w:rsid w:val="00917B52"/>
    <w:rsid w:val="00917DB0"/>
    <w:rsid w:val="00917EF9"/>
    <w:rsid w:val="0092026B"/>
    <w:rsid w:val="00920449"/>
    <w:rsid w:val="0092054A"/>
    <w:rsid w:val="0092058E"/>
    <w:rsid w:val="009206F7"/>
    <w:rsid w:val="009207D4"/>
    <w:rsid w:val="009208E7"/>
    <w:rsid w:val="00920966"/>
    <w:rsid w:val="00920A09"/>
    <w:rsid w:val="00920BBD"/>
    <w:rsid w:val="00920C46"/>
    <w:rsid w:val="00920D86"/>
    <w:rsid w:val="00920DB2"/>
    <w:rsid w:val="00920E6F"/>
    <w:rsid w:val="00920F20"/>
    <w:rsid w:val="00920FE2"/>
    <w:rsid w:val="00921162"/>
    <w:rsid w:val="0092118A"/>
    <w:rsid w:val="0092127B"/>
    <w:rsid w:val="00921336"/>
    <w:rsid w:val="009214F9"/>
    <w:rsid w:val="00921660"/>
    <w:rsid w:val="00921B34"/>
    <w:rsid w:val="00921B7D"/>
    <w:rsid w:val="00921D91"/>
    <w:rsid w:val="00921F47"/>
    <w:rsid w:val="00922145"/>
    <w:rsid w:val="00922199"/>
    <w:rsid w:val="0092219E"/>
    <w:rsid w:val="009223D7"/>
    <w:rsid w:val="00922410"/>
    <w:rsid w:val="00922831"/>
    <w:rsid w:val="009228A2"/>
    <w:rsid w:val="00922A3B"/>
    <w:rsid w:val="00922B72"/>
    <w:rsid w:val="00922D7E"/>
    <w:rsid w:val="00922DA4"/>
    <w:rsid w:val="00922FC9"/>
    <w:rsid w:val="00923023"/>
    <w:rsid w:val="0092311E"/>
    <w:rsid w:val="009234E5"/>
    <w:rsid w:val="0092356E"/>
    <w:rsid w:val="009235A6"/>
    <w:rsid w:val="009236D6"/>
    <w:rsid w:val="009236FB"/>
    <w:rsid w:val="009237C0"/>
    <w:rsid w:val="009237F5"/>
    <w:rsid w:val="00923B5B"/>
    <w:rsid w:val="00923BAC"/>
    <w:rsid w:val="00923C84"/>
    <w:rsid w:val="00923C8A"/>
    <w:rsid w:val="00923CBA"/>
    <w:rsid w:val="00923EAA"/>
    <w:rsid w:val="00923EFF"/>
    <w:rsid w:val="00923F81"/>
    <w:rsid w:val="00924189"/>
    <w:rsid w:val="009241F0"/>
    <w:rsid w:val="009247B6"/>
    <w:rsid w:val="00924840"/>
    <w:rsid w:val="00924889"/>
    <w:rsid w:val="009248FF"/>
    <w:rsid w:val="00924B32"/>
    <w:rsid w:val="00924DAF"/>
    <w:rsid w:val="00924E9C"/>
    <w:rsid w:val="00924F42"/>
    <w:rsid w:val="00924F5E"/>
    <w:rsid w:val="00925097"/>
    <w:rsid w:val="00925192"/>
    <w:rsid w:val="009251D5"/>
    <w:rsid w:val="00925203"/>
    <w:rsid w:val="0092523A"/>
    <w:rsid w:val="0092541F"/>
    <w:rsid w:val="00925485"/>
    <w:rsid w:val="009255F1"/>
    <w:rsid w:val="009256E2"/>
    <w:rsid w:val="00925A25"/>
    <w:rsid w:val="00925A3A"/>
    <w:rsid w:val="00925AD8"/>
    <w:rsid w:val="00925B3D"/>
    <w:rsid w:val="00925FF9"/>
    <w:rsid w:val="00926090"/>
    <w:rsid w:val="00926188"/>
    <w:rsid w:val="00926268"/>
    <w:rsid w:val="0092645F"/>
    <w:rsid w:val="009264ED"/>
    <w:rsid w:val="0092661D"/>
    <w:rsid w:val="0092682B"/>
    <w:rsid w:val="009268B0"/>
    <w:rsid w:val="00926964"/>
    <w:rsid w:val="00926C50"/>
    <w:rsid w:val="00926DD6"/>
    <w:rsid w:val="009270BA"/>
    <w:rsid w:val="00927309"/>
    <w:rsid w:val="0092731B"/>
    <w:rsid w:val="00927477"/>
    <w:rsid w:val="009274E1"/>
    <w:rsid w:val="00927582"/>
    <w:rsid w:val="00927599"/>
    <w:rsid w:val="0092768D"/>
    <w:rsid w:val="0092778F"/>
    <w:rsid w:val="00927919"/>
    <w:rsid w:val="00927A0C"/>
    <w:rsid w:val="00927A6D"/>
    <w:rsid w:val="00927DC6"/>
    <w:rsid w:val="00927EE1"/>
    <w:rsid w:val="0093007D"/>
    <w:rsid w:val="0093008E"/>
    <w:rsid w:val="009300AD"/>
    <w:rsid w:val="0093014D"/>
    <w:rsid w:val="0093037A"/>
    <w:rsid w:val="009304F4"/>
    <w:rsid w:val="009306CE"/>
    <w:rsid w:val="0093075A"/>
    <w:rsid w:val="0093083A"/>
    <w:rsid w:val="0093086C"/>
    <w:rsid w:val="0093088B"/>
    <w:rsid w:val="00930C6B"/>
    <w:rsid w:val="00930CD9"/>
    <w:rsid w:val="00930D01"/>
    <w:rsid w:val="00930D0D"/>
    <w:rsid w:val="00930F16"/>
    <w:rsid w:val="00930F29"/>
    <w:rsid w:val="00931091"/>
    <w:rsid w:val="009310B7"/>
    <w:rsid w:val="00931178"/>
    <w:rsid w:val="00931397"/>
    <w:rsid w:val="0093139A"/>
    <w:rsid w:val="009314B8"/>
    <w:rsid w:val="00931523"/>
    <w:rsid w:val="0093152C"/>
    <w:rsid w:val="0093156D"/>
    <w:rsid w:val="009316BF"/>
    <w:rsid w:val="00931776"/>
    <w:rsid w:val="00931A00"/>
    <w:rsid w:val="00931A9C"/>
    <w:rsid w:val="00931B78"/>
    <w:rsid w:val="00931B9A"/>
    <w:rsid w:val="00931BD2"/>
    <w:rsid w:val="00931BD5"/>
    <w:rsid w:val="00931F3F"/>
    <w:rsid w:val="009320C1"/>
    <w:rsid w:val="00932142"/>
    <w:rsid w:val="00932402"/>
    <w:rsid w:val="00932478"/>
    <w:rsid w:val="00932543"/>
    <w:rsid w:val="00932808"/>
    <w:rsid w:val="0093286E"/>
    <w:rsid w:val="00932A7D"/>
    <w:rsid w:val="00932B03"/>
    <w:rsid w:val="00932B15"/>
    <w:rsid w:val="00932B5D"/>
    <w:rsid w:val="00932D27"/>
    <w:rsid w:val="00932E68"/>
    <w:rsid w:val="00932EB3"/>
    <w:rsid w:val="00932F56"/>
    <w:rsid w:val="00932F78"/>
    <w:rsid w:val="00932F83"/>
    <w:rsid w:val="0093304A"/>
    <w:rsid w:val="00933158"/>
    <w:rsid w:val="009332CD"/>
    <w:rsid w:val="0093378E"/>
    <w:rsid w:val="009338F9"/>
    <w:rsid w:val="00933901"/>
    <w:rsid w:val="00933B5C"/>
    <w:rsid w:val="00933BAB"/>
    <w:rsid w:val="00933C72"/>
    <w:rsid w:val="00933E08"/>
    <w:rsid w:val="00933FA5"/>
    <w:rsid w:val="009340B6"/>
    <w:rsid w:val="0093414F"/>
    <w:rsid w:val="00934169"/>
    <w:rsid w:val="009341A4"/>
    <w:rsid w:val="00934318"/>
    <w:rsid w:val="00934367"/>
    <w:rsid w:val="009344BA"/>
    <w:rsid w:val="0093451C"/>
    <w:rsid w:val="00934529"/>
    <w:rsid w:val="00934703"/>
    <w:rsid w:val="009347A5"/>
    <w:rsid w:val="009347D3"/>
    <w:rsid w:val="0093486C"/>
    <w:rsid w:val="009348DE"/>
    <w:rsid w:val="009348EE"/>
    <w:rsid w:val="00934946"/>
    <w:rsid w:val="00934AE7"/>
    <w:rsid w:val="00934BA5"/>
    <w:rsid w:val="00935095"/>
    <w:rsid w:val="0093511B"/>
    <w:rsid w:val="00935191"/>
    <w:rsid w:val="00935228"/>
    <w:rsid w:val="0093536F"/>
    <w:rsid w:val="00935398"/>
    <w:rsid w:val="00935499"/>
    <w:rsid w:val="009354AA"/>
    <w:rsid w:val="0093555E"/>
    <w:rsid w:val="0093598C"/>
    <w:rsid w:val="009359B2"/>
    <w:rsid w:val="009359FE"/>
    <w:rsid w:val="009361A3"/>
    <w:rsid w:val="0093638D"/>
    <w:rsid w:val="009365AB"/>
    <w:rsid w:val="009365C8"/>
    <w:rsid w:val="00936814"/>
    <w:rsid w:val="00936A1C"/>
    <w:rsid w:val="00936AFE"/>
    <w:rsid w:val="00936C06"/>
    <w:rsid w:val="00936C54"/>
    <w:rsid w:val="00936CC9"/>
    <w:rsid w:val="00936ED2"/>
    <w:rsid w:val="00936ED7"/>
    <w:rsid w:val="00936EDA"/>
    <w:rsid w:val="00936F43"/>
    <w:rsid w:val="00937024"/>
    <w:rsid w:val="00937286"/>
    <w:rsid w:val="00937314"/>
    <w:rsid w:val="00937329"/>
    <w:rsid w:val="00937492"/>
    <w:rsid w:val="0093753C"/>
    <w:rsid w:val="0093761D"/>
    <w:rsid w:val="009376CB"/>
    <w:rsid w:val="0093778A"/>
    <w:rsid w:val="009378C2"/>
    <w:rsid w:val="00937926"/>
    <w:rsid w:val="00937B36"/>
    <w:rsid w:val="00937B97"/>
    <w:rsid w:val="00937CA5"/>
    <w:rsid w:val="00937F19"/>
    <w:rsid w:val="00937F6C"/>
    <w:rsid w:val="00940031"/>
    <w:rsid w:val="00940060"/>
    <w:rsid w:val="00940079"/>
    <w:rsid w:val="009400C6"/>
    <w:rsid w:val="00940150"/>
    <w:rsid w:val="00940420"/>
    <w:rsid w:val="009404EB"/>
    <w:rsid w:val="00940563"/>
    <w:rsid w:val="009405E0"/>
    <w:rsid w:val="009406BA"/>
    <w:rsid w:val="00940A8B"/>
    <w:rsid w:val="00940AB9"/>
    <w:rsid w:val="00940BA1"/>
    <w:rsid w:val="00940E4B"/>
    <w:rsid w:val="00940F3B"/>
    <w:rsid w:val="00940FF2"/>
    <w:rsid w:val="009412DA"/>
    <w:rsid w:val="0094136E"/>
    <w:rsid w:val="009413D1"/>
    <w:rsid w:val="0094154D"/>
    <w:rsid w:val="009415C2"/>
    <w:rsid w:val="0094161A"/>
    <w:rsid w:val="0094175D"/>
    <w:rsid w:val="009417E8"/>
    <w:rsid w:val="00941974"/>
    <w:rsid w:val="00941AE5"/>
    <w:rsid w:val="00941C70"/>
    <w:rsid w:val="00941EAA"/>
    <w:rsid w:val="00941ED3"/>
    <w:rsid w:val="00941EF0"/>
    <w:rsid w:val="00942379"/>
    <w:rsid w:val="009423F8"/>
    <w:rsid w:val="00942447"/>
    <w:rsid w:val="009426E1"/>
    <w:rsid w:val="00942833"/>
    <w:rsid w:val="00942838"/>
    <w:rsid w:val="00942869"/>
    <w:rsid w:val="00942F10"/>
    <w:rsid w:val="009430AD"/>
    <w:rsid w:val="0094316D"/>
    <w:rsid w:val="009435B8"/>
    <w:rsid w:val="0094368D"/>
    <w:rsid w:val="009437C2"/>
    <w:rsid w:val="0094384C"/>
    <w:rsid w:val="009438FA"/>
    <w:rsid w:val="00943903"/>
    <w:rsid w:val="00943BE5"/>
    <w:rsid w:val="00943D58"/>
    <w:rsid w:val="00943D75"/>
    <w:rsid w:val="00943ED1"/>
    <w:rsid w:val="00943EEB"/>
    <w:rsid w:val="00943F57"/>
    <w:rsid w:val="0094432B"/>
    <w:rsid w:val="00944425"/>
    <w:rsid w:val="00944452"/>
    <w:rsid w:val="0094456F"/>
    <w:rsid w:val="00944819"/>
    <w:rsid w:val="00944887"/>
    <w:rsid w:val="0094496B"/>
    <w:rsid w:val="00944B3C"/>
    <w:rsid w:val="00944CBF"/>
    <w:rsid w:val="00944D65"/>
    <w:rsid w:val="00944EFA"/>
    <w:rsid w:val="00944F55"/>
    <w:rsid w:val="0094507B"/>
    <w:rsid w:val="0094510E"/>
    <w:rsid w:val="00945225"/>
    <w:rsid w:val="00945597"/>
    <w:rsid w:val="009455DD"/>
    <w:rsid w:val="009456D4"/>
    <w:rsid w:val="0094587D"/>
    <w:rsid w:val="0094597D"/>
    <w:rsid w:val="00945A7B"/>
    <w:rsid w:val="00945B18"/>
    <w:rsid w:val="00945B68"/>
    <w:rsid w:val="00945BC1"/>
    <w:rsid w:val="00945D81"/>
    <w:rsid w:val="00945E42"/>
    <w:rsid w:val="00945E98"/>
    <w:rsid w:val="00945EC1"/>
    <w:rsid w:val="00945F1F"/>
    <w:rsid w:val="00946073"/>
    <w:rsid w:val="00946187"/>
    <w:rsid w:val="0094620F"/>
    <w:rsid w:val="00946210"/>
    <w:rsid w:val="009463E9"/>
    <w:rsid w:val="00946457"/>
    <w:rsid w:val="009465D3"/>
    <w:rsid w:val="0094667A"/>
    <w:rsid w:val="00946717"/>
    <w:rsid w:val="0094677C"/>
    <w:rsid w:val="0094688D"/>
    <w:rsid w:val="0094688F"/>
    <w:rsid w:val="009468E8"/>
    <w:rsid w:val="009469FB"/>
    <w:rsid w:val="00946A46"/>
    <w:rsid w:val="00946B37"/>
    <w:rsid w:val="00946B62"/>
    <w:rsid w:val="00946E81"/>
    <w:rsid w:val="00946EC8"/>
    <w:rsid w:val="00946F4A"/>
    <w:rsid w:val="00946F68"/>
    <w:rsid w:val="009470A6"/>
    <w:rsid w:val="0094717A"/>
    <w:rsid w:val="00947442"/>
    <w:rsid w:val="0094777D"/>
    <w:rsid w:val="009477F7"/>
    <w:rsid w:val="00947854"/>
    <w:rsid w:val="00947922"/>
    <w:rsid w:val="009479C0"/>
    <w:rsid w:val="00947CE4"/>
    <w:rsid w:val="00947E28"/>
    <w:rsid w:val="00947EFD"/>
    <w:rsid w:val="00947F50"/>
    <w:rsid w:val="009500A5"/>
    <w:rsid w:val="009500D8"/>
    <w:rsid w:val="009500DB"/>
    <w:rsid w:val="00950103"/>
    <w:rsid w:val="00950480"/>
    <w:rsid w:val="0095061F"/>
    <w:rsid w:val="0095096E"/>
    <w:rsid w:val="00950BAE"/>
    <w:rsid w:val="00950BBF"/>
    <w:rsid w:val="00950D81"/>
    <w:rsid w:val="00950E20"/>
    <w:rsid w:val="00950E43"/>
    <w:rsid w:val="00950EC0"/>
    <w:rsid w:val="00950FA3"/>
    <w:rsid w:val="009511E2"/>
    <w:rsid w:val="009513B9"/>
    <w:rsid w:val="0095155F"/>
    <w:rsid w:val="009516B3"/>
    <w:rsid w:val="009518E4"/>
    <w:rsid w:val="00951EBC"/>
    <w:rsid w:val="00951EE0"/>
    <w:rsid w:val="00951FBB"/>
    <w:rsid w:val="009520A6"/>
    <w:rsid w:val="0095236D"/>
    <w:rsid w:val="00952393"/>
    <w:rsid w:val="00952402"/>
    <w:rsid w:val="00952421"/>
    <w:rsid w:val="0095253A"/>
    <w:rsid w:val="009525CF"/>
    <w:rsid w:val="009525F5"/>
    <w:rsid w:val="0095261F"/>
    <w:rsid w:val="009529F9"/>
    <w:rsid w:val="00952B48"/>
    <w:rsid w:val="00952BC9"/>
    <w:rsid w:val="00952E69"/>
    <w:rsid w:val="00953104"/>
    <w:rsid w:val="009531C5"/>
    <w:rsid w:val="00953490"/>
    <w:rsid w:val="0095364B"/>
    <w:rsid w:val="009537A6"/>
    <w:rsid w:val="00953870"/>
    <w:rsid w:val="00953907"/>
    <w:rsid w:val="00953A5E"/>
    <w:rsid w:val="00953AE7"/>
    <w:rsid w:val="00953B2D"/>
    <w:rsid w:val="00953D31"/>
    <w:rsid w:val="00953E12"/>
    <w:rsid w:val="00953F0D"/>
    <w:rsid w:val="00954081"/>
    <w:rsid w:val="009541EC"/>
    <w:rsid w:val="00954337"/>
    <w:rsid w:val="00954429"/>
    <w:rsid w:val="009544A3"/>
    <w:rsid w:val="00954543"/>
    <w:rsid w:val="0095457E"/>
    <w:rsid w:val="009546C2"/>
    <w:rsid w:val="009546E1"/>
    <w:rsid w:val="0095473A"/>
    <w:rsid w:val="00954887"/>
    <w:rsid w:val="00954C05"/>
    <w:rsid w:val="00954CEA"/>
    <w:rsid w:val="00954D0D"/>
    <w:rsid w:val="00954DE9"/>
    <w:rsid w:val="00954EB7"/>
    <w:rsid w:val="00955194"/>
    <w:rsid w:val="009551BC"/>
    <w:rsid w:val="00955259"/>
    <w:rsid w:val="00955373"/>
    <w:rsid w:val="009553A0"/>
    <w:rsid w:val="009553BD"/>
    <w:rsid w:val="00955476"/>
    <w:rsid w:val="00955479"/>
    <w:rsid w:val="009554E5"/>
    <w:rsid w:val="00955588"/>
    <w:rsid w:val="009555B6"/>
    <w:rsid w:val="0095565E"/>
    <w:rsid w:val="00955661"/>
    <w:rsid w:val="00955671"/>
    <w:rsid w:val="0095570E"/>
    <w:rsid w:val="009558DA"/>
    <w:rsid w:val="00955AFE"/>
    <w:rsid w:val="00955B23"/>
    <w:rsid w:val="00955C71"/>
    <w:rsid w:val="00955DBA"/>
    <w:rsid w:val="0095605B"/>
    <w:rsid w:val="00956066"/>
    <w:rsid w:val="009561E7"/>
    <w:rsid w:val="0095633C"/>
    <w:rsid w:val="009563B8"/>
    <w:rsid w:val="009563CE"/>
    <w:rsid w:val="00956426"/>
    <w:rsid w:val="009566BB"/>
    <w:rsid w:val="00956776"/>
    <w:rsid w:val="00956788"/>
    <w:rsid w:val="009567D5"/>
    <w:rsid w:val="009568A7"/>
    <w:rsid w:val="00956911"/>
    <w:rsid w:val="00956955"/>
    <w:rsid w:val="00956967"/>
    <w:rsid w:val="009569F3"/>
    <w:rsid w:val="00956C9D"/>
    <w:rsid w:val="00956D9E"/>
    <w:rsid w:val="00957252"/>
    <w:rsid w:val="0095729B"/>
    <w:rsid w:val="00957308"/>
    <w:rsid w:val="00957651"/>
    <w:rsid w:val="009578EC"/>
    <w:rsid w:val="00957959"/>
    <w:rsid w:val="00957BEA"/>
    <w:rsid w:val="00957C54"/>
    <w:rsid w:val="00957E0D"/>
    <w:rsid w:val="009600DE"/>
    <w:rsid w:val="009601C9"/>
    <w:rsid w:val="00960219"/>
    <w:rsid w:val="00960269"/>
    <w:rsid w:val="009602BA"/>
    <w:rsid w:val="0096031C"/>
    <w:rsid w:val="0096061E"/>
    <w:rsid w:val="00960642"/>
    <w:rsid w:val="00960659"/>
    <w:rsid w:val="009606A0"/>
    <w:rsid w:val="0096072F"/>
    <w:rsid w:val="00960873"/>
    <w:rsid w:val="00960A53"/>
    <w:rsid w:val="00960AAD"/>
    <w:rsid w:val="00960B03"/>
    <w:rsid w:val="00960B38"/>
    <w:rsid w:val="00960C6A"/>
    <w:rsid w:val="00960E37"/>
    <w:rsid w:val="00960F71"/>
    <w:rsid w:val="0096112B"/>
    <w:rsid w:val="009615C1"/>
    <w:rsid w:val="00961641"/>
    <w:rsid w:val="009616ED"/>
    <w:rsid w:val="00961ED8"/>
    <w:rsid w:val="00961FD5"/>
    <w:rsid w:val="00962202"/>
    <w:rsid w:val="0096220D"/>
    <w:rsid w:val="0096225B"/>
    <w:rsid w:val="009622A1"/>
    <w:rsid w:val="009624D8"/>
    <w:rsid w:val="00962577"/>
    <w:rsid w:val="0096275E"/>
    <w:rsid w:val="00962794"/>
    <w:rsid w:val="009627EA"/>
    <w:rsid w:val="0096282E"/>
    <w:rsid w:val="0096283E"/>
    <w:rsid w:val="009628D9"/>
    <w:rsid w:val="00962930"/>
    <w:rsid w:val="00962A58"/>
    <w:rsid w:val="00962B01"/>
    <w:rsid w:val="00962B33"/>
    <w:rsid w:val="00962E1C"/>
    <w:rsid w:val="00962F3B"/>
    <w:rsid w:val="00962F7B"/>
    <w:rsid w:val="00963080"/>
    <w:rsid w:val="00963155"/>
    <w:rsid w:val="0096333F"/>
    <w:rsid w:val="00963373"/>
    <w:rsid w:val="009634D8"/>
    <w:rsid w:val="009635C1"/>
    <w:rsid w:val="0096363C"/>
    <w:rsid w:val="00963683"/>
    <w:rsid w:val="00963886"/>
    <w:rsid w:val="009638EF"/>
    <w:rsid w:val="0096391F"/>
    <w:rsid w:val="00963987"/>
    <w:rsid w:val="00963B9F"/>
    <w:rsid w:val="00963D14"/>
    <w:rsid w:val="00963D3F"/>
    <w:rsid w:val="00963DFC"/>
    <w:rsid w:val="00963E36"/>
    <w:rsid w:val="00963F55"/>
    <w:rsid w:val="00963F66"/>
    <w:rsid w:val="00963F87"/>
    <w:rsid w:val="00964067"/>
    <w:rsid w:val="009640F2"/>
    <w:rsid w:val="0096429C"/>
    <w:rsid w:val="00964331"/>
    <w:rsid w:val="00964342"/>
    <w:rsid w:val="00964539"/>
    <w:rsid w:val="0096458E"/>
    <w:rsid w:val="009645D6"/>
    <w:rsid w:val="00964B8C"/>
    <w:rsid w:val="00964BD1"/>
    <w:rsid w:val="00964C0D"/>
    <w:rsid w:val="00964C78"/>
    <w:rsid w:val="00964D5B"/>
    <w:rsid w:val="00964D65"/>
    <w:rsid w:val="00964E61"/>
    <w:rsid w:val="00964EE6"/>
    <w:rsid w:val="00965049"/>
    <w:rsid w:val="0096509E"/>
    <w:rsid w:val="00965226"/>
    <w:rsid w:val="009653AA"/>
    <w:rsid w:val="009653C0"/>
    <w:rsid w:val="0096546B"/>
    <w:rsid w:val="00965676"/>
    <w:rsid w:val="00965727"/>
    <w:rsid w:val="0096580B"/>
    <w:rsid w:val="0096594A"/>
    <w:rsid w:val="00965C73"/>
    <w:rsid w:val="00965E35"/>
    <w:rsid w:val="00965ECD"/>
    <w:rsid w:val="00965EE5"/>
    <w:rsid w:val="00966000"/>
    <w:rsid w:val="00966039"/>
    <w:rsid w:val="00966102"/>
    <w:rsid w:val="00966252"/>
    <w:rsid w:val="009663E4"/>
    <w:rsid w:val="0096641F"/>
    <w:rsid w:val="00966802"/>
    <w:rsid w:val="00966867"/>
    <w:rsid w:val="009669EF"/>
    <w:rsid w:val="00966C09"/>
    <w:rsid w:val="00966C96"/>
    <w:rsid w:val="00966CEE"/>
    <w:rsid w:val="00966FBE"/>
    <w:rsid w:val="00967292"/>
    <w:rsid w:val="009672C6"/>
    <w:rsid w:val="0096735A"/>
    <w:rsid w:val="009674B7"/>
    <w:rsid w:val="0096765F"/>
    <w:rsid w:val="0096770F"/>
    <w:rsid w:val="00967710"/>
    <w:rsid w:val="00967750"/>
    <w:rsid w:val="00967943"/>
    <w:rsid w:val="00967EA2"/>
    <w:rsid w:val="00967EF8"/>
    <w:rsid w:val="00970067"/>
    <w:rsid w:val="0097022C"/>
    <w:rsid w:val="009702CD"/>
    <w:rsid w:val="0097035B"/>
    <w:rsid w:val="00970450"/>
    <w:rsid w:val="0097076D"/>
    <w:rsid w:val="00970AB4"/>
    <w:rsid w:val="00970D4D"/>
    <w:rsid w:val="00970D61"/>
    <w:rsid w:val="00970D8D"/>
    <w:rsid w:val="00970E94"/>
    <w:rsid w:val="00970EDC"/>
    <w:rsid w:val="00970F0A"/>
    <w:rsid w:val="009710C1"/>
    <w:rsid w:val="00971154"/>
    <w:rsid w:val="00971333"/>
    <w:rsid w:val="009714C5"/>
    <w:rsid w:val="009714CB"/>
    <w:rsid w:val="009715BD"/>
    <w:rsid w:val="0097169F"/>
    <w:rsid w:val="009717E4"/>
    <w:rsid w:val="009718F6"/>
    <w:rsid w:val="0097196D"/>
    <w:rsid w:val="009719AA"/>
    <w:rsid w:val="00971A73"/>
    <w:rsid w:val="00971D52"/>
    <w:rsid w:val="00971D65"/>
    <w:rsid w:val="00971E3B"/>
    <w:rsid w:val="009722E6"/>
    <w:rsid w:val="00972306"/>
    <w:rsid w:val="009723B9"/>
    <w:rsid w:val="00972407"/>
    <w:rsid w:val="009724A1"/>
    <w:rsid w:val="009724F4"/>
    <w:rsid w:val="00972548"/>
    <w:rsid w:val="00972609"/>
    <w:rsid w:val="0097265B"/>
    <w:rsid w:val="00972919"/>
    <w:rsid w:val="00972968"/>
    <w:rsid w:val="00972A98"/>
    <w:rsid w:val="00972AB7"/>
    <w:rsid w:val="00972CC0"/>
    <w:rsid w:val="00972E37"/>
    <w:rsid w:val="00972EB6"/>
    <w:rsid w:val="00972F8E"/>
    <w:rsid w:val="00973006"/>
    <w:rsid w:val="00973078"/>
    <w:rsid w:val="00973080"/>
    <w:rsid w:val="009731D6"/>
    <w:rsid w:val="00973289"/>
    <w:rsid w:val="009733BD"/>
    <w:rsid w:val="009733D7"/>
    <w:rsid w:val="00973583"/>
    <w:rsid w:val="009735A2"/>
    <w:rsid w:val="00973690"/>
    <w:rsid w:val="009736E7"/>
    <w:rsid w:val="00973743"/>
    <w:rsid w:val="009737FC"/>
    <w:rsid w:val="00973842"/>
    <w:rsid w:val="00973879"/>
    <w:rsid w:val="00973907"/>
    <w:rsid w:val="00973A18"/>
    <w:rsid w:val="00973A23"/>
    <w:rsid w:val="00973A57"/>
    <w:rsid w:val="00973C1B"/>
    <w:rsid w:val="00973E7E"/>
    <w:rsid w:val="00973EDF"/>
    <w:rsid w:val="00973F01"/>
    <w:rsid w:val="00973FE3"/>
    <w:rsid w:val="00974052"/>
    <w:rsid w:val="00974289"/>
    <w:rsid w:val="00974391"/>
    <w:rsid w:val="009743E2"/>
    <w:rsid w:val="0097448D"/>
    <w:rsid w:val="00974650"/>
    <w:rsid w:val="00974664"/>
    <w:rsid w:val="009746C9"/>
    <w:rsid w:val="00974719"/>
    <w:rsid w:val="00974CD5"/>
    <w:rsid w:val="00974CD7"/>
    <w:rsid w:val="00974D25"/>
    <w:rsid w:val="00974D5E"/>
    <w:rsid w:val="00974D8D"/>
    <w:rsid w:val="0097504C"/>
    <w:rsid w:val="00975157"/>
    <w:rsid w:val="009753EC"/>
    <w:rsid w:val="009754CE"/>
    <w:rsid w:val="009754E3"/>
    <w:rsid w:val="009754F8"/>
    <w:rsid w:val="00975534"/>
    <w:rsid w:val="009755EE"/>
    <w:rsid w:val="0097562A"/>
    <w:rsid w:val="0097574C"/>
    <w:rsid w:val="009757EB"/>
    <w:rsid w:val="00975842"/>
    <w:rsid w:val="0097597A"/>
    <w:rsid w:val="00975AC3"/>
    <w:rsid w:val="00975BA1"/>
    <w:rsid w:val="00975C40"/>
    <w:rsid w:val="00975D14"/>
    <w:rsid w:val="00976055"/>
    <w:rsid w:val="009760EA"/>
    <w:rsid w:val="0097616F"/>
    <w:rsid w:val="009761BD"/>
    <w:rsid w:val="00976328"/>
    <w:rsid w:val="00976430"/>
    <w:rsid w:val="009764C6"/>
    <w:rsid w:val="00976561"/>
    <w:rsid w:val="0097661B"/>
    <w:rsid w:val="009766D4"/>
    <w:rsid w:val="0097680D"/>
    <w:rsid w:val="00976863"/>
    <w:rsid w:val="009768A4"/>
    <w:rsid w:val="0097693E"/>
    <w:rsid w:val="00976A3F"/>
    <w:rsid w:val="00976ACA"/>
    <w:rsid w:val="00976B5A"/>
    <w:rsid w:val="00976B8D"/>
    <w:rsid w:val="00976D9D"/>
    <w:rsid w:val="00976EC2"/>
    <w:rsid w:val="00976F97"/>
    <w:rsid w:val="009771F7"/>
    <w:rsid w:val="0097720F"/>
    <w:rsid w:val="0097725E"/>
    <w:rsid w:val="00977386"/>
    <w:rsid w:val="009774BD"/>
    <w:rsid w:val="0097750E"/>
    <w:rsid w:val="00977546"/>
    <w:rsid w:val="00977894"/>
    <w:rsid w:val="009779CD"/>
    <w:rsid w:val="00977A52"/>
    <w:rsid w:val="00977B6A"/>
    <w:rsid w:val="00977BC3"/>
    <w:rsid w:val="00977C6D"/>
    <w:rsid w:val="00977E0C"/>
    <w:rsid w:val="00980099"/>
    <w:rsid w:val="0098020A"/>
    <w:rsid w:val="00980260"/>
    <w:rsid w:val="00980310"/>
    <w:rsid w:val="009804E9"/>
    <w:rsid w:val="00980565"/>
    <w:rsid w:val="009805A4"/>
    <w:rsid w:val="009805BC"/>
    <w:rsid w:val="00980752"/>
    <w:rsid w:val="009808B0"/>
    <w:rsid w:val="009808DF"/>
    <w:rsid w:val="00980964"/>
    <w:rsid w:val="009809A6"/>
    <w:rsid w:val="00980A06"/>
    <w:rsid w:val="00980A83"/>
    <w:rsid w:val="00980AA9"/>
    <w:rsid w:val="00980E8C"/>
    <w:rsid w:val="00980F0E"/>
    <w:rsid w:val="00980F1B"/>
    <w:rsid w:val="0098111E"/>
    <w:rsid w:val="00981399"/>
    <w:rsid w:val="009816AF"/>
    <w:rsid w:val="009816EF"/>
    <w:rsid w:val="009819B9"/>
    <w:rsid w:val="009819EB"/>
    <w:rsid w:val="00981ACD"/>
    <w:rsid w:val="00981B3B"/>
    <w:rsid w:val="00981C24"/>
    <w:rsid w:val="00981D2A"/>
    <w:rsid w:val="00981FB2"/>
    <w:rsid w:val="00982023"/>
    <w:rsid w:val="009820BF"/>
    <w:rsid w:val="00982197"/>
    <w:rsid w:val="0098221E"/>
    <w:rsid w:val="009823C8"/>
    <w:rsid w:val="0098242E"/>
    <w:rsid w:val="00982438"/>
    <w:rsid w:val="009825E3"/>
    <w:rsid w:val="00982624"/>
    <w:rsid w:val="0098287E"/>
    <w:rsid w:val="0098293A"/>
    <w:rsid w:val="00982AA0"/>
    <w:rsid w:val="00982CBA"/>
    <w:rsid w:val="00982E68"/>
    <w:rsid w:val="0098302C"/>
    <w:rsid w:val="00983068"/>
    <w:rsid w:val="009830ED"/>
    <w:rsid w:val="00983115"/>
    <w:rsid w:val="00983226"/>
    <w:rsid w:val="0098333C"/>
    <w:rsid w:val="00983436"/>
    <w:rsid w:val="0098350E"/>
    <w:rsid w:val="00983601"/>
    <w:rsid w:val="00983638"/>
    <w:rsid w:val="00983770"/>
    <w:rsid w:val="00983796"/>
    <w:rsid w:val="009837F2"/>
    <w:rsid w:val="00983851"/>
    <w:rsid w:val="009838A9"/>
    <w:rsid w:val="00983AF8"/>
    <w:rsid w:val="00983B29"/>
    <w:rsid w:val="00983C47"/>
    <w:rsid w:val="00983D7D"/>
    <w:rsid w:val="00983E7E"/>
    <w:rsid w:val="00983E86"/>
    <w:rsid w:val="00983EAD"/>
    <w:rsid w:val="00983FD4"/>
    <w:rsid w:val="00984026"/>
    <w:rsid w:val="0098404C"/>
    <w:rsid w:val="009840E6"/>
    <w:rsid w:val="00984159"/>
    <w:rsid w:val="00984516"/>
    <w:rsid w:val="0098453C"/>
    <w:rsid w:val="00984585"/>
    <w:rsid w:val="00984722"/>
    <w:rsid w:val="00984D2D"/>
    <w:rsid w:val="00984F0B"/>
    <w:rsid w:val="00984FC6"/>
    <w:rsid w:val="009850CD"/>
    <w:rsid w:val="00985283"/>
    <w:rsid w:val="00985288"/>
    <w:rsid w:val="009852F9"/>
    <w:rsid w:val="009853BB"/>
    <w:rsid w:val="009854F4"/>
    <w:rsid w:val="00985519"/>
    <w:rsid w:val="00985572"/>
    <w:rsid w:val="009858D7"/>
    <w:rsid w:val="00985910"/>
    <w:rsid w:val="009859C6"/>
    <w:rsid w:val="00985BBC"/>
    <w:rsid w:val="00985BE9"/>
    <w:rsid w:val="00985C13"/>
    <w:rsid w:val="00985C25"/>
    <w:rsid w:val="00985DAD"/>
    <w:rsid w:val="00985E97"/>
    <w:rsid w:val="00986316"/>
    <w:rsid w:val="0098632D"/>
    <w:rsid w:val="0098634C"/>
    <w:rsid w:val="00986372"/>
    <w:rsid w:val="009863EB"/>
    <w:rsid w:val="009865BB"/>
    <w:rsid w:val="009868E3"/>
    <w:rsid w:val="00986991"/>
    <w:rsid w:val="00986A1E"/>
    <w:rsid w:val="00986A8A"/>
    <w:rsid w:val="00986AA5"/>
    <w:rsid w:val="00986B26"/>
    <w:rsid w:val="00986C96"/>
    <w:rsid w:val="00986D2A"/>
    <w:rsid w:val="00987184"/>
    <w:rsid w:val="009871AA"/>
    <w:rsid w:val="0098723C"/>
    <w:rsid w:val="0098734C"/>
    <w:rsid w:val="0098751C"/>
    <w:rsid w:val="00987DEC"/>
    <w:rsid w:val="00987E3D"/>
    <w:rsid w:val="00987E8E"/>
    <w:rsid w:val="00987FD4"/>
    <w:rsid w:val="0099000F"/>
    <w:rsid w:val="00990123"/>
    <w:rsid w:val="00990394"/>
    <w:rsid w:val="009903B8"/>
    <w:rsid w:val="00990467"/>
    <w:rsid w:val="0099050F"/>
    <w:rsid w:val="00990521"/>
    <w:rsid w:val="00990732"/>
    <w:rsid w:val="0099084E"/>
    <w:rsid w:val="0099090B"/>
    <w:rsid w:val="00990E51"/>
    <w:rsid w:val="00990E85"/>
    <w:rsid w:val="00990F9A"/>
    <w:rsid w:val="009910CC"/>
    <w:rsid w:val="00991212"/>
    <w:rsid w:val="009912D4"/>
    <w:rsid w:val="00991361"/>
    <w:rsid w:val="00991374"/>
    <w:rsid w:val="0099139F"/>
    <w:rsid w:val="009914D7"/>
    <w:rsid w:val="0099169D"/>
    <w:rsid w:val="00991856"/>
    <w:rsid w:val="009918D4"/>
    <w:rsid w:val="00991911"/>
    <w:rsid w:val="00991B8F"/>
    <w:rsid w:val="00991CDF"/>
    <w:rsid w:val="00991D57"/>
    <w:rsid w:val="00991DA9"/>
    <w:rsid w:val="00991DAB"/>
    <w:rsid w:val="00991E65"/>
    <w:rsid w:val="00991FAD"/>
    <w:rsid w:val="00991FCF"/>
    <w:rsid w:val="009920F1"/>
    <w:rsid w:val="009921FA"/>
    <w:rsid w:val="0099230C"/>
    <w:rsid w:val="0099231C"/>
    <w:rsid w:val="0099234B"/>
    <w:rsid w:val="009924F0"/>
    <w:rsid w:val="00992515"/>
    <w:rsid w:val="0099257C"/>
    <w:rsid w:val="009925DE"/>
    <w:rsid w:val="009927BF"/>
    <w:rsid w:val="009927C6"/>
    <w:rsid w:val="009928BB"/>
    <w:rsid w:val="00992AE4"/>
    <w:rsid w:val="00992C56"/>
    <w:rsid w:val="00993256"/>
    <w:rsid w:val="009933B8"/>
    <w:rsid w:val="009933D8"/>
    <w:rsid w:val="0099365B"/>
    <w:rsid w:val="0099393F"/>
    <w:rsid w:val="0099396B"/>
    <w:rsid w:val="00993B72"/>
    <w:rsid w:val="00993C3F"/>
    <w:rsid w:val="00993C5B"/>
    <w:rsid w:val="00993CE1"/>
    <w:rsid w:val="00993D83"/>
    <w:rsid w:val="00994180"/>
    <w:rsid w:val="009943C7"/>
    <w:rsid w:val="0099459B"/>
    <w:rsid w:val="0099471F"/>
    <w:rsid w:val="0099476C"/>
    <w:rsid w:val="009947B8"/>
    <w:rsid w:val="009948B3"/>
    <w:rsid w:val="00994963"/>
    <w:rsid w:val="0099497B"/>
    <w:rsid w:val="00994A23"/>
    <w:rsid w:val="00994DDE"/>
    <w:rsid w:val="009950CC"/>
    <w:rsid w:val="009950F9"/>
    <w:rsid w:val="0099537C"/>
    <w:rsid w:val="0099541F"/>
    <w:rsid w:val="009955F1"/>
    <w:rsid w:val="0099566E"/>
    <w:rsid w:val="009956BE"/>
    <w:rsid w:val="009957C4"/>
    <w:rsid w:val="0099587B"/>
    <w:rsid w:val="009958B9"/>
    <w:rsid w:val="00995992"/>
    <w:rsid w:val="00995A16"/>
    <w:rsid w:val="00995B2B"/>
    <w:rsid w:val="00995B7A"/>
    <w:rsid w:val="00995BBB"/>
    <w:rsid w:val="00995C35"/>
    <w:rsid w:val="00995C9E"/>
    <w:rsid w:val="00995E71"/>
    <w:rsid w:val="00995E93"/>
    <w:rsid w:val="00995F1F"/>
    <w:rsid w:val="00996038"/>
    <w:rsid w:val="00996298"/>
    <w:rsid w:val="00996452"/>
    <w:rsid w:val="0099653A"/>
    <w:rsid w:val="009966C3"/>
    <w:rsid w:val="009966DF"/>
    <w:rsid w:val="00996855"/>
    <w:rsid w:val="009968C1"/>
    <w:rsid w:val="00996AB2"/>
    <w:rsid w:val="00996AD5"/>
    <w:rsid w:val="00996B66"/>
    <w:rsid w:val="00996C40"/>
    <w:rsid w:val="00996C9B"/>
    <w:rsid w:val="00996DC7"/>
    <w:rsid w:val="00996DEF"/>
    <w:rsid w:val="00996E13"/>
    <w:rsid w:val="00996F90"/>
    <w:rsid w:val="00996FFD"/>
    <w:rsid w:val="0099708C"/>
    <w:rsid w:val="009971D7"/>
    <w:rsid w:val="00997256"/>
    <w:rsid w:val="00997474"/>
    <w:rsid w:val="009974EA"/>
    <w:rsid w:val="0099751D"/>
    <w:rsid w:val="0099769E"/>
    <w:rsid w:val="00997736"/>
    <w:rsid w:val="009977BD"/>
    <w:rsid w:val="00997827"/>
    <w:rsid w:val="009978E1"/>
    <w:rsid w:val="00997973"/>
    <w:rsid w:val="00997A44"/>
    <w:rsid w:val="00997C27"/>
    <w:rsid w:val="00997C5F"/>
    <w:rsid w:val="009A0042"/>
    <w:rsid w:val="009A01D1"/>
    <w:rsid w:val="009A02AD"/>
    <w:rsid w:val="009A03C2"/>
    <w:rsid w:val="009A03E5"/>
    <w:rsid w:val="009A05D7"/>
    <w:rsid w:val="009A06FA"/>
    <w:rsid w:val="009A08BE"/>
    <w:rsid w:val="009A0952"/>
    <w:rsid w:val="009A0D76"/>
    <w:rsid w:val="009A0EA1"/>
    <w:rsid w:val="009A0F3B"/>
    <w:rsid w:val="009A1099"/>
    <w:rsid w:val="009A11DB"/>
    <w:rsid w:val="009A1290"/>
    <w:rsid w:val="009A136B"/>
    <w:rsid w:val="009A14C9"/>
    <w:rsid w:val="009A1623"/>
    <w:rsid w:val="009A18A6"/>
    <w:rsid w:val="009A1973"/>
    <w:rsid w:val="009A19B6"/>
    <w:rsid w:val="009A1A68"/>
    <w:rsid w:val="009A1AB3"/>
    <w:rsid w:val="009A1BB4"/>
    <w:rsid w:val="009A209A"/>
    <w:rsid w:val="009A228A"/>
    <w:rsid w:val="009A2309"/>
    <w:rsid w:val="009A2577"/>
    <w:rsid w:val="009A25D6"/>
    <w:rsid w:val="009A2628"/>
    <w:rsid w:val="009A2793"/>
    <w:rsid w:val="009A2875"/>
    <w:rsid w:val="009A2884"/>
    <w:rsid w:val="009A28A0"/>
    <w:rsid w:val="009A2929"/>
    <w:rsid w:val="009A2A1D"/>
    <w:rsid w:val="009A2BEB"/>
    <w:rsid w:val="009A2C8A"/>
    <w:rsid w:val="009A2C95"/>
    <w:rsid w:val="009A2CF1"/>
    <w:rsid w:val="009A2D7F"/>
    <w:rsid w:val="009A301B"/>
    <w:rsid w:val="009A3057"/>
    <w:rsid w:val="009A3200"/>
    <w:rsid w:val="009A32D8"/>
    <w:rsid w:val="009A3396"/>
    <w:rsid w:val="009A359C"/>
    <w:rsid w:val="009A3658"/>
    <w:rsid w:val="009A36AB"/>
    <w:rsid w:val="009A375E"/>
    <w:rsid w:val="009A3B7C"/>
    <w:rsid w:val="009A3C79"/>
    <w:rsid w:val="009A3D10"/>
    <w:rsid w:val="009A3E4C"/>
    <w:rsid w:val="009A3E51"/>
    <w:rsid w:val="009A3FBE"/>
    <w:rsid w:val="009A4136"/>
    <w:rsid w:val="009A4182"/>
    <w:rsid w:val="009A4245"/>
    <w:rsid w:val="009A473C"/>
    <w:rsid w:val="009A491A"/>
    <w:rsid w:val="009A49FF"/>
    <w:rsid w:val="009A4A9A"/>
    <w:rsid w:val="009A4B8A"/>
    <w:rsid w:val="009A4D84"/>
    <w:rsid w:val="009A4DCE"/>
    <w:rsid w:val="009A4DE5"/>
    <w:rsid w:val="009A4ED8"/>
    <w:rsid w:val="009A4EEA"/>
    <w:rsid w:val="009A501E"/>
    <w:rsid w:val="009A504E"/>
    <w:rsid w:val="009A530E"/>
    <w:rsid w:val="009A53F5"/>
    <w:rsid w:val="009A5705"/>
    <w:rsid w:val="009A57CB"/>
    <w:rsid w:val="009A58B7"/>
    <w:rsid w:val="009A5A71"/>
    <w:rsid w:val="009A5B1F"/>
    <w:rsid w:val="009A5BA8"/>
    <w:rsid w:val="009A5C21"/>
    <w:rsid w:val="009A5C96"/>
    <w:rsid w:val="009A5CEE"/>
    <w:rsid w:val="009A5DBE"/>
    <w:rsid w:val="009A60B2"/>
    <w:rsid w:val="009A60C5"/>
    <w:rsid w:val="009A6178"/>
    <w:rsid w:val="009A6192"/>
    <w:rsid w:val="009A61AD"/>
    <w:rsid w:val="009A642A"/>
    <w:rsid w:val="009A66E7"/>
    <w:rsid w:val="009A67D0"/>
    <w:rsid w:val="009A6960"/>
    <w:rsid w:val="009A69A6"/>
    <w:rsid w:val="009A6BAA"/>
    <w:rsid w:val="009A6D20"/>
    <w:rsid w:val="009A6D91"/>
    <w:rsid w:val="009A6E34"/>
    <w:rsid w:val="009A6E93"/>
    <w:rsid w:val="009A6F7E"/>
    <w:rsid w:val="009A7196"/>
    <w:rsid w:val="009A71E7"/>
    <w:rsid w:val="009A77E4"/>
    <w:rsid w:val="009A77F4"/>
    <w:rsid w:val="009A7881"/>
    <w:rsid w:val="009A7A36"/>
    <w:rsid w:val="009A7AB8"/>
    <w:rsid w:val="009A7CA8"/>
    <w:rsid w:val="009A7E59"/>
    <w:rsid w:val="009A7FA3"/>
    <w:rsid w:val="009B00E7"/>
    <w:rsid w:val="009B0100"/>
    <w:rsid w:val="009B019E"/>
    <w:rsid w:val="009B0216"/>
    <w:rsid w:val="009B022D"/>
    <w:rsid w:val="009B0265"/>
    <w:rsid w:val="009B03E4"/>
    <w:rsid w:val="009B0423"/>
    <w:rsid w:val="009B0545"/>
    <w:rsid w:val="009B07F4"/>
    <w:rsid w:val="009B0897"/>
    <w:rsid w:val="009B09BE"/>
    <w:rsid w:val="009B0BA5"/>
    <w:rsid w:val="009B0BCE"/>
    <w:rsid w:val="009B0BF0"/>
    <w:rsid w:val="009B0C16"/>
    <w:rsid w:val="009B0C3D"/>
    <w:rsid w:val="009B0CA9"/>
    <w:rsid w:val="009B0E72"/>
    <w:rsid w:val="009B1010"/>
    <w:rsid w:val="009B10C1"/>
    <w:rsid w:val="009B111D"/>
    <w:rsid w:val="009B11C1"/>
    <w:rsid w:val="009B12BD"/>
    <w:rsid w:val="009B136B"/>
    <w:rsid w:val="009B13D8"/>
    <w:rsid w:val="009B1467"/>
    <w:rsid w:val="009B1788"/>
    <w:rsid w:val="009B1850"/>
    <w:rsid w:val="009B198B"/>
    <w:rsid w:val="009B19C0"/>
    <w:rsid w:val="009B1A79"/>
    <w:rsid w:val="009B1A7E"/>
    <w:rsid w:val="009B1CAC"/>
    <w:rsid w:val="009B1D0C"/>
    <w:rsid w:val="009B1D7C"/>
    <w:rsid w:val="009B1E06"/>
    <w:rsid w:val="009B1F53"/>
    <w:rsid w:val="009B21DE"/>
    <w:rsid w:val="009B226D"/>
    <w:rsid w:val="009B247D"/>
    <w:rsid w:val="009B2499"/>
    <w:rsid w:val="009B24DE"/>
    <w:rsid w:val="009B25D7"/>
    <w:rsid w:val="009B2601"/>
    <w:rsid w:val="009B2623"/>
    <w:rsid w:val="009B26A2"/>
    <w:rsid w:val="009B2A05"/>
    <w:rsid w:val="009B2A7D"/>
    <w:rsid w:val="009B2BEF"/>
    <w:rsid w:val="009B2F09"/>
    <w:rsid w:val="009B3171"/>
    <w:rsid w:val="009B3208"/>
    <w:rsid w:val="009B325B"/>
    <w:rsid w:val="009B340B"/>
    <w:rsid w:val="009B35A5"/>
    <w:rsid w:val="009B3733"/>
    <w:rsid w:val="009B39F8"/>
    <w:rsid w:val="009B3A4B"/>
    <w:rsid w:val="009B3BE9"/>
    <w:rsid w:val="009B3C07"/>
    <w:rsid w:val="009B3CA2"/>
    <w:rsid w:val="009B3CB8"/>
    <w:rsid w:val="009B3D7E"/>
    <w:rsid w:val="009B3E5D"/>
    <w:rsid w:val="009B4097"/>
    <w:rsid w:val="009B41E7"/>
    <w:rsid w:val="009B4388"/>
    <w:rsid w:val="009B4656"/>
    <w:rsid w:val="009B46ED"/>
    <w:rsid w:val="009B46F5"/>
    <w:rsid w:val="009B4714"/>
    <w:rsid w:val="009B4958"/>
    <w:rsid w:val="009B497E"/>
    <w:rsid w:val="009B49A6"/>
    <w:rsid w:val="009B49FF"/>
    <w:rsid w:val="009B4B05"/>
    <w:rsid w:val="009B4BA9"/>
    <w:rsid w:val="009B4C6D"/>
    <w:rsid w:val="009B4CD2"/>
    <w:rsid w:val="009B5021"/>
    <w:rsid w:val="009B50A8"/>
    <w:rsid w:val="009B50D5"/>
    <w:rsid w:val="009B5113"/>
    <w:rsid w:val="009B516A"/>
    <w:rsid w:val="009B5187"/>
    <w:rsid w:val="009B5386"/>
    <w:rsid w:val="009B5464"/>
    <w:rsid w:val="009B5488"/>
    <w:rsid w:val="009B5491"/>
    <w:rsid w:val="009B558E"/>
    <w:rsid w:val="009B5874"/>
    <w:rsid w:val="009B5B35"/>
    <w:rsid w:val="009B5B50"/>
    <w:rsid w:val="009B5C6F"/>
    <w:rsid w:val="009B5FB3"/>
    <w:rsid w:val="009B60DD"/>
    <w:rsid w:val="009B6118"/>
    <w:rsid w:val="009B6176"/>
    <w:rsid w:val="009B61D0"/>
    <w:rsid w:val="009B6368"/>
    <w:rsid w:val="009B6611"/>
    <w:rsid w:val="009B66D4"/>
    <w:rsid w:val="009B6792"/>
    <w:rsid w:val="009B67B4"/>
    <w:rsid w:val="009B6870"/>
    <w:rsid w:val="009B6BFC"/>
    <w:rsid w:val="009B6DBC"/>
    <w:rsid w:val="009B6EBA"/>
    <w:rsid w:val="009B6EDE"/>
    <w:rsid w:val="009B6F7B"/>
    <w:rsid w:val="009B70B8"/>
    <w:rsid w:val="009B71DC"/>
    <w:rsid w:val="009B7255"/>
    <w:rsid w:val="009B72CA"/>
    <w:rsid w:val="009B7572"/>
    <w:rsid w:val="009B75C0"/>
    <w:rsid w:val="009B75CD"/>
    <w:rsid w:val="009B76DE"/>
    <w:rsid w:val="009B7A8D"/>
    <w:rsid w:val="009B7ADD"/>
    <w:rsid w:val="009B7B3B"/>
    <w:rsid w:val="009B7BD9"/>
    <w:rsid w:val="009B7D17"/>
    <w:rsid w:val="009B7D62"/>
    <w:rsid w:val="009B7DD6"/>
    <w:rsid w:val="009B7EDA"/>
    <w:rsid w:val="009C0075"/>
    <w:rsid w:val="009C025D"/>
    <w:rsid w:val="009C026B"/>
    <w:rsid w:val="009C03B6"/>
    <w:rsid w:val="009C0494"/>
    <w:rsid w:val="009C0495"/>
    <w:rsid w:val="009C04C0"/>
    <w:rsid w:val="009C04E6"/>
    <w:rsid w:val="009C0566"/>
    <w:rsid w:val="009C060A"/>
    <w:rsid w:val="009C0646"/>
    <w:rsid w:val="009C067B"/>
    <w:rsid w:val="009C0A2E"/>
    <w:rsid w:val="009C0AA1"/>
    <w:rsid w:val="009C0B49"/>
    <w:rsid w:val="009C0C5E"/>
    <w:rsid w:val="009C0CA1"/>
    <w:rsid w:val="009C0D1E"/>
    <w:rsid w:val="009C0D44"/>
    <w:rsid w:val="009C0D63"/>
    <w:rsid w:val="009C0D8D"/>
    <w:rsid w:val="009C0F37"/>
    <w:rsid w:val="009C11EA"/>
    <w:rsid w:val="009C1281"/>
    <w:rsid w:val="009C12E9"/>
    <w:rsid w:val="009C13E4"/>
    <w:rsid w:val="009C146B"/>
    <w:rsid w:val="009C14B0"/>
    <w:rsid w:val="009C1540"/>
    <w:rsid w:val="009C1562"/>
    <w:rsid w:val="009C15F8"/>
    <w:rsid w:val="009C168B"/>
    <w:rsid w:val="009C1963"/>
    <w:rsid w:val="009C1B01"/>
    <w:rsid w:val="009C1B25"/>
    <w:rsid w:val="009C1C3F"/>
    <w:rsid w:val="009C1E3F"/>
    <w:rsid w:val="009C1E4F"/>
    <w:rsid w:val="009C1EE9"/>
    <w:rsid w:val="009C20BC"/>
    <w:rsid w:val="009C21F5"/>
    <w:rsid w:val="009C21F9"/>
    <w:rsid w:val="009C24F3"/>
    <w:rsid w:val="009C259A"/>
    <w:rsid w:val="009C25DB"/>
    <w:rsid w:val="009C263B"/>
    <w:rsid w:val="009C2757"/>
    <w:rsid w:val="009C278E"/>
    <w:rsid w:val="009C294D"/>
    <w:rsid w:val="009C2B05"/>
    <w:rsid w:val="009C2B62"/>
    <w:rsid w:val="009C2C1B"/>
    <w:rsid w:val="009C2C1F"/>
    <w:rsid w:val="009C2D65"/>
    <w:rsid w:val="009C2EC0"/>
    <w:rsid w:val="009C2EC9"/>
    <w:rsid w:val="009C2F92"/>
    <w:rsid w:val="009C3056"/>
    <w:rsid w:val="009C3406"/>
    <w:rsid w:val="009C3534"/>
    <w:rsid w:val="009C35B0"/>
    <w:rsid w:val="009C3703"/>
    <w:rsid w:val="009C373B"/>
    <w:rsid w:val="009C3853"/>
    <w:rsid w:val="009C38EE"/>
    <w:rsid w:val="009C3997"/>
    <w:rsid w:val="009C3C82"/>
    <w:rsid w:val="009C3CAD"/>
    <w:rsid w:val="009C3CC7"/>
    <w:rsid w:val="009C3CFE"/>
    <w:rsid w:val="009C3DBE"/>
    <w:rsid w:val="009C3E0E"/>
    <w:rsid w:val="009C3FE3"/>
    <w:rsid w:val="009C4188"/>
    <w:rsid w:val="009C421C"/>
    <w:rsid w:val="009C4360"/>
    <w:rsid w:val="009C436B"/>
    <w:rsid w:val="009C43DB"/>
    <w:rsid w:val="009C4626"/>
    <w:rsid w:val="009C48CC"/>
    <w:rsid w:val="009C48D0"/>
    <w:rsid w:val="009C4989"/>
    <w:rsid w:val="009C4D5C"/>
    <w:rsid w:val="009C4EF3"/>
    <w:rsid w:val="009C4F82"/>
    <w:rsid w:val="009C4FD3"/>
    <w:rsid w:val="009C5042"/>
    <w:rsid w:val="009C5059"/>
    <w:rsid w:val="009C5372"/>
    <w:rsid w:val="009C53C2"/>
    <w:rsid w:val="009C5412"/>
    <w:rsid w:val="009C5635"/>
    <w:rsid w:val="009C5832"/>
    <w:rsid w:val="009C59C4"/>
    <w:rsid w:val="009C5AC4"/>
    <w:rsid w:val="009C5C0B"/>
    <w:rsid w:val="009C5CE0"/>
    <w:rsid w:val="009C5D9A"/>
    <w:rsid w:val="009C5EA9"/>
    <w:rsid w:val="009C5F5D"/>
    <w:rsid w:val="009C600A"/>
    <w:rsid w:val="009C6110"/>
    <w:rsid w:val="009C6199"/>
    <w:rsid w:val="009C6884"/>
    <w:rsid w:val="009C6AAB"/>
    <w:rsid w:val="009C6C0F"/>
    <w:rsid w:val="009C6C4D"/>
    <w:rsid w:val="009C6D7A"/>
    <w:rsid w:val="009C6DE4"/>
    <w:rsid w:val="009C6E92"/>
    <w:rsid w:val="009C6EA6"/>
    <w:rsid w:val="009C71AD"/>
    <w:rsid w:val="009C71C1"/>
    <w:rsid w:val="009C7234"/>
    <w:rsid w:val="009C7298"/>
    <w:rsid w:val="009C73AF"/>
    <w:rsid w:val="009C7486"/>
    <w:rsid w:val="009C7739"/>
    <w:rsid w:val="009C7980"/>
    <w:rsid w:val="009C7ABB"/>
    <w:rsid w:val="009C7B41"/>
    <w:rsid w:val="009C7BBD"/>
    <w:rsid w:val="009C7BDA"/>
    <w:rsid w:val="009C7C48"/>
    <w:rsid w:val="009C7D44"/>
    <w:rsid w:val="009C7D7C"/>
    <w:rsid w:val="009C7DD5"/>
    <w:rsid w:val="009C7DED"/>
    <w:rsid w:val="009C7DF5"/>
    <w:rsid w:val="009C7E3C"/>
    <w:rsid w:val="009C7F5C"/>
    <w:rsid w:val="009C7FA8"/>
    <w:rsid w:val="009D00A4"/>
    <w:rsid w:val="009D012D"/>
    <w:rsid w:val="009D0460"/>
    <w:rsid w:val="009D0612"/>
    <w:rsid w:val="009D0705"/>
    <w:rsid w:val="009D077E"/>
    <w:rsid w:val="009D0986"/>
    <w:rsid w:val="009D09B2"/>
    <w:rsid w:val="009D09E7"/>
    <w:rsid w:val="009D0A05"/>
    <w:rsid w:val="009D0A80"/>
    <w:rsid w:val="009D0C81"/>
    <w:rsid w:val="009D0CCB"/>
    <w:rsid w:val="009D0EEB"/>
    <w:rsid w:val="009D11BB"/>
    <w:rsid w:val="009D143C"/>
    <w:rsid w:val="009D14AE"/>
    <w:rsid w:val="009D1580"/>
    <w:rsid w:val="009D1647"/>
    <w:rsid w:val="009D17F5"/>
    <w:rsid w:val="009D19D2"/>
    <w:rsid w:val="009D19F9"/>
    <w:rsid w:val="009D1A1B"/>
    <w:rsid w:val="009D1DEA"/>
    <w:rsid w:val="009D1E9F"/>
    <w:rsid w:val="009D1F65"/>
    <w:rsid w:val="009D211D"/>
    <w:rsid w:val="009D214D"/>
    <w:rsid w:val="009D2199"/>
    <w:rsid w:val="009D21DB"/>
    <w:rsid w:val="009D2253"/>
    <w:rsid w:val="009D22CC"/>
    <w:rsid w:val="009D243F"/>
    <w:rsid w:val="009D2453"/>
    <w:rsid w:val="009D2573"/>
    <w:rsid w:val="009D2675"/>
    <w:rsid w:val="009D2972"/>
    <w:rsid w:val="009D2B99"/>
    <w:rsid w:val="009D2C1A"/>
    <w:rsid w:val="009D2FEF"/>
    <w:rsid w:val="009D30FE"/>
    <w:rsid w:val="009D3151"/>
    <w:rsid w:val="009D31CA"/>
    <w:rsid w:val="009D3358"/>
    <w:rsid w:val="009D3413"/>
    <w:rsid w:val="009D34EC"/>
    <w:rsid w:val="009D38D1"/>
    <w:rsid w:val="009D399A"/>
    <w:rsid w:val="009D3FDE"/>
    <w:rsid w:val="009D40F7"/>
    <w:rsid w:val="009D427B"/>
    <w:rsid w:val="009D436A"/>
    <w:rsid w:val="009D4387"/>
    <w:rsid w:val="009D43A2"/>
    <w:rsid w:val="009D4553"/>
    <w:rsid w:val="009D45A0"/>
    <w:rsid w:val="009D4617"/>
    <w:rsid w:val="009D46E6"/>
    <w:rsid w:val="009D474F"/>
    <w:rsid w:val="009D4879"/>
    <w:rsid w:val="009D49CF"/>
    <w:rsid w:val="009D4A38"/>
    <w:rsid w:val="009D4A9E"/>
    <w:rsid w:val="009D4C24"/>
    <w:rsid w:val="009D4F2C"/>
    <w:rsid w:val="009D5024"/>
    <w:rsid w:val="009D5132"/>
    <w:rsid w:val="009D5141"/>
    <w:rsid w:val="009D5261"/>
    <w:rsid w:val="009D52CA"/>
    <w:rsid w:val="009D52D1"/>
    <w:rsid w:val="009D530F"/>
    <w:rsid w:val="009D5322"/>
    <w:rsid w:val="009D547D"/>
    <w:rsid w:val="009D54BA"/>
    <w:rsid w:val="009D5527"/>
    <w:rsid w:val="009D5566"/>
    <w:rsid w:val="009D565A"/>
    <w:rsid w:val="009D5733"/>
    <w:rsid w:val="009D574C"/>
    <w:rsid w:val="009D5761"/>
    <w:rsid w:val="009D57B4"/>
    <w:rsid w:val="009D5912"/>
    <w:rsid w:val="009D59EF"/>
    <w:rsid w:val="009D5A27"/>
    <w:rsid w:val="009D5A81"/>
    <w:rsid w:val="009D5BB8"/>
    <w:rsid w:val="009D5C34"/>
    <w:rsid w:val="009D5C74"/>
    <w:rsid w:val="009D5C8F"/>
    <w:rsid w:val="009D5CF9"/>
    <w:rsid w:val="009D5EC4"/>
    <w:rsid w:val="009D610C"/>
    <w:rsid w:val="009D61C7"/>
    <w:rsid w:val="009D626D"/>
    <w:rsid w:val="009D63E0"/>
    <w:rsid w:val="009D63E4"/>
    <w:rsid w:val="009D6405"/>
    <w:rsid w:val="009D646B"/>
    <w:rsid w:val="009D65BA"/>
    <w:rsid w:val="009D65C6"/>
    <w:rsid w:val="009D67E4"/>
    <w:rsid w:val="009D695E"/>
    <w:rsid w:val="009D69CF"/>
    <w:rsid w:val="009D6ABD"/>
    <w:rsid w:val="009D6B8C"/>
    <w:rsid w:val="009D6DF9"/>
    <w:rsid w:val="009D6E22"/>
    <w:rsid w:val="009D6E4C"/>
    <w:rsid w:val="009D6EAF"/>
    <w:rsid w:val="009D6F1A"/>
    <w:rsid w:val="009D6F3A"/>
    <w:rsid w:val="009D6F5A"/>
    <w:rsid w:val="009D6FEA"/>
    <w:rsid w:val="009D728E"/>
    <w:rsid w:val="009D7316"/>
    <w:rsid w:val="009D735C"/>
    <w:rsid w:val="009D7497"/>
    <w:rsid w:val="009D750E"/>
    <w:rsid w:val="009D7596"/>
    <w:rsid w:val="009D77A8"/>
    <w:rsid w:val="009D797E"/>
    <w:rsid w:val="009D7BB3"/>
    <w:rsid w:val="009D7BB6"/>
    <w:rsid w:val="009D7FC3"/>
    <w:rsid w:val="009E00D3"/>
    <w:rsid w:val="009E019C"/>
    <w:rsid w:val="009E0218"/>
    <w:rsid w:val="009E04ED"/>
    <w:rsid w:val="009E094A"/>
    <w:rsid w:val="009E0951"/>
    <w:rsid w:val="009E0A49"/>
    <w:rsid w:val="009E0AB4"/>
    <w:rsid w:val="009E0CAD"/>
    <w:rsid w:val="009E0CFE"/>
    <w:rsid w:val="009E0D72"/>
    <w:rsid w:val="009E0EAC"/>
    <w:rsid w:val="009E0FE6"/>
    <w:rsid w:val="009E1039"/>
    <w:rsid w:val="009E125D"/>
    <w:rsid w:val="009E15F9"/>
    <w:rsid w:val="009E16C6"/>
    <w:rsid w:val="009E18F6"/>
    <w:rsid w:val="009E1A18"/>
    <w:rsid w:val="009E1A59"/>
    <w:rsid w:val="009E1D7F"/>
    <w:rsid w:val="009E1E27"/>
    <w:rsid w:val="009E1EAA"/>
    <w:rsid w:val="009E202C"/>
    <w:rsid w:val="009E202E"/>
    <w:rsid w:val="009E208E"/>
    <w:rsid w:val="009E222E"/>
    <w:rsid w:val="009E227D"/>
    <w:rsid w:val="009E2432"/>
    <w:rsid w:val="009E2485"/>
    <w:rsid w:val="009E2689"/>
    <w:rsid w:val="009E27B8"/>
    <w:rsid w:val="009E2903"/>
    <w:rsid w:val="009E29ED"/>
    <w:rsid w:val="009E2AB1"/>
    <w:rsid w:val="009E2AC3"/>
    <w:rsid w:val="009E2C32"/>
    <w:rsid w:val="009E2F53"/>
    <w:rsid w:val="009E3036"/>
    <w:rsid w:val="009E30C3"/>
    <w:rsid w:val="009E32DB"/>
    <w:rsid w:val="009E3615"/>
    <w:rsid w:val="009E393C"/>
    <w:rsid w:val="009E3B0E"/>
    <w:rsid w:val="009E3C44"/>
    <w:rsid w:val="009E3E1C"/>
    <w:rsid w:val="009E3E5C"/>
    <w:rsid w:val="009E3E8F"/>
    <w:rsid w:val="009E3F13"/>
    <w:rsid w:val="009E3FBD"/>
    <w:rsid w:val="009E42EB"/>
    <w:rsid w:val="009E440C"/>
    <w:rsid w:val="009E4416"/>
    <w:rsid w:val="009E4450"/>
    <w:rsid w:val="009E46F9"/>
    <w:rsid w:val="009E4709"/>
    <w:rsid w:val="009E4721"/>
    <w:rsid w:val="009E4792"/>
    <w:rsid w:val="009E492B"/>
    <w:rsid w:val="009E4CD6"/>
    <w:rsid w:val="009E5019"/>
    <w:rsid w:val="009E5119"/>
    <w:rsid w:val="009E5141"/>
    <w:rsid w:val="009E514E"/>
    <w:rsid w:val="009E52AE"/>
    <w:rsid w:val="009E52FE"/>
    <w:rsid w:val="009E557F"/>
    <w:rsid w:val="009E5959"/>
    <w:rsid w:val="009E59BC"/>
    <w:rsid w:val="009E5AAA"/>
    <w:rsid w:val="009E5B29"/>
    <w:rsid w:val="009E5B83"/>
    <w:rsid w:val="009E5C6E"/>
    <w:rsid w:val="009E5D0B"/>
    <w:rsid w:val="009E6102"/>
    <w:rsid w:val="009E6118"/>
    <w:rsid w:val="009E6156"/>
    <w:rsid w:val="009E61A6"/>
    <w:rsid w:val="009E6222"/>
    <w:rsid w:val="009E6276"/>
    <w:rsid w:val="009E6290"/>
    <w:rsid w:val="009E6333"/>
    <w:rsid w:val="009E6489"/>
    <w:rsid w:val="009E6517"/>
    <w:rsid w:val="009E66B2"/>
    <w:rsid w:val="009E6832"/>
    <w:rsid w:val="009E6A15"/>
    <w:rsid w:val="009E6A6D"/>
    <w:rsid w:val="009E6AC8"/>
    <w:rsid w:val="009E6BD1"/>
    <w:rsid w:val="009E6CEC"/>
    <w:rsid w:val="009E6D7D"/>
    <w:rsid w:val="009E6DF1"/>
    <w:rsid w:val="009E6E52"/>
    <w:rsid w:val="009E6EB9"/>
    <w:rsid w:val="009E6F95"/>
    <w:rsid w:val="009E6FD9"/>
    <w:rsid w:val="009E7292"/>
    <w:rsid w:val="009E72F9"/>
    <w:rsid w:val="009E73B7"/>
    <w:rsid w:val="009E744F"/>
    <w:rsid w:val="009E751F"/>
    <w:rsid w:val="009E75A4"/>
    <w:rsid w:val="009E778A"/>
    <w:rsid w:val="009E77B5"/>
    <w:rsid w:val="009E79A0"/>
    <w:rsid w:val="009E7A18"/>
    <w:rsid w:val="009E7AB0"/>
    <w:rsid w:val="009E7BF3"/>
    <w:rsid w:val="009E7CF2"/>
    <w:rsid w:val="009E7F2A"/>
    <w:rsid w:val="009F0049"/>
    <w:rsid w:val="009F009D"/>
    <w:rsid w:val="009F00B9"/>
    <w:rsid w:val="009F0119"/>
    <w:rsid w:val="009F028E"/>
    <w:rsid w:val="009F03C9"/>
    <w:rsid w:val="009F03FB"/>
    <w:rsid w:val="009F0414"/>
    <w:rsid w:val="009F0663"/>
    <w:rsid w:val="009F07D5"/>
    <w:rsid w:val="009F0919"/>
    <w:rsid w:val="009F09FF"/>
    <w:rsid w:val="009F0A1E"/>
    <w:rsid w:val="009F0A6E"/>
    <w:rsid w:val="009F0AA5"/>
    <w:rsid w:val="009F0BC1"/>
    <w:rsid w:val="009F0CF5"/>
    <w:rsid w:val="009F0D81"/>
    <w:rsid w:val="009F0D8C"/>
    <w:rsid w:val="009F0DBA"/>
    <w:rsid w:val="009F0E33"/>
    <w:rsid w:val="009F0E5C"/>
    <w:rsid w:val="009F0EF4"/>
    <w:rsid w:val="009F0F77"/>
    <w:rsid w:val="009F1072"/>
    <w:rsid w:val="009F10C1"/>
    <w:rsid w:val="009F1203"/>
    <w:rsid w:val="009F13ED"/>
    <w:rsid w:val="009F14DE"/>
    <w:rsid w:val="009F1585"/>
    <w:rsid w:val="009F1729"/>
    <w:rsid w:val="009F1748"/>
    <w:rsid w:val="009F1766"/>
    <w:rsid w:val="009F17EE"/>
    <w:rsid w:val="009F18F3"/>
    <w:rsid w:val="009F196F"/>
    <w:rsid w:val="009F19E3"/>
    <w:rsid w:val="009F1A0E"/>
    <w:rsid w:val="009F1A81"/>
    <w:rsid w:val="009F1BA9"/>
    <w:rsid w:val="009F1BCA"/>
    <w:rsid w:val="009F1C4B"/>
    <w:rsid w:val="009F1C6E"/>
    <w:rsid w:val="009F1D84"/>
    <w:rsid w:val="009F1E95"/>
    <w:rsid w:val="009F1EC3"/>
    <w:rsid w:val="009F1F29"/>
    <w:rsid w:val="009F1F43"/>
    <w:rsid w:val="009F1F8B"/>
    <w:rsid w:val="009F234B"/>
    <w:rsid w:val="009F2484"/>
    <w:rsid w:val="009F2579"/>
    <w:rsid w:val="009F259B"/>
    <w:rsid w:val="009F2650"/>
    <w:rsid w:val="009F272B"/>
    <w:rsid w:val="009F27CB"/>
    <w:rsid w:val="009F2854"/>
    <w:rsid w:val="009F2912"/>
    <w:rsid w:val="009F2961"/>
    <w:rsid w:val="009F29DF"/>
    <w:rsid w:val="009F2AB5"/>
    <w:rsid w:val="009F2E10"/>
    <w:rsid w:val="009F2E59"/>
    <w:rsid w:val="009F31EE"/>
    <w:rsid w:val="009F3322"/>
    <w:rsid w:val="009F3368"/>
    <w:rsid w:val="009F3550"/>
    <w:rsid w:val="009F3639"/>
    <w:rsid w:val="009F36AC"/>
    <w:rsid w:val="009F37B5"/>
    <w:rsid w:val="009F3888"/>
    <w:rsid w:val="009F38B4"/>
    <w:rsid w:val="009F38FD"/>
    <w:rsid w:val="009F3987"/>
    <w:rsid w:val="009F3A5F"/>
    <w:rsid w:val="009F3C1B"/>
    <w:rsid w:val="009F3DE7"/>
    <w:rsid w:val="009F3E57"/>
    <w:rsid w:val="009F3F84"/>
    <w:rsid w:val="009F4107"/>
    <w:rsid w:val="009F41E5"/>
    <w:rsid w:val="009F4204"/>
    <w:rsid w:val="009F428B"/>
    <w:rsid w:val="009F42E4"/>
    <w:rsid w:val="009F4364"/>
    <w:rsid w:val="009F4413"/>
    <w:rsid w:val="009F4436"/>
    <w:rsid w:val="009F44CA"/>
    <w:rsid w:val="009F453E"/>
    <w:rsid w:val="009F45D4"/>
    <w:rsid w:val="009F4638"/>
    <w:rsid w:val="009F4722"/>
    <w:rsid w:val="009F47E5"/>
    <w:rsid w:val="009F4C6E"/>
    <w:rsid w:val="009F4C7F"/>
    <w:rsid w:val="009F4D50"/>
    <w:rsid w:val="009F4DA7"/>
    <w:rsid w:val="009F4FA7"/>
    <w:rsid w:val="009F4FFF"/>
    <w:rsid w:val="009F508E"/>
    <w:rsid w:val="009F50C9"/>
    <w:rsid w:val="009F50E4"/>
    <w:rsid w:val="009F51E9"/>
    <w:rsid w:val="009F51EF"/>
    <w:rsid w:val="009F5221"/>
    <w:rsid w:val="009F5515"/>
    <w:rsid w:val="009F5602"/>
    <w:rsid w:val="009F587B"/>
    <w:rsid w:val="009F59C2"/>
    <w:rsid w:val="009F5A77"/>
    <w:rsid w:val="009F5B72"/>
    <w:rsid w:val="009F5BFA"/>
    <w:rsid w:val="009F5C83"/>
    <w:rsid w:val="009F5CAB"/>
    <w:rsid w:val="009F5D38"/>
    <w:rsid w:val="009F5E44"/>
    <w:rsid w:val="009F5E4F"/>
    <w:rsid w:val="009F61D0"/>
    <w:rsid w:val="009F62D8"/>
    <w:rsid w:val="009F635E"/>
    <w:rsid w:val="009F6810"/>
    <w:rsid w:val="009F68DC"/>
    <w:rsid w:val="009F6BED"/>
    <w:rsid w:val="009F6CF4"/>
    <w:rsid w:val="009F6D7F"/>
    <w:rsid w:val="009F709B"/>
    <w:rsid w:val="009F70B6"/>
    <w:rsid w:val="009F72B1"/>
    <w:rsid w:val="009F73B1"/>
    <w:rsid w:val="009F7435"/>
    <w:rsid w:val="009F74FF"/>
    <w:rsid w:val="009F7595"/>
    <w:rsid w:val="009F7621"/>
    <w:rsid w:val="009F76DF"/>
    <w:rsid w:val="009F775E"/>
    <w:rsid w:val="009F7858"/>
    <w:rsid w:val="009F79CF"/>
    <w:rsid w:val="009F7A71"/>
    <w:rsid w:val="009F7CCD"/>
    <w:rsid w:val="009F7D48"/>
    <w:rsid w:val="009F7F12"/>
    <w:rsid w:val="00A00251"/>
    <w:rsid w:val="00A002E7"/>
    <w:rsid w:val="00A0035A"/>
    <w:rsid w:val="00A00389"/>
    <w:rsid w:val="00A003D7"/>
    <w:rsid w:val="00A0051A"/>
    <w:rsid w:val="00A00775"/>
    <w:rsid w:val="00A008FA"/>
    <w:rsid w:val="00A0090A"/>
    <w:rsid w:val="00A00AF2"/>
    <w:rsid w:val="00A00D5D"/>
    <w:rsid w:val="00A00DA2"/>
    <w:rsid w:val="00A00EA2"/>
    <w:rsid w:val="00A00EDB"/>
    <w:rsid w:val="00A01150"/>
    <w:rsid w:val="00A01259"/>
    <w:rsid w:val="00A014B9"/>
    <w:rsid w:val="00A014CF"/>
    <w:rsid w:val="00A01582"/>
    <w:rsid w:val="00A017F7"/>
    <w:rsid w:val="00A019BA"/>
    <w:rsid w:val="00A019BC"/>
    <w:rsid w:val="00A019C2"/>
    <w:rsid w:val="00A01AE3"/>
    <w:rsid w:val="00A01B21"/>
    <w:rsid w:val="00A01C01"/>
    <w:rsid w:val="00A02011"/>
    <w:rsid w:val="00A0208E"/>
    <w:rsid w:val="00A02166"/>
    <w:rsid w:val="00A022D0"/>
    <w:rsid w:val="00A024DC"/>
    <w:rsid w:val="00A027B1"/>
    <w:rsid w:val="00A027D4"/>
    <w:rsid w:val="00A02805"/>
    <w:rsid w:val="00A0291F"/>
    <w:rsid w:val="00A02A32"/>
    <w:rsid w:val="00A02C5F"/>
    <w:rsid w:val="00A02C6E"/>
    <w:rsid w:val="00A02CBF"/>
    <w:rsid w:val="00A02CD0"/>
    <w:rsid w:val="00A02E25"/>
    <w:rsid w:val="00A02E42"/>
    <w:rsid w:val="00A02E79"/>
    <w:rsid w:val="00A0301F"/>
    <w:rsid w:val="00A030BE"/>
    <w:rsid w:val="00A03283"/>
    <w:rsid w:val="00A03404"/>
    <w:rsid w:val="00A035CE"/>
    <w:rsid w:val="00A03793"/>
    <w:rsid w:val="00A037B4"/>
    <w:rsid w:val="00A0394C"/>
    <w:rsid w:val="00A03A46"/>
    <w:rsid w:val="00A03BB9"/>
    <w:rsid w:val="00A03CD6"/>
    <w:rsid w:val="00A03DC5"/>
    <w:rsid w:val="00A03E1E"/>
    <w:rsid w:val="00A03E93"/>
    <w:rsid w:val="00A03F6C"/>
    <w:rsid w:val="00A0404F"/>
    <w:rsid w:val="00A04184"/>
    <w:rsid w:val="00A042D1"/>
    <w:rsid w:val="00A044C3"/>
    <w:rsid w:val="00A0461A"/>
    <w:rsid w:val="00A047E1"/>
    <w:rsid w:val="00A0485F"/>
    <w:rsid w:val="00A04873"/>
    <w:rsid w:val="00A04AC0"/>
    <w:rsid w:val="00A04AFE"/>
    <w:rsid w:val="00A04B82"/>
    <w:rsid w:val="00A04B9F"/>
    <w:rsid w:val="00A04E25"/>
    <w:rsid w:val="00A04ED4"/>
    <w:rsid w:val="00A04EF8"/>
    <w:rsid w:val="00A04F1B"/>
    <w:rsid w:val="00A04F41"/>
    <w:rsid w:val="00A0501B"/>
    <w:rsid w:val="00A05043"/>
    <w:rsid w:val="00A05124"/>
    <w:rsid w:val="00A0545C"/>
    <w:rsid w:val="00A055D8"/>
    <w:rsid w:val="00A05863"/>
    <w:rsid w:val="00A058DE"/>
    <w:rsid w:val="00A05A6D"/>
    <w:rsid w:val="00A05B14"/>
    <w:rsid w:val="00A05CF3"/>
    <w:rsid w:val="00A05E50"/>
    <w:rsid w:val="00A05E72"/>
    <w:rsid w:val="00A05EDD"/>
    <w:rsid w:val="00A06066"/>
    <w:rsid w:val="00A0613A"/>
    <w:rsid w:val="00A06272"/>
    <w:rsid w:val="00A06282"/>
    <w:rsid w:val="00A0629E"/>
    <w:rsid w:val="00A063F4"/>
    <w:rsid w:val="00A06462"/>
    <w:rsid w:val="00A06541"/>
    <w:rsid w:val="00A06635"/>
    <w:rsid w:val="00A0669A"/>
    <w:rsid w:val="00A068DD"/>
    <w:rsid w:val="00A069B6"/>
    <w:rsid w:val="00A069C5"/>
    <w:rsid w:val="00A06C59"/>
    <w:rsid w:val="00A06C5E"/>
    <w:rsid w:val="00A06CFA"/>
    <w:rsid w:val="00A06DFB"/>
    <w:rsid w:val="00A06F9C"/>
    <w:rsid w:val="00A0700A"/>
    <w:rsid w:val="00A07189"/>
    <w:rsid w:val="00A072B4"/>
    <w:rsid w:val="00A0739F"/>
    <w:rsid w:val="00A074B7"/>
    <w:rsid w:val="00A0756C"/>
    <w:rsid w:val="00A07580"/>
    <w:rsid w:val="00A07725"/>
    <w:rsid w:val="00A07845"/>
    <w:rsid w:val="00A07995"/>
    <w:rsid w:val="00A07AC6"/>
    <w:rsid w:val="00A07D78"/>
    <w:rsid w:val="00A07E9B"/>
    <w:rsid w:val="00A07F89"/>
    <w:rsid w:val="00A1009A"/>
    <w:rsid w:val="00A100A3"/>
    <w:rsid w:val="00A101FB"/>
    <w:rsid w:val="00A10323"/>
    <w:rsid w:val="00A1035E"/>
    <w:rsid w:val="00A10492"/>
    <w:rsid w:val="00A10795"/>
    <w:rsid w:val="00A10892"/>
    <w:rsid w:val="00A10A1A"/>
    <w:rsid w:val="00A10A8E"/>
    <w:rsid w:val="00A10BB4"/>
    <w:rsid w:val="00A10BE0"/>
    <w:rsid w:val="00A10C86"/>
    <w:rsid w:val="00A10FE8"/>
    <w:rsid w:val="00A11037"/>
    <w:rsid w:val="00A11087"/>
    <w:rsid w:val="00A110B4"/>
    <w:rsid w:val="00A1133E"/>
    <w:rsid w:val="00A116DE"/>
    <w:rsid w:val="00A117E6"/>
    <w:rsid w:val="00A119A2"/>
    <w:rsid w:val="00A119D8"/>
    <w:rsid w:val="00A11C98"/>
    <w:rsid w:val="00A11CA4"/>
    <w:rsid w:val="00A11CE1"/>
    <w:rsid w:val="00A11F0F"/>
    <w:rsid w:val="00A11F7E"/>
    <w:rsid w:val="00A120FC"/>
    <w:rsid w:val="00A12300"/>
    <w:rsid w:val="00A12338"/>
    <w:rsid w:val="00A1263D"/>
    <w:rsid w:val="00A12706"/>
    <w:rsid w:val="00A12732"/>
    <w:rsid w:val="00A1280D"/>
    <w:rsid w:val="00A12842"/>
    <w:rsid w:val="00A12898"/>
    <w:rsid w:val="00A12978"/>
    <w:rsid w:val="00A12A0F"/>
    <w:rsid w:val="00A12B2F"/>
    <w:rsid w:val="00A12C8A"/>
    <w:rsid w:val="00A12D11"/>
    <w:rsid w:val="00A12E9A"/>
    <w:rsid w:val="00A12F4C"/>
    <w:rsid w:val="00A13055"/>
    <w:rsid w:val="00A1312B"/>
    <w:rsid w:val="00A13137"/>
    <w:rsid w:val="00A13140"/>
    <w:rsid w:val="00A132C4"/>
    <w:rsid w:val="00A13315"/>
    <w:rsid w:val="00A1338C"/>
    <w:rsid w:val="00A13413"/>
    <w:rsid w:val="00A13496"/>
    <w:rsid w:val="00A13565"/>
    <w:rsid w:val="00A13586"/>
    <w:rsid w:val="00A135C3"/>
    <w:rsid w:val="00A13623"/>
    <w:rsid w:val="00A136B2"/>
    <w:rsid w:val="00A13919"/>
    <w:rsid w:val="00A1391C"/>
    <w:rsid w:val="00A139D3"/>
    <w:rsid w:val="00A13B0F"/>
    <w:rsid w:val="00A13C7C"/>
    <w:rsid w:val="00A13D25"/>
    <w:rsid w:val="00A13DA0"/>
    <w:rsid w:val="00A13F6C"/>
    <w:rsid w:val="00A14081"/>
    <w:rsid w:val="00A140C2"/>
    <w:rsid w:val="00A14210"/>
    <w:rsid w:val="00A14388"/>
    <w:rsid w:val="00A143C0"/>
    <w:rsid w:val="00A14590"/>
    <w:rsid w:val="00A147E4"/>
    <w:rsid w:val="00A14839"/>
    <w:rsid w:val="00A14947"/>
    <w:rsid w:val="00A14A3D"/>
    <w:rsid w:val="00A14BA9"/>
    <w:rsid w:val="00A14BF3"/>
    <w:rsid w:val="00A14C86"/>
    <w:rsid w:val="00A14D59"/>
    <w:rsid w:val="00A14E16"/>
    <w:rsid w:val="00A14E78"/>
    <w:rsid w:val="00A151CF"/>
    <w:rsid w:val="00A15212"/>
    <w:rsid w:val="00A15233"/>
    <w:rsid w:val="00A1529B"/>
    <w:rsid w:val="00A154B0"/>
    <w:rsid w:val="00A1563F"/>
    <w:rsid w:val="00A15673"/>
    <w:rsid w:val="00A15757"/>
    <w:rsid w:val="00A157AB"/>
    <w:rsid w:val="00A1583A"/>
    <w:rsid w:val="00A158E8"/>
    <w:rsid w:val="00A15B8B"/>
    <w:rsid w:val="00A15BC3"/>
    <w:rsid w:val="00A15CA4"/>
    <w:rsid w:val="00A15CEF"/>
    <w:rsid w:val="00A15D12"/>
    <w:rsid w:val="00A15D22"/>
    <w:rsid w:val="00A15EB8"/>
    <w:rsid w:val="00A16052"/>
    <w:rsid w:val="00A160A7"/>
    <w:rsid w:val="00A162D9"/>
    <w:rsid w:val="00A162E3"/>
    <w:rsid w:val="00A1637C"/>
    <w:rsid w:val="00A1655E"/>
    <w:rsid w:val="00A16627"/>
    <w:rsid w:val="00A16663"/>
    <w:rsid w:val="00A16739"/>
    <w:rsid w:val="00A168B3"/>
    <w:rsid w:val="00A16A55"/>
    <w:rsid w:val="00A16B61"/>
    <w:rsid w:val="00A16C6E"/>
    <w:rsid w:val="00A16CF3"/>
    <w:rsid w:val="00A16DBE"/>
    <w:rsid w:val="00A16E9A"/>
    <w:rsid w:val="00A16FD5"/>
    <w:rsid w:val="00A171C7"/>
    <w:rsid w:val="00A173B3"/>
    <w:rsid w:val="00A174EA"/>
    <w:rsid w:val="00A174FC"/>
    <w:rsid w:val="00A1771C"/>
    <w:rsid w:val="00A177EB"/>
    <w:rsid w:val="00A179FD"/>
    <w:rsid w:val="00A17E1D"/>
    <w:rsid w:val="00A20024"/>
    <w:rsid w:val="00A20041"/>
    <w:rsid w:val="00A20277"/>
    <w:rsid w:val="00A2028B"/>
    <w:rsid w:val="00A202A4"/>
    <w:rsid w:val="00A204B1"/>
    <w:rsid w:val="00A205C2"/>
    <w:rsid w:val="00A205C3"/>
    <w:rsid w:val="00A20749"/>
    <w:rsid w:val="00A20839"/>
    <w:rsid w:val="00A20A54"/>
    <w:rsid w:val="00A20B6F"/>
    <w:rsid w:val="00A20BA3"/>
    <w:rsid w:val="00A20CE3"/>
    <w:rsid w:val="00A20D13"/>
    <w:rsid w:val="00A20EC3"/>
    <w:rsid w:val="00A21078"/>
    <w:rsid w:val="00A21087"/>
    <w:rsid w:val="00A211AA"/>
    <w:rsid w:val="00A211E6"/>
    <w:rsid w:val="00A214EE"/>
    <w:rsid w:val="00A2153F"/>
    <w:rsid w:val="00A2155A"/>
    <w:rsid w:val="00A215BC"/>
    <w:rsid w:val="00A2160D"/>
    <w:rsid w:val="00A21685"/>
    <w:rsid w:val="00A21769"/>
    <w:rsid w:val="00A217CB"/>
    <w:rsid w:val="00A21890"/>
    <w:rsid w:val="00A21946"/>
    <w:rsid w:val="00A21B1E"/>
    <w:rsid w:val="00A21B6B"/>
    <w:rsid w:val="00A21D6D"/>
    <w:rsid w:val="00A21DFB"/>
    <w:rsid w:val="00A21EA1"/>
    <w:rsid w:val="00A21FF1"/>
    <w:rsid w:val="00A220AB"/>
    <w:rsid w:val="00A221C3"/>
    <w:rsid w:val="00A222AF"/>
    <w:rsid w:val="00A222BD"/>
    <w:rsid w:val="00A2232D"/>
    <w:rsid w:val="00A22450"/>
    <w:rsid w:val="00A22460"/>
    <w:rsid w:val="00A2253E"/>
    <w:rsid w:val="00A226E5"/>
    <w:rsid w:val="00A22730"/>
    <w:rsid w:val="00A2277F"/>
    <w:rsid w:val="00A2298B"/>
    <w:rsid w:val="00A22A65"/>
    <w:rsid w:val="00A22AC1"/>
    <w:rsid w:val="00A22BC1"/>
    <w:rsid w:val="00A22DCF"/>
    <w:rsid w:val="00A22F58"/>
    <w:rsid w:val="00A22F7B"/>
    <w:rsid w:val="00A22FD6"/>
    <w:rsid w:val="00A23121"/>
    <w:rsid w:val="00A23130"/>
    <w:rsid w:val="00A23255"/>
    <w:rsid w:val="00A23288"/>
    <w:rsid w:val="00A23294"/>
    <w:rsid w:val="00A233AC"/>
    <w:rsid w:val="00A23511"/>
    <w:rsid w:val="00A235B4"/>
    <w:rsid w:val="00A2376E"/>
    <w:rsid w:val="00A2384C"/>
    <w:rsid w:val="00A23A0D"/>
    <w:rsid w:val="00A23AC8"/>
    <w:rsid w:val="00A23EA9"/>
    <w:rsid w:val="00A23FC6"/>
    <w:rsid w:val="00A240F1"/>
    <w:rsid w:val="00A240F4"/>
    <w:rsid w:val="00A24151"/>
    <w:rsid w:val="00A24205"/>
    <w:rsid w:val="00A243D7"/>
    <w:rsid w:val="00A244DD"/>
    <w:rsid w:val="00A248ED"/>
    <w:rsid w:val="00A24939"/>
    <w:rsid w:val="00A24A3A"/>
    <w:rsid w:val="00A24C2A"/>
    <w:rsid w:val="00A24EFE"/>
    <w:rsid w:val="00A25136"/>
    <w:rsid w:val="00A251E8"/>
    <w:rsid w:val="00A25481"/>
    <w:rsid w:val="00A25590"/>
    <w:rsid w:val="00A255B0"/>
    <w:rsid w:val="00A2564F"/>
    <w:rsid w:val="00A256D3"/>
    <w:rsid w:val="00A256EA"/>
    <w:rsid w:val="00A2579D"/>
    <w:rsid w:val="00A25843"/>
    <w:rsid w:val="00A258AF"/>
    <w:rsid w:val="00A258C2"/>
    <w:rsid w:val="00A25949"/>
    <w:rsid w:val="00A25973"/>
    <w:rsid w:val="00A25D0C"/>
    <w:rsid w:val="00A25FC4"/>
    <w:rsid w:val="00A262EB"/>
    <w:rsid w:val="00A263BF"/>
    <w:rsid w:val="00A26591"/>
    <w:rsid w:val="00A265C8"/>
    <w:rsid w:val="00A26721"/>
    <w:rsid w:val="00A267B3"/>
    <w:rsid w:val="00A267F9"/>
    <w:rsid w:val="00A2687A"/>
    <w:rsid w:val="00A269B1"/>
    <w:rsid w:val="00A26A4C"/>
    <w:rsid w:val="00A26EB2"/>
    <w:rsid w:val="00A26ED0"/>
    <w:rsid w:val="00A27039"/>
    <w:rsid w:val="00A27085"/>
    <w:rsid w:val="00A270BD"/>
    <w:rsid w:val="00A271D6"/>
    <w:rsid w:val="00A27236"/>
    <w:rsid w:val="00A272DA"/>
    <w:rsid w:val="00A275B3"/>
    <w:rsid w:val="00A275CA"/>
    <w:rsid w:val="00A275EB"/>
    <w:rsid w:val="00A277D5"/>
    <w:rsid w:val="00A27858"/>
    <w:rsid w:val="00A27B25"/>
    <w:rsid w:val="00A27C09"/>
    <w:rsid w:val="00A27CFD"/>
    <w:rsid w:val="00A27D0F"/>
    <w:rsid w:val="00A27EC5"/>
    <w:rsid w:val="00A300A5"/>
    <w:rsid w:val="00A3018C"/>
    <w:rsid w:val="00A30207"/>
    <w:rsid w:val="00A30387"/>
    <w:rsid w:val="00A303C7"/>
    <w:rsid w:val="00A30418"/>
    <w:rsid w:val="00A3067D"/>
    <w:rsid w:val="00A309E2"/>
    <w:rsid w:val="00A30B76"/>
    <w:rsid w:val="00A30D61"/>
    <w:rsid w:val="00A30DD7"/>
    <w:rsid w:val="00A30F2A"/>
    <w:rsid w:val="00A30FC8"/>
    <w:rsid w:val="00A311C6"/>
    <w:rsid w:val="00A311CC"/>
    <w:rsid w:val="00A313D3"/>
    <w:rsid w:val="00A313E9"/>
    <w:rsid w:val="00A31422"/>
    <w:rsid w:val="00A3166F"/>
    <w:rsid w:val="00A316A0"/>
    <w:rsid w:val="00A3193B"/>
    <w:rsid w:val="00A31947"/>
    <w:rsid w:val="00A31961"/>
    <w:rsid w:val="00A31C14"/>
    <w:rsid w:val="00A31CD4"/>
    <w:rsid w:val="00A31DBB"/>
    <w:rsid w:val="00A31FDD"/>
    <w:rsid w:val="00A32067"/>
    <w:rsid w:val="00A322D7"/>
    <w:rsid w:val="00A325DE"/>
    <w:rsid w:val="00A32790"/>
    <w:rsid w:val="00A327BB"/>
    <w:rsid w:val="00A327ED"/>
    <w:rsid w:val="00A3288D"/>
    <w:rsid w:val="00A328A5"/>
    <w:rsid w:val="00A32992"/>
    <w:rsid w:val="00A32A83"/>
    <w:rsid w:val="00A32A96"/>
    <w:rsid w:val="00A32E31"/>
    <w:rsid w:val="00A32FD7"/>
    <w:rsid w:val="00A3300C"/>
    <w:rsid w:val="00A3316A"/>
    <w:rsid w:val="00A3323C"/>
    <w:rsid w:val="00A33326"/>
    <w:rsid w:val="00A333A8"/>
    <w:rsid w:val="00A33565"/>
    <w:rsid w:val="00A33627"/>
    <w:rsid w:val="00A33640"/>
    <w:rsid w:val="00A33655"/>
    <w:rsid w:val="00A3369F"/>
    <w:rsid w:val="00A338B2"/>
    <w:rsid w:val="00A33A53"/>
    <w:rsid w:val="00A33FB5"/>
    <w:rsid w:val="00A33FC0"/>
    <w:rsid w:val="00A34027"/>
    <w:rsid w:val="00A340B1"/>
    <w:rsid w:val="00A341E6"/>
    <w:rsid w:val="00A3424E"/>
    <w:rsid w:val="00A345A9"/>
    <w:rsid w:val="00A34633"/>
    <w:rsid w:val="00A3484E"/>
    <w:rsid w:val="00A34895"/>
    <w:rsid w:val="00A3492F"/>
    <w:rsid w:val="00A34A08"/>
    <w:rsid w:val="00A34AF1"/>
    <w:rsid w:val="00A34B86"/>
    <w:rsid w:val="00A34CAA"/>
    <w:rsid w:val="00A34D43"/>
    <w:rsid w:val="00A34D86"/>
    <w:rsid w:val="00A34D8F"/>
    <w:rsid w:val="00A34E5A"/>
    <w:rsid w:val="00A34E93"/>
    <w:rsid w:val="00A35176"/>
    <w:rsid w:val="00A351E7"/>
    <w:rsid w:val="00A353C2"/>
    <w:rsid w:val="00A354A0"/>
    <w:rsid w:val="00A354F0"/>
    <w:rsid w:val="00A354F7"/>
    <w:rsid w:val="00A35577"/>
    <w:rsid w:val="00A35692"/>
    <w:rsid w:val="00A356CA"/>
    <w:rsid w:val="00A357BA"/>
    <w:rsid w:val="00A358A5"/>
    <w:rsid w:val="00A35932"/>
    <w:rsid w:val="00A35D4B"/>
    <w:rsid w:val="00A35DB7"/>
    <w:rsid w:val="00A35E67"/>
    <w:rsid w:val="00A35E6D"/>
    <w:rsid w:val="00A362EE"/>
    <w:rsid w:val="00A36394"/>
    <w:rsid w:val="00A3661C"/>
    <w:rsid w:val="00A36735"/>
    <w:rsid w:val="00A36746"/>
    <w:rsid w:val="00A3678F"/>
    <w:rsid w:val="00A368DB"/>
    <w:rsid w:val="00A36E43"/>
    <w:rsid w:val="00A36EA6"/>
    <w:rsid w:val="00A36FBD"/>
    <w:rsid w:val="00A36FFD"/>
    <w:rsid w:val="00A3704B"/>
    <w:rsid w:val="00A37109"/>
    <w:rsid w:val="00A3714C"/>
    <w:rsid w:val="00A371B7"/>
    <w:rsid w:val="00A37392"/>
    <w:rsid w:val="00A373C2"/>
    <w:rsid w:val="00A373D0"/>
    <w:rsid w:val="00A3757B"/>
    <w:rsid w:val="00A37605"/>
    <w:rsid w:val="00A37638"/>
    <w:rsid w:val="00A377B8"/>
    <w:rsid w:val="00A37866"/>
    <w:rsid w:val="00A378F7"/>
    <w:rsid w:val="00A37A26"/>
    <w:rsid w:val="00A37C3D"/>
    <w:rsid w:val="00A37E43"/>
    <w:rsid w:val="00A37EBC"/>
    <w:rsid w:val="00A400EC"/>
    <w:rsid w:val="00A40183"/>
    <w:rsid w:val="00A405D6"/>
    <w:rsid w:val="00A408A3"/>
    <w:rsid w:val="00A4095B"/>
    <w:rsid w:val="00A40A97"/>
    <w:rsid w:val="00A40EAA"/>
    <w:rsid w:val="00A40F6C"/>
    <w:rsid w:val="00A40F74"/>
    <w:rsid w:val="00A41068"/>
    <w:rsid w:val="00A410F6"/>
    <w:rsid w:val="00A41137"/>
    <w:rsid w:val="00A411BF"/>
    <w:rsid w:val="00A41252"/>
    <w:rsid w:val="00A413DE"/>
    <w:rsid w:val="00A4142F"/>
    <w:rsid w:val="00A4158E"/>
    <w:rsid w:val="00A415F6"/>
    <w:rsid w:val="00A41745"/>
    <w:rsid w:val="00A418D9"/>
    <w:rsid w:val="00A41DF0"/>
    <w:rsid w:val="00A42145"/>
    <w:rsid w:val="00A421F2"/>
    <w:rsid w:val="00A423AA"/>
    <w:rsid w:val="00A423F2"/>
    <w:rsid w:val="00A4280C"/>
    <w:rsid w:val="00A42845"/>
    <w:rsid w:val="00A42971"/>
    <w:rsid w:val="00A42A0F"/>
    <w:rsid w:val="00A42A18"/>
    <w:rsid w:val="00A42B57"/>
    <w:rsid w:val="00A42B5F"/>
    <w:rsid w:val="00A42C97"/>
    <w:rsid w:val="00A42E30"/>
    <w:rsid w:val="00A42FB8"/>
    <w:rsid w:val="00A4300F"/>
    <w:rsid w:val="00A4303D"/>
    <w:rsid w:val="00A430A9"/>
    <w:rsid w:val="00A431B5"/>
    <w:rsid w:val="00A432E1"/>
    <w:rsid w:val="00A43530"/>
    <w:rsid w:val="00A437B4"/>
    <w:rsid w:val="00A4389F"/>
    <w:rsid w:val="00A43916"/>
    <w:rsid w:val="00A439CC"/>
    <w:rsid w:val="00A439F0"/>
    <w:rsid w:val="00A43A48"/>
    <w:rsid w:val="00A43A5E"/>
    <w:rsid w:val="00A43B38"/>
    <w:rsid w:val="00A43C76"/>
    <w:rsid w:val="00A43D7A"/>
    <w:rsid w:val="00A43E6C"/>
    <w:rsid w:val="00A44245"/>
    <w:rsid w:val="00A444A3"/>
    <w:rsid w:val="00A44540"/>
    <w:rsid w:val="00A445D4"/>
    <w:rsid w:val="00A44641"/>
    <w:rsid w:val="00A44693"/>
    <w:rsid w:val="00A447C2"/>
    <w:rsid w:val="00A44956"/>
    <w:rsid w:val="00A44A20"/>
    <w:rsid w:val="00A44B1E"/>
    <w:rsid w:val="00A44C1A"/>
    <w:rsid w:val="00A44C57"/>
    <w:rsid w:val="00A44E79"/>
    <w:rsid w:val="00A44E90"/>
    <w:rsid w:val="00A44F0B"/>
    <w:rsid w:val="00A44F77"/>
    <w:rsid w:val="00A4503F"/>
    <w:rsid w:val="00A450B2"/>
    <w:rsid w:val="00A450C6"/>
    <w:rsid w:val="00A45254"/>
    <w:rsid w:val="00A4525F"/>
    <w:rsid w:val="00A4529D"/>
    <w:rsid w:val="00A45363"/>
    <w:rsid w:val="00A45397"/>
    <w:rsid w:val="00A454CA"/>
    <w:rsid w:val="00A45526"/>
    <w:rsid w:val="00A4558C"/>
    <w:rsid w:val="00A456F8"/>
    <w:rsid w:val="00A4592F"/>
    <w:rsid w:val="00A45991"/>
    <w:rsid w:val="00A45A80"/>
    <w:rsid w:val="00A45B24"/>
    <w:rsid w:val="00A45C5B"/>
    <w:rsid w:val="00A45D3E"/>
    <w:rsid w:val="00A45D48"/>
    <w:rsid w:val="00A45D5A"/>
    <w:rsid w:val="00A45DBF"/>
    <w:rsid w:val="00A45DC3"/>
    <w:rsid w:val="00A4603B"/>
    <w:rsid w:val="00A464C1"/>
    <w:rsid w:val="00A4654E"/>
    <w:rsid w:val="00A466D4"/>
    <w:rsid w:val="00A46729"/>
    <w:rsid w:val="00A4675A"/>
    <w:rsid w:val="00A46780"/>
    <w:rsid w:val="00A46814"/>
    <w:rsid w:val="00A46871"/>
    <w:rsid w:val="00A46A6D"/>
    <w:rsid w:val="00A46AA3"/>
    <w:rsid w:val="00A46AFD"/>
    <w:rsid w:val="00A46C81"/>
    <w:rsid w:val="00A46D3E"/>
    <w:rsid w:val="00A46D8F"/>
    <w:rsid w:val="00A46F42"/>
    <w:rsid w:val="00A47302"/>
    <w:rsid w:val="00A47461"/>
    <w:rsid w:val="00A476B0"/>
    <w:rsid w:val="00A476B8"/>
    <w:rsid w:val="00A478C8"/>
    <w:rsid w:val="00A47CB5"/>
    <w:rsid w:val="00A47CE1"/>
    <w:rsid w:val="00A47DB4"/>
    <w:rsid w:val="00A47F4A"/>
    <w:rsid w:val="00A47F86"/>
    <w:rsid w:val="00A50158"/>
    <w:rsid w:val="00A5018F"/>
    <w:rsid w:val="00A502CB"/>
    <w:rsid w:val="00A503EE"/>
    <w:rsid w:val="00A507AC"/>
    <w:rsid w:val="00A507C6"/>
    <w:rsid w:val="00A50842"/>
    <w:rsid w:val="00A50E8A"/>
    <w:rsid w:val="00A50FFC"/>
    <w:rsid w:val="00A51035"/>
    <w:rsid w:val="00A5145C"/>
    <w:rsid w:val="00A51616"/>
    <w:rsid w:val="00A517AE"/>
    <w:rsid w:val="00A51859"/>
    <w:rsid w:val="00A518D6"/>
    <w:rsid w:val="00A51A04"/>
    <w:rsid w:val="00A51A1A"/>
    <w:rsid w:val="00A51E93"/>
    <w:rsid w:val="00A51F30"/>
    <w:rsid w:val="00A523F2"/>
    <w:rsid w:val="00A5252A"/>
    <w:rsid w:val="00A52616"/>
    <w:rsid w:val="00A529E1"/>
    <w:rsid w:val="00A52C14"/>
    <w:rsid w:val="00A52C50"/>
    <w:rsid w:val="00A52C59"/>
    <w:rsid w:val="00A52D74"/>
    <w:rsid w:val="00A52FC2"/>
    <w:rsid w:val="00A52FDC"/>
    <w:rsid w:val="00A53091"/>
    <w:rsid w:val="00A5344D"/>
    <w:rsid w:val="00A53452"/>
    <w:rsid w:val="00A53525"/>
    <w:rsid w:val="00A537B7"/>
    <w:rsid w:val="00A538BD"/>
    <w:rsid w:val="00A539F9"/>
    <w:rsid w:val="00A53A82"/>
    <w:rsid w:val="00A53ABE"/>
    <w:rsid w:val="00A53B41"/>
    <w:rsid w:val="00A53C26"/>
    <w:rsid w:val="00A53C6F"/>
    <w:rsid w:val="00A53E2F"/>
    <w:rsid w:val="00A53E47"/>
    <w:rsid w:val="00A53EC6"/>
    <w:rsid w:val="00A53F66"/>
    <w:rsid w:val="00A53FF5"/>
    <w:rsid w:val="00A54102"/>
    <w:rsid w:val="00A54151"/>
    <w:rsid w:val="00A5424F"/>
    <w:rsid w:val="00A542D7"/>
    <w:rsid w:val="00A5437B"/>
    <w:rsid w:val="00A54460"/>
    <w:rsid w:val="00A54601"/>
    <w:rsid w:val="00A5462A"/>
    <w:rsid w:val="00A548BA"/>
    <w:rsid w:val="00A54D0C"/>
    <w:rsid w:val="00A54D67"/>
    <w:rsid w:val="00A54DF8"/>
    <w:rsid w:val="00A55060"/>
    <w:rsid w:val="00A55294"/>
    <w:rsid w:val="00A55323"/>
    <w:rsid w:val="00A554E1"/>
    <w:rsid w:val="00A554FF"/>
    <w:rsid w:val="00A55503"/>
    <w:rsid w:val="00A558C5"/>
    <w:rsid w:val="00A558E9"/>
    <w:rsid w:val="00A55B74"/>
    <w:rsid w:val="00A55C0F"/>
    <w:rsid w:val="00A55C43"/>
    <w:rsid w:val="00A55E41"/>
    <w:rsid w:val="00A55EC4"/>
    <w:rsid w:val="00A55F2F"/>
    <w:rsid w:val="00A55FCD"/>
    <w:rsid w:val="00A56053"/>
    <w:rsid w:val="00A560E7"/>
    <w:rsid w:val="00A56119"/>
    <w:rsid w:val="00A5631B"/>
    <w:rsid w:val="00A56393"/>
    <w:rsid w:val="00A564B2"/>
    <w:rsid w:val="00A564F6"/>
    <w:rsid w:val="00A56718"/>
    <w:rsid w:val="00A56916"/>
    <w:rsid w:val="00A56AFC"/>
    <w:rsid w:val="00A56BB7"/>
    <w:rsid w:val="00A56C3C"/>
    <w:rsid w:val="00A56C9C"/>
    <w:rsid w:val="00A56D5E"/>
    <w:rsid w:val="00A56DA9"/>
    <w:rsid w:val="00A56DF7"/>
    <w:rsid w:val="00A56E51"/>
    <w:rsid w:val="00A56E99"/>
    <w:rsid w:val="00A5705D"/>
    <w:rsid w:val="00A5737E"/>
    <w:rsid w:val="00A5737F"/>
    <w:rsid w:val="00A57401"/>
    <w:rsid w:val="00A57455"/>
    <w:rsid w:val="00A575F4"/>
    <w:rsid w:val="00A57644"/>
    <w:rsid w:val="00A57A88"/>
    <w:rsid w:val="00A57B0A"/>
    <w:rsid w:val="00A57BBE"/>
    <w:rsid w:val="00A57BD4"/>
    <w:rsid w:val="00A57D81"/>
    <w:rsid w:val="00A57DA3"/>
    <w:rsid w:val="00A57DD4"/>
    <w:rsid w:val="00A57F7B"/>
    <w:rsid w:val="00A60156"/>
    <w:rsid w:val="00A602B1"/>
    <w:rsid w:val="00A6041E"/>
    <w:rsid w:val="00A604A8"/>
    <w:rsid w:val="00A604FB"/>
    <w:rsid w:val="00A60507"/>
    <w:rsid w:val="00A60590"/>
    <w:rsid w:val="00A60859"/>
    <w:rsid w:val="00A60A43"/>
    <w:rsid w:val="00A60C86"/>
    <w:rsid w:val="00A60CB1"/>
    <w:rsid w:val="00A60CFC"/>
    <w:rsid w:val="00A60DB8"/>
    <w:rsid w:val="00A60E2A"/>
    <w:rsid w:val="00A611C4"/>
    <w:rsid w:val="00A61306"/>
    <w:rsid w:val="00A61367"/>
    <w:rsid w:val="00A61450"/>
    <w:rsid w:val="00A61479"/>
    <w:rsid w:val="00A614E7"/>
    <w:rsid w:val="00A615D3"/>
    <w:rsid w:val="00A615DE"/>
    <w:rsid w:val="00A6162F"/>
    <w:rsid w:val="00A616EB"/>
    <w:rsid w:val="00A6171D"/>
    <w:rsid w:val="00A617E4"/>
    <w:rsid w:val="00A619E2"/>
    <w:rsid w:val="00A61A14"/>
    <w:rsid w:val="00A61BDA"/>
    <w:rsid w:val="00A61C40"/>
    <w:rsid w:val="00A61E78"/>
    <w:rsid w:val="00A61E8A"/>
    <w:rsid w:val="00A61F08"/>
    <w:rsid w:val="00A62044"/>
    <w:rsid w:val="00A620C3"/>
    <w:rsid w:val="00A62153"/>
    <w:rsid w:val="00A621BB"/>
    <w:rsid w:val="00A621D1"/>
    <w:rsid w:val="00A6242F"/>
    <w:rsid w:val="00A62563"/>
    <w:rsid w:val="00A6256A"/>
    <w:rsid w:val="00A627FA"/>
    <w:rsid w:val="00A62CA3"/>
    <w:rsid w:val="00A62E1E"/>
    <w:rsid w:val="00A62F62"/>
    <w:rsid w:val="00A63012"/>
    <w:rsid w:val="00A630C6"/>
    <w:rsid w:val="00A6315F"/>
    <w:rsid w:val="00A63298"/>
    <w:rsid w:val="00A63304"/>
    <w:rsid w:val="00A6345C"/>
    <w:rsid w:val="00A63496"/>
    <w:rsid w:val="00A634AB"/>
    <w:rsid w:val="00A6350C"/>
    <w:rsid w:val="00A636BE"/>
    <w:rsid w:val="00A63779"/>
    <w:rsid w:val="00A637C0"/>
    <w:rsid w:val="00A638CC"/>
    <w:rsid w:val="00A639A3"/>
    <w:rsid w:val="00A63AB9"/>
    <w:rsid w:val="00A63B92"/>
    <w:rsid w:val="00A63ED7"/>
    <w:rsid w:val="00A63EDB"/>
    <w:rsid w:val="00A63FF5"/>
    <w:rsid w:val="00A640AD"/>
    <w:rsid w:val="00A64142"/>
    <w:rsid w:val="00A641DF"/>
    <w:rsid w:val="00A642C9"/>
    <w:rsid w:val="00A645D0"/>
    <w:rsid w:val="00A6473E"/>
    <w:rsid w:val="00A64D8F"/>
    <w:rsid w:val="00A64D97"/>
    <w:rsid w:val="00A64DD3"/>
    <w:rsid w:val="00A64FBC"/>
    <w:rsid w:val="00A6504E"/>
    <w:rsid w:val="00A651C7"/>
    <w:rsid w:val="00A65416"/>
    <w:rsid w:val="00A6565E"/>
    <w:rsid w:val="00A656C5"/>
    <w:rsid w:val="00A65729"/>
    <w:rsid w:val="00A6590F"/>
    <w:rsid w:val="00A65A20"/>
    <w:rsid w:val="00A65A95"/>
    <w:rsid w:val="00A65AA2"/>
    <w:rsid w:val="00A65F53"/>
    <w:rsid w:val="00A6603B"/>
    <w:rsid w:val="00A6621E"/>
    <w:rsid w:val="00A666ED"/>
    <w:rsid w:val="00A667C4"/>
    <w:rsid w:val="00A667FD"/>
    <w:rsid w:val="00A668BD"/>
    <w:rsid w:val="00A668CB"/>
    <w:rsid w:val="00A66A2A"/>
    <w:rsid w:val="00A66B28"/>
    <w:rsid w:val="00A66D7E"/>
    <w:rsid w:val="00A66DA0"/>
    <w:rsid w:val="00A66F18"/>
    <w:rsid w:val="00A66F77"/>
    <w:rsid w:val="00A66FB0"/>
    <w:rsid w:val="00A66FF3"/>
    <w:rsid w:val="00A6702F"/>
    <w:rsid w:val="00A67071"/>
    <w:rsid w:val="00A6710D"/>
    <w:rsid w:val="00A67157"/>
    <w:rsid w:val="00A67443"/>
    <w:rsid w:val="00A67558"/>
    <w:rsid w:val="00A675D3"/>
    <w:rsid w:val="00A67911"/>
    <w:rsid w:val="00A67BE1"/>
    <w:rsid w:val="00A67CDF"/>
    <w:rsid w:val="00A67CF8"/>
    <w:rsid w:val="00A67D67"/>
    <w:rsid w:val="00A67ECE"/>
    <w:rsid w:val="00A67F50"/>
    <w:rsid w:val="00A67FFD"/>
    <w:rsid w:val="00A700BE"/>
    <w:rsid w:val="00A7016D"/>
    <w:rsid w:val="00A7055C"/>
    <w:rsid w:val="00A705CB"/>
    <w:rsid w:val="00A70782"/>
    <w:rsid w:val="00A70799"/>
    <w:rsid w:val="00A70986"/>
    <w:rsid w:val="00A70E03"/>
    <w:rsid w:val="00A710CE"/>
    <w:rsid w:val="00A7111B"/>
    <w:rsid w:val="00A711C5"/>
    <w:rsid w:val="00A711D1"/>
    <w:rsid w:val="00A7120B"/>
    <w:rsid w:val="00A712AA"/>
    <w:rsid w:val="00A71400"/>
    <w:rsid w:val="00A714F4"/>
    <w:rsid w:val="00A71541"/>
    <w:rsid w:val="00A7164C"/>
    <w:rsid w:val="00A716AC"/>
    <w:rsid w:val="00A716B2"/>
    <w:rsid w:val="00A71781"/>
    <w:rsid w:val="00A71807"/>
    <w:rsid w:val="00A71812"/>
    <w:rsid w:val="00A71905"/>
    <w:rsid w:val="00A719EF"/>
    <w:rsid w:val="00A71A1F"/>
    <w:rsid w:val="00A71BEC"/>
    <w:rsid w:val="00A71E46"/>
    <w:rsid w:val="00A71EF1"/>
    <w:rsid w:val="00A72018"/>
    <w:rsid w:val="00A7222A"/>
    <w:rsid w:val="00A7225B"/>
    <w:rsid w:val="00A722AD"/>
    <w:rsid w:val="00A723B3"/>
    <w:rsid w:val="00A723DB"/>
    <w:rsid w:val="00A72426"/>
    <w:rsid w:val="00A725FF"/>
    <w:rsid w:val="00A72CE3"/>
    <w:rsid w:val="00A72E62"/>
    <w:rsid w:val="00A72EE3"/>
    <w:rsid w:val="00A72FD0"/>
    <w:rsid w:val="00A73031"/>
    <w:rsid w:val="00A73049"/>
    <w:rsid w:val="00A731B0"/>
    <w:rsid w:val="00A73306"/>
    <w:rsid w:val="00A733C8"/>
    <w:rsid w:val="00A733CD"/>
    <w:rsid w:val="00A73477"/>
    <w:rsid w:val="00A735FD"/>
    <w:rsid w:val="00A73774"/>
    <w:rsid w:val="00A7379B"/>
    <w:rsid w:val="00A738E3"/>
    <w:rsid w:val="00A73B96"/>
    <w:rsid w:val="00A73BAD"/>
    <w:rsid w:val="00A73DD2"/>
    <w:rsid w:val="00A7421E"/>
    <w:rsid w:val="00A7454A"/>
    <w:rsid w:val="00A748C6"/>
    <w:rsid w:val="00A749AD"/>
    <w:rsid w:val="00A74A8E"/>
    <w:rsid w:val="00A74DBD"/>
    <w:rsid w:val="00A74E72"/>
    <w:rsid w:val="00A75566"/>
    <w:rsid w:val="00A757D5"/>
    <w:rsid w:val="00A7595C"/>
    <w:rsid w:val="00A7596A"/>
    <w:rsid w:val="00A75A0D"/>
    <w:rsid w:val="00A75B7E"/>
    <w:rsid w:val="00A75B92"/>
    <w:rsid w:val="00A75BE7"/>
    <w:rsid w:val="00A75C44"/>
    <w:rsid w:val="00A75C69"/>
    <w:rsid w:val="00A75E67"/>
    <w:rsid w:val="00A75F0A"/>
    <w:rsid w:val="00A7604A"/>
    <w:rsid w:val="00A762CA"/>
    <w:rsid w:val="00A7632E"/>
    <w:rsid w:val="00A76517"/>
    <w:rsid w:val="00A767C0"/>
    <w:rsid w:val="00A76A39"/>
    <w:rsid w:val="00A76B3C"/>
    <w:rsid w:val="00A76CD8"/>
    <w:rsid w:val="00A76D4F"/>
    <w:rsid w:val="00A76DA4"/>
    <w:rsid w:val="00A76DFC"/>
    <w:rsid w:val="00A76ED8"/>
    <w:rsid w:val="00A76FFD"/>
    <w:rsid w:val="00A7706C"/>
    <w:rsid w:val="00A771B5"/>
    <w:rsid w:val="00A771DC"/>
    <w:rsid w:val="00A772CA"/>
    <w:rsid w:val="00A7743A"/>
    <w:rsid w:val="00A77748"/>
    <w:rsid w:val="00A7797D"/>
    <w:rsid w:val="00A779DB"/>
    <w:rsid w:val="00A77A88"/>
    <w:rsid w:val="00A77B11"/>
    <w:rsid w:val="00A77B2F"/>
    <w:rsid w:val="00A77BB1"/>
    <w:rsid w:val="00A77C44"/>
    <w:rsid w:val="00A77CA1"/>
    <w:rsid w:val="00A77EBC"/>
    <w:rsid w:val="00A80163"/>
    <w:rsid w:val="00A80225"/>
    <w:rsid w:val="00A8023D"/>
    <w:rsid w:val="00A8039F"/>
    <w:rsid w:val="00A8063D"/>
    <w:rsid w:val="00A80676"/>
    <w:rsid w:val="00A80744"/>
    <w:rsid w:val="00A80AFF"/>
    <w:rsid w:val="00A80F93"/>
    <w:rsid w:val="00A80FB7"/>
    <w:rsid w:val="00A8100D"/>
    <w:rsid w:val="00A810A6"/>
    <w:rsid w:val="00A811CE"/>
    <w:rsid w:val="00A8121D"/>
    <w:rsid w:val="00A8123D"/>
    <w:rsid w:val="00A8132B"/>
    <w:rsid w:val="00A8155A"/>
    <w:rsid w:val="00A81562"/>
    <w:rsid w:val="00A81648"/>
    <w:rsid w:val="00A8165F"/>
    <w:rsid w:val="00A81792"/>
    <w:rsid w:val="00A817B4"/>
    <w:rsid w:val="00A817E8"/>
    <w:rsid w:val="00A81A8E"/>
    <w:rsid w:val="00A81AA5"/>
    <w:rsid w:val="00A81E9B"/>
    <w:rsid w:val="00A81FBF"/>
    <w:rsid w:val="00A82069"/>
    <w:rsid w:val="00A820B9"/>
    <w:rsid w:val="00A82130"/>
    <w:rsid w:val="00A8244A"/>
    <w:rsid w:val="00A825B2"/>
    <w:rsid w:val="00A82692"/>
    <w:rsid w:val="00A8286D"/>
    <w:rsid w:val="00A82951"/>
    <w:rsid w:val="00A82994"/>
    <w:rsid w:val="00A82ABB"/>
    <w:rsid w:val="00A82C2A"/>
    <w:rsid w:val="00A82CAF"/>
    <w:rsid w:val="00A82DC4"/>
    <w:rsid w:val="00A83239"/>
    <w:rsid w:val="00A832F1"/>
    <w:rsid w:val="00A833EB"/>
    <w:rsid w:val="00A835D7"/>
    <w:rsid w:val="00A835E6"/>
    <w:rsid w:val="00A83619"/>
    <w:rsid w:val="00A8366C"/>
    <w:rsid w:val="00A83A35"/>
    <w:rsid w:val="00A83B09"/>
    <w:rsid w:val="00A83B91"/>
    <w:rsid w:val="00A83C0A"/>
    <w:rsid w:val="00A83D50"/>
    <w:rsid w:val="00A83D5A"/>
    <w:rsid w:val="00A83E78"/>
    <w:rsid w:val="00A840BD"/>
    <w:rsid w:val="00A8411E"/>
    <w:rsid w:val="00A84167"/>
    <w:rsid w:val="00A841A7"/>
    <w:rsid w:val="00A846CD"/>
    <w:rsid w:val="00A847FF"/>
    <w:rsid w:val="00A84850"/>
    <w:rsid w:val="00A848E2"/>
    <w:rsid w:val="00A84BDD"/>
    <w:rsid w:val="00A84CA8"/>
    <w:rsid w:val="00A84FF9"/>
    <w:rsid w:val="00A850DB"/>
    <w:rsid w:val="00A8514C"/>
    <w:rsid w:val="00A851F4"/>
    <w:rsid w:val="00A852C6"/>
    <w:rsid w:val="00A8546D"/>
    <w:rsid w:val="00A85772"/>
    <w:rsid w:val="00A85AEC"/>
    <w:rsid w:val="00A85C12"/>
    <w:rsid w:val="00A85C25"/>
    <w:rsid w:val="00A85D7F"/>
    <w:rsid w:val="00A85DB5"/>
    <w:rsid w:val="00A85DE1"/>
    <w:rsid w:val="00A85F3C"/>
    <w:rsid w:val="00A85F76"/>
    <w:rsid w:val="00A85F82"/>
    <w:rsid w:val="00A8607F"/>
    <w:rsid w:val="00A8625A"/>
    <w:rsid w:val="00A863CB"/>
    <w:rsid w:val="00A86500"/>
    <w:rsid w:val="00A86575"/>
    <w:rsid w:val="00A866DC"/>
    <w:rsid w:val="00A8684E"/>
    <w:rsid w:val="00A8689B"/>
    <w:rsid w:val="00A86A7D"/>
    <w:rsid w:val="00A86C97"/>
    <w:rsid w:val="00A86DA0"/>
    <w:rsid w:val="00A86E00"/>
    <w:rsid w:val="00A86E1A"/>
    <w:rsid w:val="00A86E85"/>
    <w:rsid w:val="00A86F58"/>
    <w:rsid w:val="00A86FC1"/>
    <w:rsid w:val="00A86FEF"/>
    <w:rsid w:val="00A8713F"/>
    <w:rsid w:val="00A87224"/>
    <w:rsid w:val="00A87236"/>
    <w:rsid w:val="00A872BC"/>
    <w:rsid w:val="00A874A6"/>
    <w:rsid w:val="00A877C3"/>
    <w:rsid w:val="00A877D2"/>
    <w:rsid w:val="00A879B4"/>
    <w:rsid w:val="00A87BF1"/>
    <w:rsid w:val="00A87CCD"/>
    <w:rsid w:val="00A87D89"/>
    <w:rsid w:val="00A87DB5"/>
    <w:rsid w:val="00A87DBC"/>
    <w:rsid w:val="00A87DD2"/>
    <w:rsid w:val="00A90025"/>
    <w:rsid w:val="00A9018D"/>
    <w:rsid w:val="00A9032E"/>
    <w:rsid w:val="00A90398"/>
    <w:rsid w:val="00A903CD"/>
    <w:rsid w:val="00A903F3"/>
    <w:rsid w:val="00A904EF"/>
    <w:rsid w:val="00A90517"/>
    <w:rsid w:val="00A907AC"/>
    <w:rsid w:val="00A909DF"/>
    <w:rsid w:val="00A90ABC"/>
    <w:rsid w:val="00A90ADC"/>
    <w:rsid w:val="00A90BA1"/>
    <w:rsid w:val="00A90DC5"/>
    <w:rsid w:val="00A90DD9"/>
    <w:rsid w:val="00A90E92"/>
    <w:rsid w:val="00A91007"/>
    <w:rsid w:val="00A91036"/>
    <w:rsid w:val="00A9108E"/>
    <w:rsid w:val="00A91095"/>
    <w:rsid w:val="00A91178"/>
    <w:rsid w:val="00A911A0"/>
    <w:rsid w:val="00A91223"/>
    <w:rsid w:val="00A9126F"/>
    <w:rsid w:val="00A91312"/>
    <w:rsid w:val="00A91527"/>
    <w:rsid w:val="00A916A8"/>
    <w:rsid w:val="00A91720"/>
    <w:rsid w:val="00A918D6"/>
    <w:rsid w:val="00A91A04"/>
    <w:rsid w:val="00A91AA1"/>
    <w:rsid w:val="00A91B52"/>
    <w:rsid w:val="00A91BE3"/>
    <w:rsid w:val="00A91CA1"/>
    <w:rsid w:val="00A91CCF"/>
    <w:rsid w:val="00A91CD6"/>
    <w:rsid w:val="00A91E32"/>
    <w:rsid w:val="00A91EB0"/>
    <w:rsid w:val="00A91F08"/>
    <w:rsid w:val="00A91F27"/>
    <w:rsid w:val="00A91F2F"/>
    <w:rsid w:val="00A91F38"/>
    <w:rsid w:val="00A91FEC"/>
    <w:rsid w:val="00A922C0"/>
    <w:rsid w:val="00A92307"/>
    <w:rsid w:val="00A92793"/>
    <w:rsid w:val="00A9287D"/>
    <w:rsid w:val="00A9292E"/>
    <w:rsid w:val="00A929D8"/>
    <w:rsid w:val="00A92A2E"/>
    <w:rsid w:val="00A92B70"/>
    <w:rsid w:val="00A92BC9"/>
    <w:rsid w:val="00A92EA4"/>
    <w:rsid w:val="00A92F2B"/>
    <w:rsid w:val="00A9300A"/>
    <w:rsid w:val="00A9335D"/>
    <w:rsid w:val="00A93364"/>
    <w:rsid w:val="00A934AB"/>
    <w:rsid w:val="00A93532"/>
    <w:rsid w:val="00A938F7"/>
    <w:rsid w:val="00A93A00"/>
    <w:rsid w:val="00A93B13"/>
    <w:rsid w:val="00A93D88"/>
    <w:rsid w:val="00A93DDD"/>
    <w:rsid w:val="00A93E52"/>
    <w:rsid w:val="00A94287"/>
    <w:rsid w:val="00A94340"/>
    <w:rsid w:val="00A947F9"/>
    <w:rsid w:val="00A94B05"/>
    <w:rsid w:val="00A94E23"/>
    <w:rsid w:val="00A94EBA"/>
    <w:rsid w:val="00A94F8F"/>
    <w:rsid w:val="00A95126"/>
    <w:rsid w:val="00A95138"/>
    <w:rsid w:val="00A9515C"/>
    <w:rsid w:val="00A951EE"/>
    <w:rsid w:val="00A95363"/>
    <w:rsid w:val="00A953C7"/>
    <w:rsid w:val="00A95420"/>
    <w:rsid w:val="00A9593E"/>
    <w:rsid w:val="00A95BB1"/>
    <w:rsid w:val="00A95C6F"/>
    <w:rsid w:val="00A95D18"/>
    <w:rsid w:val="00A95EB3"/>
    <w:rsid w:val="00A95F5E"/>
    <w:rsid w:val="00A95FB3"/>
    <w:rsid w:val="00A961EE"/>
    <w:rsid w:val="00A96636"/>
    <w:rsid w:val="00A968E4"/>
    <w:rsid w:val="00A969FB"/>
    <w:rsid w:val="00A96ADD"/>
    <w:rsid w:val="00A96B0C"/>
    <w:rsid w:val="00A96B2A"/>
    <w:rsid w:val="00A96E20"/>
    <w:rsid w:val="00A96E6B"/>
    <w:rsid w:val="00A970D5"/>
    <w:rsid w:val="00A970D9"/>
    <w:rsid w:val="00A97111"/>
    <w:rsid w:val="00A971DB"/>
    <w:rsid w:val="00A97260"/>
    <w:rsid w:val="00A97293"/>
    <w:rsid w:val="00A974C4"/>
    <w:rsid w:val="00A97530"/>
    <w:rsid w:val="00A97778"/>
    <w:rsid w:val="00A977E5"/>
    <w:rsid w:val="00A97845"/>
    <w:rsid w:val="00A978A9"/>
    <w:rsid w:val="00A978D1"/>
    <w:rsid w:val="00A9796D"/>
    <w:rsid w:val="00A97A9A"/>
    <w:rsid w:val="00A97AC9"/>
    <w:rsid w:val="00A97B25"/>
    <w:rsid w:val="00AA02C3"/>
    <w:rsid w:val="00AA03CA"/>
    <w:rsid w:val="00AA0627"/>
    <w:rsid w:val="00AA0671"/>
    <w:rsid w:val="00AA0788"/>
    <w:rsid w:val="00AA08D9"/>
    <w:rsid w:val="00AA09FF"/>
    <w:rsid w:val="00AA0BCD"/>
    <w:rsid w:val="00AA0D26"/>
    <w:rsid w:val="00AA0D6A"/>
    <w:rsid w:val="00AA0DED"/>
    <w:rsid w:val="00AA0FC6"/>
    <w:rsid w:val="00AA106D"/>
    <w:rsid w:val="00AA1178"/>
    <w:rsid w:val="00AA1209"/>
    <w:rsid w:val="00AA14C0"/>
    <w:rsid w:val="00AA14ED"/>
    <w:rsid w:val="00AA164F"/>
    <w:rsid w:val="00AA1663"/>
    <w:rsid w:val="00AA17AA"/>
    <w:rsid w:val="00AA1AE7"/>
    <w:rsid w:val="00AA1B70"/>
    <w:rsid w:val="00AA1CF6"/>
    <w:rsid w:val="00AA1EDD"/>
    <w:rsid w:val="00AA2084"/>
    <w:rsid w:val="00AA21ED"/>
    <w:rsid w:val="00AA2290"/>
    <w:rsid w:val="00AA2421"/>
    <w:rsid w:val="00AA244A"/>
    <w:rsid w:val="00AA2531"/>
    <w:rsid w:val="00AA2572"/>
    <w:rsid w:val="00AA265F"/>
    <w:rsid w:val="00AA2758"/>
    <w:rsid w:val="00AA2816"/>
    <w:rsid w:val="00AA28BD"/>
    <w:rsid w:val="00AA28CB"/>
    <w:rsid w:val="00AA29D3"/>
    <w:rsid w:val="00AA2B27"/>
    <w:rsid w:val="00AA2D1C"/>
    <w:rsid w:val="00AA2D64"/>
    <w:rsid w:val="00AA30C8"/>
    <w:rsid w:val="00AA3388"/>
    <w:rsid w:val="00AA3611"/>
    <w:rsid w:val="00AA3927"/>
    <w:rsid w:val="00AA39ED"/>
    <w:rsid w:val="00AA3B08"/>
    <w:rsid w:val="00AA3B7A"/>
    <w:rsid w:val="00AA3CEE"/>
    <w:rsid w:val="00AA3D3B"/>
    <w:rsid w:val="00AA3D84"/>
    <w:rsid w:val="00AA3DB0"/>
    <w:rsid w:val="00AA3E49"/>
    <w:rsid w:val="00AA3E68"/>
    <w:rsid w:val="00AA4060"/>
    <w:rsid w:val="00AA4206"/>
    <w:rsid w:val="00AA46DC"/>
    <w:rsid w:val="00AA471B"/>
    <w:rsid w:val="00AA4959"/>
    <w:rsid w:val="00AA4A3B"/>
    <w:rsid w:val="00AA4A7A"/>
    <w:rsid w:val="00AA4B9B"/>
    <w:rsid w:val="00AA4D51"/>
    <w:rsid w:val="00AA4D64"/>
    <w:rsid w:val="00AA4ED7"/>
    <w:rsid w:val="00AA4FCC"/>
    <w:rsid w:val="00AA5002"/>
    <w:rsid w:val="00AA501C"/>
    <w:rsid w:val="00AA5106"/>
    <w:rsid w:val="00AA5119"/>
    <w:rsid w:val="00AA51B2"/>
    <w:rsid w:val="00AA5200"/>
    <w:rsid w:val="00AA5333"/>
    <w:rsid w:val="00AA54D9"/>
    <w:rsid w:val="00AA5504"/>
    <w:rsid w:val="00AA5527"/>
    <w:rsid w:val="00AA5593"/>
    <w:rsid w:val="00AA567A"/>
    <w:rsid w:val="00AA572D"/>
    <w:rsid w:val="00AA5778"/>
    <w:rsid w:val="00AA5781"/>
    <w:rsid w:val="00AA59B5"/>
    <w:rsid w:val="00AA5A4E"/>
    <w:rsid w:val="00AA5C11"/>
    <w:rsid w:val="00AA5C2D"/>
    <w:rsid w:val="00AA5C4D"/>
    <w:rsid w:val="00AA5DBF"/>
    <w:rsid w:val="00AA5FA2"/>
    <w:rsid w:val="00AA641B"/>
    <w:rsid w:val="00AA6526"/>
    <w:rsid w:val="00AA653D"/>
    <w:rsid w:val="00AA6599"/>
    <w:rsid w:val="00AA6942"/>
    <w:rsid w:val="00AA69FB"/>
    <w:rsid w:val="00AA6AE0"/>
    <w:rsid w:val="00AA6C79"/>
    <w:rsid w:val="00AA6D3E"/>
    <w:rsid w:val="00AA6D4A"/>
    <w:rsid w:val="00AA6D74"/>
    <w:rsid w:val="00AA6EC5"/>
    <w:rsid w:val="00AA6FB2"/>
    <w:rsid w:val="00AA70BA"/>
    <w:rsid w:val="00AA73D7"/>
    <w:rsid w:val="00AA74DB"/>
    <w:rsid w:val="00AA7616"/>
    <w:rsid w:val="00AA7758"/>
    <w:rsid w:val="00AA7A34"/>
    <w:rsid w:val="00AA7A61"/>
    <w:rsid w:val="00AA7ABF"/>
    <w:rsid w:val="00AA7C9D"/>
    <w:rsid w:val="00AA7CF9"/>
    <w:rsid w:val="00AA7D0D"/>
    <w:rsid w:val="00AA7D5E"/>
    <w:rsid w:val="00AA7DAD"/>
    <w:rsid w:val="00AA7E23"/>
    <w:rsid w:val="00AA7E8E"/>
    <w:rsid w:val="00AA7ECB"/>
    <w:rsid w:val="00AA7F43"/>
    <w:rsid w:val="00AB0206"/>
    <w:rsid w:val="00AB07A0"/>
    <w:rsid w:val="00AB07EA"/>
    <w:rsid w:val="00AB0935"/>
    <w:rsid w:val="00AB0C3D"/>
    <w:rsid w:val="00AB0D13"/>
    <w:rsid w:val="00AB0D66"/>
    <w:rsid w:val="00AB10A8"/>
    <w:rsid w:val="00AB11D4"/>
    <w:rsid w:val="00AB1259"/>
    <w:rsid w:val="00AB1275"/>
    <w:rsid w:val="00AB14A5"/>
    <w:rsid w:val="00AB155A"/>
    <w:rsid w:val="00AB1586"/>
    <w:rsid w:val="00AB1810"/>
    <w:rsid w:val="00AB1886"/>
    <w:rsid w:val="00AB188A"/>
    <w:rsid w:val="00AB19BC"/>
    <w:rsid w:val="00AB19DD"/>
    <w:rsid w:val="00AB1AE5"/>
    <w:rsid w:val="00AB1B45"/>
    <w:rsid w:val="00AB1B61"/>
    <w:rsid w:val="00AB1B72"/>
    <w:rsid w:val="00AB1BBA"/>
    <w:rsid w:val="00AB1C32"/>
    <w:rsid w:val="00AB1CAE"/>
    <w:rsid w:val="00AB1CF6"/>
    <w:rsid w:val="00AB1D73"/>
    <w:rsid w:val="00AB1E09"/>
    <w:rsid w:val="00AB1FA1"/>
    <w:rsid w:val="00AB20B0"/>
    <w:rsid w:val="00AB2563"/>
    <w:rsid w:val="00AB256B"/>
    <w:rsid w:val="00AB2821"/>
    <w:rsid w:val="00AB2AC6"/>
    <w:rsid w:val="00AB2C27"/>
    <w:rsid w:val="00AB2C6A"/>
    <w:rsid w:val="00AB2F8F"/>
    <w:rsid w:val="00AB310F"/>
    <w:rsid w:val="00AB3259"/>
    <w:rsid w:val="00AB3277"/>
    <w:rsid w:val="00AB32DD"/>
    <w:rsid w:val="00AB32F6"/>
    <w:rsid w:val="00AB3301"/>
    <w:rsid w:val="00AB33C0"/>
    <w:rsid w:val="00AB35C0"/>
    <w:rsid w:val="00AB3682"/>
    <w:rsid w:val="00AB3685"/>
    <w:rsid w:val="00AB3714"/>
    <w:rsid w:val="00AB3961"/>
    <w:rsid w:val="00AB3C60"/>
    <w:rsid w:val="00AB3C91"/>
    <w:rsid w:val="00AB3F13"/>
    <w:rsid w:val="00AB4020"/>
    <w:rsid w:val="00AB4111"/>
    <w:rsid w:val="00AB421E"/>
    <w:rsid w:val="00AB422C"/>
    <w:rsid w:val="00AB442D"/>
    <w:rsid w:val="00AB45DF"/>
    <w:rsid w:val="00AB45E9"/>
    <w:rsid w:val="00AB4668"/>
    <w:rsid w:val="00AB48F4"/>
    <w:rsid w:val="00AB491C"/>
    <w:rsid w:val="00AB4A3C"/>
    <w:rsid w:val="00AB4A62"/>
    <w:rsid w:val="00AB4AA3"/>
    <w:rsid w:val="00AB4C3C"/>
    <w:rsid w:val="00AB4D1A"/>
    <w:rsid w:val="00AB4D1D"/>
    <w:rsid w:val="00AB4E44"/>
    <w:rsid w:val="00AB4F00"/>
    <w:rsid w:val="00AB4F4A"/>
    <w:rsid w:val="00AB511A"/>
    <w:rsid w:val="00AB5130"/>
    <w:rsid w:val="00AB5304"/>
    <w:rsid w:val="00AB530B"/>
    <w:rsid w:val="00AB5330"/>
    <w:rsid w:val="00AB55F6"/>
    <w:rsid w:val="00AB5A95"/>
    <w:rsid w:val="00AB5B97"/>
    <w:rsid w:val="00AB5BE5"/>
    <w:rsid w:val="00AB5CA5"/>
    <w:rsid w:val="00AB5F11"/>
    <w:rsid w:val="00AB6097"/>
    <w:rsid w:val="00AB6213"/>
    <w:rsid w:val="00AB6287"/>
    <w:rsid w:val="00AB63EF"/>
    <w:rsid w:val="00AB65CF"/>
    <w:rsid w:val="00AB68AF"/>
    <w:rsid w:val="00AB6909"/>
    <w:rsid w:val="00AB6932"/>
    <w:rsid w:val="00AB6B79"/>
    <w:rsid w:val="00AB6BF2"/>
    <w:rsid w:val="00AB6CFB"/>
    <w:rsid w:val="00AB6F1D"/>
    <w:rsid w:val="00AB6FCB"/>
    <w:rsid w:val="00AB729B"/>
    <w:rsid w:val="00AB72A7"/>
    <w:rsid w:val="00AB72E9"/>
    <w:rsid w:val="00AB7459"/>
    <w:rsid w:val="00AB7643"/>
    <w:rsid w:val="00AB7747"/>
    <w:rsid w:val="00AB774E"/>
    <w:rsid w:val="00AB77A3"/>
    <w:rsid w:val="00AB77D9"/>
    <w:rsid w:val="00AB7A3F"/>
    <w:rsid w:val="00AB7CF4"/>
    <w:rsid w:val="00AB7E29"/>
    <w:rsid w:val="00AB7E5D"/>
    <w:rsid w:val="00AB7F9E"/>
    <w:rsid w:val="00AC019D"/>
    <w:rsid w:val="00AC0379"/>
    <w:rsid w:val="00AC0B3E"/>
    <w:rsid w:val="00AC0B69"/>
    <w:rsid w:val="00AC0BB1"/>
    <w:rsid w:val="00AC0EF6"/>
    <w:rsid w:val="00AC0F36"/>
    <w:rsid w:val="00AC0F96"/>
    <w:rsid w:val="00AC0FA3"/>
    <w:rsid w:val="00AC1002"/>
    <w:rsid w:val="00AC1058"/>
    <w:rsid w:val="00AC1096"/>
    <w:rsid w:val="00AC11E6"/>
    <w:rsid w:val="00AC13E5"/>
    <w:rsid w:val="00AC144D"/>
    <w:rsid w:val="00AC1478"/>
    <w:rsid w:val="00AC14BB"/>
    <w:rsid w:val="00AC14CE"/>
    <w:rsid w:val="00AC14D5"/>
    <w:rsid w:val="00AC15A5"/>
    <w:rsid w:val="00AC1630"/>
    <w:rsid w:val="00AC16A4"/>
    <w:rsid w:val="00AC16CE"/>
    <w:rsid w:val="00AC1756"/>
    <w:rsid w:val="00AC1776"/>
    <w:rsid w:val="00AC17D1"/>
    <w:rsid w:val="00AC1BD5"/>
    <w:rsid w:val="00AC1DFE"/>
    <w:rsid w:val="00AC1E85"/>
    <w:rsid w:val="00AC1ED5"/>
    <w:rsid w:val="00AC1EEA"/>
    <w:rsid w:val="00AC1F61"/>
    <w:rsid w:val="00AC1FE1"/>
    <w:rsid w:val="00AC2068"/>
    <w:rsid w:val="00AC2071"/>
    <w:rsid w:val="00AC21A2"/>
    <w:rsid w:val="00AC21B8"/>
    <w:rsid w:val="00AC2232"/>
    <w:rsid w:val="00AC2694"/>
    <w:rsid w:val="00AC26C3"/>
    <w:rsid w:val="00AC28EC"/>
    <w:rsid w:val="00AC2A56"/>
    <w:rsid w:val="00AC2A6F"/>
    <w:rsid w:val="00AC2BA4"/>
    <w:rsid w:val="00AC2BF7"/>
    <w:rsid w:val="00AC2C02"/>
    <w:rsid w:val="00AC2C2D"/>
    <w:rsid w:val="00AC2C4F"/>
    <w:rsid w:val="00AC2C87"/>
    <w:rsid w:val="00AC2CED"/>
    <w:rsid w:val="00AC3156"/>
    <w:rsid w:val="00AC3341"/>
    <w:rsid w:val="00AC33A9"/>
    <w:rsid w:val="00AC3442"/>
    <w:rsid w:val="00AC35F4"/>
    <w:rsid w:val="00AC372B"/>
    <w:rsid w:val="00AC3975"/>
    <w:rsid w:val="00AC39D9"/>
    <w:rsid w:val="00AC3A0E"/>
    <w:rsid w:val="00AC3A28"/>
    <w:rsid w:val="00AC3A7B"/>
    <w:rsid w:val="00AC3D54"/>
    <w:rsid w:val="00AC3D75"/>
    <w:rsid w:val="00AC3DA7"/>
    <w:rsid w:val="00AC3EAD"/>
    <w:rsid w:val="00AC4366"/>
    <w:rsid w:val="00AC44FC"/>
    <w:rsid w:val="00AC459C"/>
    <w:rsid w:val="00AC474C"/>
    <w:rsid w:val="00AC4957"/>
    <w:rsid w:val="00AC49A1"/>
    <w:rsid w:val="00AC4A75"/>
    <w:rsid w:val="00AC4FDA"/>
    <w:rsid w:val="00AC4FF3"/>
    <w:rsid w:val="00AC507B"/>
    <w:rsid w:val="00AC50AF"/>
    <w:rsid w:val="00AC5262"/>
    <w:rsid w:val="00AC53E9"/>
    <w:rsid w:val="00AC5470"/>
    <w:rsid w:val="00AC5748"/>
    <w:rsid w:val="00AC57CD"/>
    <w:rsid w:val="00AC58E9"/>
    <w:rsid w:val="00AC5B01"/>
    <w:rsid w:val="00AC5BFF"/>
    <w:rsid w:val="00AC5C2E"/>
    <w:rsid w:val="00AC5C39"/>
    <w:rsid w:val="00AC5CCF"/>
    <w:rsid w:val="00AC5D52"/>
    <w:rsid w:val="00AC5DA5"/>
    <w:rsid w:val="00AC60C5"/>
    <w:rsid w:val="00AC62FA"/>
    <w:rsid w:val="00AC63B8"/>
    <w:rsid w:val="00AC63D6"/>
    <w:rsid w:val="00AC6417"/>
    <w:rsid w:val="00AC6422"/>
    <w:rsid w:val="00AC6623"/>
    <w:rsid w:val="00AC6714"/>
    <w:rsid w:val="00AC673F"/>
    <w:rsid w:val="00AC67F5"/>
    <w:rsid w:val="00AC68F9"/>
    <w:rsid w:val="00AC69C6"/>
    <w:rsid w:val="00AC6A48"/>
    <w:rsid w:val="00AC6A50"/>
    <w:rsid w:val="00AC6E8A"/>
    <w:rsid w:val="00AC6F4D"/>
    <w:rsid w:val="00AC717C"/>
    <w:rsid w:val="00AC720C"/>
    <w:rsid w:val="00AC7318"/>
    <w:rsid w:val="00AC7324"/>
    <w:rsid w:val="00AC758C"/>
    <w:rsid w:val="00AC75C8"/>
    <w:rsid w:val="00AC763E"/>
    <w:rsid w:val="00AC7682"/>
    <w:rsid w:val="00AC7831"/>
    <w:rsid w:val="00AC792B"/>
    <w:rsid w:val="00AC79EA"/>
    <w:rsid w:val="00AC7AFD"/>
    <w:rsid w:val="00AC7B28"/>
    <w:rsid w:val="00AC7B3D"/>
    <w:rsid w:val="00AC7C2B"/>
    <w:rsid w:val="00AC7C32"/>
    <w:rsid w:val="00AC7E1A"/>
    <w:rsid w:val="00AC7ED8"/>
    <w:rsid w:val="00AC7F43"/>
    <w:rsid w:val="00AC7F49"/>
    <w:rsid w:val="00AC7FB5"/>
    <w:rsid w:val="00AD00D6"/>
    <w:rsid w:val="00AD028F"/>
    <w:rsid w:val="00AD032A"/>
    <w:rsid w:val="00AD03ED"/>
    <w:rsid w:val="00AD04A1"/>
    <w:rsid w:val="00AD055E"/>
    <w:rsid w:val="00AD05A9"/>
    <w:rsid w:val="00AD0972"/>
    <w:rsid w:val="00AD0ACE"/>
    <w:rsid w:val="00AD0BCF"/>
    <w:rsid w:val="00AD0BDF"/>
    <w:rsid w:val="00AD0E35"/>
    <w:rsid w:val="00AD0E4A"/>
    <w:rsid w:val="00AD0F50"/>
    <w:rsid w:val="00AD0F59"/>
    <w:rsid w:val="00AD1050"/>
    <w:rsid w:val="00AD1092"/>
    <w:rsid w:val="00AD1148"/>
    <w:rsid w:val="00AD1310"/>
    <w:rsid w:val="00AD155F"/>
    <w:rsid w:val="00AD16BF"/>
    <w:rsid w:val="00AD17AA"/>
    <w:rsid w:val="00AD1A8B"/>
    <w:rsid w:val="00AD1A9A"/>
    <w:rsid w:val="00AD1B4F"/>
    <w:rsid w:val="00AD1E8B"/>
    <w:rsid w:val="00AD1ED8"/>
    <w:rsid w:val="00AD203C"/>
    <w:rsid w:val="00AD2042"/>
    <w:rsid w:val="00AD21B5"/>
    <w:rsid w:val="00AD230B"/>
    <w:rsid w:val="00AD2684"/>
    <w:rsid w:val="00AD270C"/>
    <w:rsid w:val="00AD28AD"/>
    <w:rsid w:val="00AD2C05"/>
    <w:rsid w:val="00AD2D3F"/>
    <w:rsid w:val="00AD2D51"/>
    <w:rsid w:val="00AD2D81"/>
    <w:rsid w:val="00AD2DBB"/>
    <w:rsid w:val="00AD2E3E"/>
    <w:rsid w:val="00AD3069"/>
    <w:rsid w:val="00AD3166"/>
    <w:rsid w:val="00AD31AD"/>
    <w:rsid w:val="00AD3256"/>
    <w:rsid w:val="00AD34CC"/>
    <w:rsid w:val="00AD35A8"/>
    <w:rsid w:val="00AD35CC"/>
    <w:rsid w:val="00AD3741"/>
    <w:rsid w:val="00AD3980"/>
    <w:rsid w:val="00AD39A5"/>
    <w:rsid w:val="00AD3A42"/>
    <w:rsid w:val="00AD3B74"/>
    <w:rsid w:val="00AD3CDA"/>
    <w:rsid w:val="00AD3E91"/>
    <w:rsid w:val="00AD3F72"/>
    <w:rsid w:val="00AD3FC9"/>
    <w:rsid w:val="00AD4570"/>
    <w:rsid w:val="00AD4618"/>
    <w:rsid w:val="00AD468E"/>
    <w:rsid w:val="00AD476D"/>
    <w:rsid w:val="00AD47A7"/>
    <w:rsid w:val="00AD47CA"/>
    <w:rsid w:val="00AD47F2"/>
    <w:rsid w:val="00AD48C2"/>
    <w:rsid w:val="00AD493A"/>
    <w:rsid w:val="00AD4C87"/>
    <w:rsid w:val="00AD4FFE"/>
    <w:rsid w:val="00AD5001"/>
    <w:rsid w:val="00AD509A"/>
    <w:rsid w:val="00AD51BF"/>
    <w:rsid w:val="00AD51EE"/>
    <w:rsid w:val="00AD522E"/>
    <w:rsid w:val="00AD52F8"/>
    <w:rsid w:val="00AD5408"/>
    <w:rsid w:val="00AD549B"/>
    <w:rsid w:val="00AD55DC"/>
    <w:rsid w:val="00AD56C3"/>
    <w:rsid w:val="00AD56E9"/>
    <w:rsid w:val="00AD5732"/>
    <w:rsid w:val="00AD57F5"/>
    <w:rsid w:val="00AD58B1"/>
    <w:rsid w:val="00AD5B24"/>
    <w:rsid w:val="00AD5B60"/>
    <w:rsid w:val="00AD6223"/>
    <w:rsid w:val="00AD651C"/>
    <w:rsid w:val="00AD65C6"/>
    <w:rsid w:val="00AD660B"/>
    <w:rsid w:val="00AD6647"/>
    <w:rsid w:val="00AD664B"/>
    <w:rsid w:val="00AD66D2"/>
    <w:rsid w:val="00AD6AD3"/>
    <w:rsid w:val="00AD6AD7"/>
    <w:rsid w:val="00AD6EBF"/>
    <w:rsid w:val="00AD722D"/>
    <w:rsid w:val="00AD727B"/>
    <w:rsid w:val="00AD730D"/>
    <w:rsid w:val="00AD76F9"/>
    <w:rsid w:val="00AD77C3"/>
    <w:rsid w:val="00AD77EC"/>
    <w:rsid w:val="00AD7806"/>
    <w:rsid w:val="00AD7870"/>
    <w:rsid w:val="00AD7954"/>
    <w:rsid w:val="00AD7A08"/>
    <w:rsid w:val="00AD7AEB"/>
    <w:rsid w:val="00AD7B63"/>
    <w:rsid w:val="00AD7BB6"/>
    <w:rsid w:val="00AD7D5B"/>
    <w:rsid w:val="00AD7DAD"/>
    <w:rsid w:val="00AD7FD5"/>
    <w:rsid w:val="00AE00EE"/>
    <w:rsid w:val="00AE042D"/>
    <w:rsid w:val="00AE0430"/>
    <w:rsid w:val="00AE043C"/>
    <w:rsid w:val="00AE0533"/>
    <w:rsid w:val="00AE067E"/>
    <w:rsid w:val="00AE068D"/>
    <w:rsid w:val="00AE0B39"/>
    <w:rsid w:val="00AE0C4C"/>
    <w:rsid w:val="00AE1158"/>
    <w:rsid w:val="00AE120D"/>
    <w:rsid w:val="00AE1443"/>
    <w:rsid w:val="00AE1463"/>
    <w:rsid w:val="00AE16CC"/>
    <w:rsid w:val="00AE172A"/>
    <w:rsid w:val="00AE1857"/>
    <w:rsid w:val="00AE1B08"/>
    <w:rsid w:val="00AE1BB3"/>
    <w:rsid w:val="00AE1D51"/>
    <w:rsid w:val="00AE1D5A"/>
    <w:rsid w:val="00AE1E38"/>
    <w:rsid w:val="00AE1E4B"/>
    <w:rsid w:val="00AE22FB"/>
    <w:rsid w:val="00AE2354"/>
    <w:rsid w:val="00AE23EE"/>
    <w:rsid w:val="00AE2443"/>
    <w:rsid w:val="00AE254E"/>
    <w:rsid w:val="00AE2662"/>
    <w:rsid w:val="00AE26C5"/>
    <w:rsid w:val="00AE26D2"/>
    <w:rsid w:val="00AE277D"/>
    <w:rsid w:val="00AE2840"/>
    <w:rsid w:val="00AE2932"/>
    <w:rsid w:val="00AE2A01"/>
    <w:rsid w:val="00AE2B6E"/>
    <w:rsid w:val="00AE2D16"/>
    <w:rsid w:val="00AE2E2F"/>
    <w:rsid w:val="00AE3114"/>
    <w:rsid w:val="00AE31B1"/>
    <w:rsid w:val="00AE3447"/>
    <w:rsid w:val="00AE3457"/>
    <w:rsid w:val="00AE37E8"/>
    <w:rsid w:val="00AE3812"/>
    <w:rsid w:val="00AE3A20"/>
    <w:rsid w:val="00AE3A35"/>
    <w:rsid w:val="00AE3B0F"/>
    <w:rsid w:val="00AE3B9D"/>
    <w:rsid w:val="00AE3BC8"/>
    <w:rsid w:val="00AE3BDD"/>
    <w:rsid w:val="00AE3C24"/>
    <w:rsid w:val="00AE3E71"/>
    <w:rsid w:val="00AE406D"/>
    <w:rsid w:val="00AE4118"/>
    <w:rsid w:val="00AE4175"/>
    <w:rsid w:val="00AE44CF"/>
    <w:rsid w:val="00AE4531"/>
    <w:rsid w:val="00AE454D"/>
    <w:rsid w:val="00AE4575"/>
    <w:rsid w:val="00AE46D5"/>
    <w:rsid w:val="00AE4782"/>
    <w:rsid w:val="00AE47FE"/>
    <w:rsid w:val="00AE4812"/>
    <w:rsid w:val="00AE49CE"/>
    <w:rsid w:val="00AE4A1D"/>
    <w:rsid w:val="00AE4B54"/>
    <w:rsid w:val="00AE4D9F"/>
    <w:rsid w:val="00AE4E9A"/>
    <w:rsid w:val="00AE4EBA"/>
    <w:rsid w:val="00AE4F04"/>
    <w:rsid w:val="00AE502C"/>
    <w:rsid w:val="00AE512D"/>
    <w:rsid w:val="00AE5137"/>
    <w:rsid w:val="00AE522B"/>
    <w:rsid w:val="00AE5362"/>
    <w:rsid w:val="00AE5417"/>
    <w:rsid w:val="00AE552C"/>
    <w:rsid w:val="00AE5546"/>
    <w:rsid w:val="00AE5565"/>
    <w:rsid w:val="00AE564E"/>
    <w:rsid w:val="00AE5798"/>
    <w:rsid w:val="00AE5960"/>
    <w:rsid w:val="00AE5A0F"/>
    <w:rsid w:val="00AE5A9C"/>
    <w:rsid w:val="00AE5B5A"/>
    <w:rsid w:val="00AE5BC1"/>
    <w:rsid w:val="00AE5BCB"/>
    <w:rsid w:val="00AE5CD1"/>
    <w:rsid w:val="00AE5D31"/>
    <w:rsid w:val="00AE5FB0"/>
    <w:rsid w:val="00AE61EF"/>
    <w:rsid w:val="00AE6302"/>
    <w:rsid w:val="00AE647F"/>
    <w:rsid w:val="00AE6498"/>
    <w:rsid w:val="00AE65AC"/>
    <w:rsid w:val="00AE6665"/>
    <w:rsid w:val="00AE6733"/>
    <w:rsid w:val="00AE6791"/>
    <w:rsid w:val="00AE69DF"/>
    <w:rsid w:val="00AE6B46"/>
    <w:rsid w:val="00AE6BB4"/>
    <w:rsid w:val="00AE6D2F"/>
    <w:rsid w:val="00AE6DB8"/>
    <w:rsid w:val="00AE7189"/>
    <w:rsid w:val="00AE721F"/>
    <w:rsid w:val="00AE7224"/>
    <w:rsid w:val="00AE7233"/>
    <w:rsid w:val="00AE7462"/>
    <w:rsid w:val="00AE7678"/>
    <w:rsid w:val="00AE77EF"/>
    <w:rsid w:val="00AE7AA5"/>
    <w:rsid w:val="00AE7BE3"/>
    <w:rsid w:val="00AE7C99"/>
    <w:rsid w:val="00AE7ECB"/>
    <w:rsid w:val="00AE7F06"/>
    <w:rsid w:val="00AF008D"/>
    <w:rsid w:val="00AF0172"/>
    <w:rsid w:val="00AF0232"/>
    <w:rsid w:val="00AF0267"/>
    <w:rsid w:val="00AF038A"/>
    <w:rsid w:val="00AF04E7"/>
    <w:rsid w:val="00AF0538"/>
    <w:rsid w:val="00AF069F"/>
    <w:rsid w:val="00AF0870"/>
    <w:rsid w:val="00AF0A48"/>
    <w:rsid w:val="00AF0B47"/>
    <w:rsid w:val="00AF0CBF"/>
    <w:rsid w:val="00AF0E02"/>
    <w:rsid w:val="00AF0F9A"/>
    <w:rsid w:val="00AF1083"/>
    <w:rsid w:val="00AF10DC"/>
    <w:rsid w:val="00AF130E"/>
    <w:rsid w:val="00AF1414"/>
    <w:rsid w:val="00AF1533"/>
    <w:rsid w:val="00AF159E"/>
    <w:rsid w:val="00AF16E2"/>
    <w:rsid w:val="00AF17AF"/>
    <w:rsid w:val="00AF18D7"/>
    <w:rsid w:val="00AF1A7B"/>
    <w:rsid w:val="00AF1A94"/>
    <w:rsid w:val="00AF1CF7"/>
    <w:rsid w:val="00AF1D53"/>
    <w:rsid w:val="00AF1DC0"/>
    <w:rsid w:val="00AF1DE5"/>
    <w:rsid w:val="00AF2082"/>
    <w:rsid w:val="00AF2128"/>
    <w:rsid w:val="00AF213E"/>
    <w:rsid w:val="00AF21E8"/>
    <w:rsid w:val="00AF242C"/>
    <w:rsid w:val="00AF2577"/>
    <w:rsid w:val="00AF257F"/>
    <w:rsid w:val="00AF2774"/>
    <w:rsid w:val="00AF27AD"/>
    <w:rsid w:val="00AF27DA"/>
    <w:rsid w:val="00AF27F4"/>
    <w:rsid w:val="00AF284A"/>
    <w:rsid w:val="00AF285E"/>
    <w:rsid w:val="00AF28D6"/>
    <w:rsid w:val="00AF291B"/>
    <w:rsid w:val="00AF29DD"/>
    <w:rsid w:val="00AF2AB1"/>
    <w:rsid w:val="00AF2B77"/>
    <w:rsid w:val="00AF2BB0"/>
    <w:rsid w:val="00AF2E10"/>
    <w:rsid w:val="00AF337A"/>
    <w:rsid w:val="00AF33CF"/>
    <w:rsid w:val="00AF33F9"/>
    <w:rsid w:val="00AF3445"/>
    <w:rsid w:val="00AF359A"/>
    <w:rsid w:val="00AF371B"/>
    <w:rsid w:val="00AF37BC"/>
    <w:rsid w:val="00AF39F8"/>
    <w:rsid w:val="00AF3B46"/>
    <w:rsid w:val="00AF3BC6"/>
    <w:rsid w:val="00AF3E7C"/>
    <w:rsid w:val="00AF4242"/>
    <w:rsid w:val="00AF42DC"/>
    <w:rsid w:val="00AF441C"/>
    <w:rsid w:val="00AF442C"/>
    <w:rsid w:val="00AF45BC"/>
    <w:rsid w:val="00AF46B6"/>
    <w:rsid w:val="00AF46F9"/>
    <w:rsid w:val="00AF4728"/>
    <w:rsid w:val="00AF481D"/>
    <w:rsid w:val="00AF4A0F"/>
    <w:rsid w:val="00AF4B56"/>
    <w:rsid w:val="00AF4D50"/>
    <w:rsid w:val="00AF4D5E"/>
    <w:rsid w:val="00AF4D61"/>
    <w:rsid w:val="00AF4D84"/>
    <w:rsid w:val="00AF4EF3"/>
    <w:rsid w:val="00AF518C"/>
    <w:rsid w:val="00AF5355"/>
    <w:rsid w:val="00AF53A9"/>
    <w:rsid w:val="00AF53DD"/>
    <w:rsid w:val="00AF5505"/>
    <w:rsid w:val="00AF5527"/>
    <w:rsid w:val="00AF5600"/>
    <w:rsid w:val="00AF5790"/>
    <w:rsid w:val="00AF579C"/>
    <w:rsid w:val="00AF5911"/>
    <w:rsid w:val="00AF5996"/>
    <w:rsid w:val="00AF5A26"/>
    <w:rsid w:val="00AF5B8A"/>
    <w:rsid w:val="00AF5B8F"/>
    <w:rsid w:val="00AF5BD0"/>
    <w:rsid w:val="00AF5C2E"/>
    <w:rsid w:val="00AF5D04"/>
    <w:rsid w:val="00AF5D9E"/>
    <w:rsid w:val="00AF5DAA"/>
    <w:rsid w:val="00AF5EFB"/>
    <w:rsid w:val="00AF5F44"/>
    <w:rsid w:val="00AF60AB"/>
    <w:rsid w:val="00AF6179"/>
    <w:rsid w:val="00AF6345"/>
    <w:rsid w:val="00AF682A"/>
    <w:rsid w:val="00AF6930"/>
    <w:rsid w:val="00AF69C5"/>
    <w:rsid w:val="00AF6A17"/>
    <w:rsid w:val="00AF6B5F"/>
    <w:rsid w:val="00AF6CFB"/>
    <w:rsid w:val="00AF6E52"/>
    <w:rsid w:val="00AF6E79"/>
    <w:rsid w:val="00AF6EE1"/>
    <w:rsid w:val="00AF7020"/>
    <w:rsid w:val="00AF708F"/>
    <w:rsid w:val="00AF722C"/>
    <w:rsid w:val="00AF7356"/>
    <w:rsid w:val="00AF73DE"/>
    <w:rsid w:val="00AF7424"/>
    <w:rsid w:val="00AF7431"/>
    <w:rsid w:val="00AF743A"/>
    <w:rsid w:val="00AF74F8"/>
    <w:rsid w:val="00AF7624"/>
    <w:rsid w:val="00AF76A6"/>
    <w:rsid w:val="00AF7ADF"/>
    <w:rsid w:val="00AF7C85"/>
    <w:rsid w:val="00AF7E88"/>
    <w:rsid w:val="00AF7E94"/>
    <w:rsid w:val="00AF7EFA"/>
    <w:rsid w:val="00AF7FCD"/>
    <w:rsid w:val="00B00040"/>
    <w:rsid w:val="00B001BA"/>
    <w:rsid w:val="00B002C3"/>
    <w:rsid w:val="00B002FA"/>
    <w:rsid w:val="00B004D3"/>
    <w:rsid w:val="00B004EF"/>
    <w:rsid w:val="00B0089F"/>
    <w:rsid w:val="00B008ED"/>
    <w:rsid w:val="00B00A97"/>
    <w:rsid w:val="00B00CDE"/>
    <w:rsid w:val="00B00D09"/>
    <w:rsid w:val="00B00E9C"/>
    <w:rsid w:val="00B00F2F"/>
    <w:rsid w:val="00B01067"/>
    <w:rsid w:val="00B0129C"/>
    <w:rsid w:val="00B0139A"/>
    <w:rsid w:val="00B01631"/>
    <w:rsid w:val="00B017B3"/>
    <w:rsid w:val="00B017EF"/>
    <w:rsid w:val="00B01859"/>
    <w:rsid w:val="00B01921"/>
    <w:rsid w:val="00B019F2"/>
    <w:rsid w:val="00B01A3E"/>
    <w:rsid w:val="00B01A4C"/>
    <w:rsid w:val="00B01B45"/>
    <w:rsid w:val="00B01D64"/>
    <w:rsid w:val="00B01D97"/>
    <w:rsid w:val="00B01EB0"/>
    <w:rsid w:val="00B02171"/>
    <w:rsid w:val="00B02235"/>
    <w:rsid w:val="00B0236A"/>
    <w:rsid w:val="00B02405"/>
    <w:rsid w:val="00B0245D"/>
    <w:rsid w:val="00B0266E"/>
    <w:rsid w:val="00B027C5"/>
    <w:rsid w:val="00B027C9"/>
    <w:rsid w:val="00B0282B"/>
    <w:rsid w:val="00B028BD"/>
    <w:rsid w:val="00B02B35"/>
    <w:rsid w:val="00B02D17"/>
    <w:rsid w:val="00B02D5A"/>
    <w:rsid w:val="00B02D94"/>
    <w:rsid w:val="00B02F52"/>
    <w:rsid w:val="00B03049"/>
    <w:rsid w:val="00B030ED"/>
    <w:rsid w:val="00B03366"/>
    <w:rsid w:val="00B036AD"/>
    <w:rsid w:val="00B03B03"/>
    <w:rsid w:val="00B03B2F"/>
    <w:rsid w:val="00B03BDB"/>
    <w:rsid w:val="00B03BFC"/>
    <w:rsid w:val="00B03C01"/>
    <w:rsid w:val="00B03F38"/>
    <w:rsid w:val="00B0411A"/>
    <w:rsid w:val="00B0415D"/>
    <w:rsid w:val="00B0431D"/>
    <w:rsid w:val="00B04358"/>
    <w:rsid w:val="00B0448D"/>
    <w:rsid w:val="00B04679"/>
    <w:rsid w:val="00B04820"/>
    <w:rsid w:val="00B04B32"/>
    <w:rsid w:val="00B04B8B"/>
    <w:rsid w:val="00B04BB5"/>
    <w:rsid w:val="00B04CD5"/>
    <w:rsid w:val="00B04CD8"/>
    <w:rsid w:val="00B04CF0"/>
    <w:rsid w:val="00B04D0E"/>
    <w:rsid w:val="00B04DC2"/>
    <w:rsid w:val="00B04EB9"/>
    <w:rsid w:val="00B04F1A"/>
    <w:rsid w:val="00B04F47"/>
    <w:rsid w:val="00B055C0"/>
    <w:rsid w:val="00B059D2"/>
    <w:rsid w:val="00B05AA0"/>
    <w:rsid w:val="00B05ADA"/>
    <w:rsid w:val="00B05CAC"/>
    <w:rsid w:val="00B05CD4"/>
    <w:rsid w:val="00B05DF6"/>
    <w:rsid w:val="00B05EF0"/>
    <w:rsid w:val="00B05F1A"/>
    <w:rsid w:val="00B0602C"/>
    <w:rsid w:val="00B06178"/>
    <w:rsid w:val="00B061C8"/>
    <w:rsid w:val="00B0631F"/>
    <w:rsid w:val="00B0632C"/>
    <w:rsid w:val="00B0642B"/>
    <w:rsid w:val="00B06473"/>
    <w:rsid w:val="00B064BA"/>
    <w:rsid w:val="00B064D3"/>
    <w:rsid w:val="00B064FF"/>
    <w:rsid w:val="00B067AE"/>
    <w:rsid w:val="00B06834"/>
    <w:rsid w:val="00B06850"/>
    <w:rsid w:val="00B0686F"/>
    <w:rsid w:val="00B068B7"/>
    <w:rsid w:val="00B0690A"/>
    <w:rsid w:val="00B069EC"/>
    <w:rsid w:val="00B069FC"/>
    <w:rsid w:val="00B06B45"/>
    <w:rsid w:val="00B06C15"/>
    <w:rsid w:val="00B06DEC"/>
    <w:rsid w:val="00B06E31"/>
    <w:rsid w:val="00B06E9D"/>
    <w:rsid w:val="00B06F04"/>
    <w:rsid w:val="00B06FC2"/>
    <w:rsid w:val="00B06FCB"/>
    <w:rsid w:val="00B07058"/>
    <w:rsid w:val="00B0717F"/>
    <w:rsid w:val="00B071DF"/>
    <w:rsid w:val="00B0733A"/>
    <w:rsid w:val="00B0742D"/>
    <w:rsid w:val="00B078B3"/>
    <w:rsid w:val="00B078E6"/>
    <w:rsid w:val="00B07BDC"/>
    <w:rsid w:val="00B07C1D"/>
    <w:rsid w:val="00B07C6E"/>
    <w:rsid w:val="00B07CBE"/>
    <w:rsid w:val="00B07FF2"/>
    <w:rsid w:val="00B1001A"/>
    <w:rsid w:val="00B10144"/>
    <w:rsid w:val="00B10155"/>
    <w:rsid w:val="00B101B5"/>
    <w:rsid w:val="00B102F8"/>
    <w:rsid w:val="00B10454"/>
    <w:rsid w:val="00B1046D"/>
    <w:rsid w:val="00B105F8"/>
    <w:rsid w:val="00B106AF"/>
    <w:rsid w:val="00B106B5"/>
    <w:rsid w:val="00B10744"/>
    <w:rsid w:val="00B1087B"/>
    <w:rsid w:val="00B10955"/>
    <w:rsid w:val="00B10AE1"/>
    <w:rsid w:val="00B10C40"/>
    <w:rsid w:val="00B10E29"/>
    <w:rsid w:val="00B10E89"/>
    <w:rsid w:val="00B10EE1"/>
    <w:rsid w:val="00B10FF4"/>
    <w:rsid w:val="00B11000"/>
    <w:rsid w:val="00B110D3"/>
    <w:rsid w:val="00B110ED"/>
    <w:rsid w:val="00B11137"/>
    <w:rsid w:val="00B111EC"/>
    <w:rsid w:val="00B11233"/>
    <w:rsid w:val="00B11329"/>
    <w:rsid w:val="00B114DE"/>
    <w:rsid w:val="00B1157B"/>
    <w:rsid w:val="00B11721"/>
    <w:rsid w:val="00B117C9"/>
    <w:rsid w:val="00B117D3"/>
    <w:rsid w:val="00B11AC0"/>
    <w:rsid w:val="00B11AF0"/>
    <w:rsid w:val="00B11B8A"/>
    <w:rsid w:val="00B11FCC"/>
    <w:rsid w:val="00B120E3"/>
    <w:rsid w:val="00B1266B"/>
    <w:rsid w:val="00B1295A"/>
    <w:rsid w:val="00B12988"/>
    <w:rsid w:val="00B129AB"/>
    <w:rsid w:val="00B12A2D"/>
    <w:rsid w:val="00B12B3C"/>
    <w:rsid w:val="00B12B6D"/>
    <w:rsid w:val="00B12BA1"/>
    <w:rsid w:val="00B12BD3"/>
    <w:rsid w:val="00B12C33"/>
    <w:rsid w:val="00B12EC9"/>
    <w:rsid w:val="00B12F14"/>
    <w:rsid w:val="00B13062"/>
    <w:rsid w:val="00B130FC"/>
    <w:rsid w:val="00B13182"/>
    <w:rsid w:val="00B131F8"/>
    <w:rsid w:val="00B1325D"/>
    <w:rsid w:val="00B13456"/>
    <w:rsid w:val="00B13468"/>
    <w:rsid w:val="00B13552"/>
    <w:rsid w:val="00B13560"/>
    <w:rsid w:val="00B136D8"/>
    <w:rsid w:val="00B1379E"/>
    <w:rsid w:val="00B13877"/>
    <w:rsid w:val="00B13917"/>
    <w:rsid w:val="00B13929"/>
    <w:rsid w:val="00B13A18"/>
    <w:rsid w:val="00B13C1A"/>
    <w:rsid w:val="00B13DD6"/>
    <w:rsid w:val="00B13ED1"/>
    <w:rsid w:val="00B13F31"/>
    <w:rsid w:val="00B140D0"/>
    <w:rsid w:val="00B14475"/>
    <w:rsid w:val="00B1461D"/>
    <w:rsid w:val="00B14754"/>
    <w:rsid w:val="00B1492B"/>
    <w:rsid w:val="00B14A40"/>
    <w:rsid w:val="00B14BC8"/>
    <w:rsid w:val="00B14C5A"/>
    <w:rsid w:val="00B14C6E"/>
    <w:rsid w:val="00B14C91"/>
    <w:rsid w:val="00B14E92"/>
    <w:rsid w:val="00B150D9"/>
    <w:rsid w:val="00B1540C"/>
    <w:rsid w:val="00B15442"/>
    <w:rsid w:val="00B154E7"/>
    <w:rsid w:val="00B155AE"/>
    <w:rsid w:val="00B157C7"/>
    <w:rsid w:val="00B157FE"/>
    <w:rsid w:val="00B15DDF"/>
    <w:rsid w:val="00B1619D"/>
    <w:rsid w:val="00B1623A"/>
    <w:rsid w:val="00B1628C"/>
    <w:rsid w:val="00B16385"/>
    <w:rsid w:val="00B1647F"/>
    <w:rsid w:val="00B1656F"/>
    <w:rsid w:val="00B16822"/>
    <w:rsid w:val="00B16A29"/>
    <w:rsid w:val="00B16A36"/>
    <w:rsid w:val="00B16AE7"/>
    <w:rsid w:val="00B16AF3"/>
    <w:rsid w:val="00B16C98"/>
    <w:rsid w:val="00B170EF"/>
    <w:rsid w:val="00B1741C"/>
    <w:rsid w:val="00B17709"/>
    <w:rsid w:val="00B177C9"/>
    <w:rsid w:val="00B1790A"/>
    <w:rsid w:val="00B179EA"/>
    <w:rsid w:val="00B17AD2"/>
    <w:rsid w:val="00B17D56"/>
    <w:rsid w:val="00B17D9E"/>
    <w:rsid w:val="00B17EA0"/>
    <w:rsid w:val="00B17F15"/>
    <w:rsid w:val="00B200A4"/>
    <w:rsid w:val="00B2016A"/>
    <w:rsid w:val="00B2020C"/>
    <w:rsid w:val="00B20257"/>
    <w:rsid w:val="00B20455"/>
    <w:rsid w:val="00B204CE"/>
    <w:rsid w:val="00B205BD"/>
    <w:rsid w:val="00B20766"/>
    <w:rsid w:val="00B20A45"/>
    <w:rsid w:val="00B20ACD"/>
    <w:rsid w:val="00B20AD1"/>
    <w:rsid w:val="00B20B32"/>
    <w:rsid w:val="00B20B57"/>
    <w:rsid w:val="00B20CC3"/>
    <w:rsid w:val="00B20E31"/>
    <w:rsid w:val="00B20EB8"/>
    <w:rsid w:val="00B2114D"/>
    <w:rsid w:val="00B211EA"/>
    <w:rsid w:val="00B21318"/>
    <w:rsid w:val="00B2134A"/>
    <w:rsid w:val="00B2143C"/>
    <w:rsid w:val="00B21485"/>
    <w:rsid w:val="00B2157F"/>
    <w:rsid w:val="00B215BA"/>
    <w:rsid w:val="00B215C6"/>
    <w:rsid w:val="00B217E7"/>
    <w:rsid w:val="00B218F8"/>
    <w:rsid w:val="00B21EAA"/>
    <w:rsid w:val="00B21F43"/>
    <w:rsid w:val="00B21FCF"/>
    <w:rsid w:val="00B220AA"/>
    <w:rsid w:val="00B220F6"/>
    <w:rsid w:val="00B2220A"/>
    <w:rsid w:val="00B225ED"/>
    <w:rsid w:val="00B2272B"/>
    <w:rsid w:val="00B2276C"/>
    <w:rsid w:val="00B2282F"/>
    <w:rsid w:val="00B228C6"/>
    <w:rsid w:val="00B2290A"/>
    <w:rsid w:val="00B2298C"/>
    <w:rsid w:val="00B229AF"/>
    <w:rsid w:val="00B22A62"/>
    <w:rsid w:val="00B22B41"/>
    <w:rsid w:val="00B22C5C"/>
    <w:rsid w:val="00B22D9E"/>
    <w:rsid w:val="00B22DAD"/>
    <w:rsid w:val="00B22DFA"/>
    <w:rsid w:val="00B233C0"/>
    <w:rsid w:val="00B233CB"/>
    <w:rsid w:val="00B234F2"/>
    <w:rsid w:val="00B23884"/>
    <w:rsid w:val="00B23897"/>
    <w:rsid w:val="00B23AAC"/>
    <w:rsid w:val="00B23E2A"/>
    <w:rsid w:val="00B23F39"/>
    <w:rsid w:val="00B23F5D"/>
    <w:rsid w:val="00B23FA4"/>
    <w:rsid w:val="00B2401B"/>
    <w:rsid w:val="00B24097"/>
    <w:rsid w:val="00B240E0"/>
    <w:rsid w:val="00B24107"/>
    <w:rsid w:val="00B24111"/>
    <w:rsid w:val="00B24131"/>
    <w:rsid w:val="00B2414F"/>
    <w:rsid w:val="00B242A3"/>
    <w:rsid w:val="00B24380"/>
    <w:rsid w:val="00B243DB"/>
    <w:rsid w:val="00B245E7"/>
    <w:rsid w:val="00B24605"/>
    <w:rsid w:val="00B2466D"/>
    <w:rsid w:val="00B24702"/>
    <w:rsid w:val="00B24783"/>
    <w:rsid w:val="00B247B6"/>
    <w:rsid w:val="00B24CED"/>
    <w:rsid w:val="00B24DAD"/>
    <w:rsid w:val="00B24EB4"/>
    <w:rsid w:val="00B24F30"/>
    <w:rsid w:val="00B250FE"/>
    <w:rsid w:val="00B253D3"/>
    <w:rsid w:val="00B2540E"/>
    <w:rsid w:val="00B25519"/>
    <w:rsid w:val="00B255D0"/>
    <w:rsid w:val="00B25636"/>
    <w:rsid w:val="00B25656"/>
    <w:rsid w:val="00B256E7"/>
    <w:rsid w:val="00B2578D"/>
    <w:rsid w:val="00B2588F"/>
    <w:rsid w:val="00B2597D"/>
    <w:rsid w:val="00B259CE"/>
    <w:rsid w:val="00B25B23"/>
    <w:rsid w:val="00B25C66"/>
    <w:rsid w:val="00B25C81"/>
    <w:rsid w:val="00B25C97"/>
    <w:rsid w:val="00B25DF1"/>
    <w:rsid w:val="00B25F32"/>
    <w:rsid w:val="00B260E2"/>
    <w:rsid w:val="00B261E0"/>
    <w:rsid w:val="00B263A8"/>
    <w:rsid w:val="00B26509"/>
    <w:rsid w:val="00B265ED"/>
    <w:rsid w:val="00B266D8"/>
    <w:rsid w:val="00B26912"/>
    <w:rsid w:val="00B26E37"/>
    <w:rsid w:val="00B26FD6"/>
    <w:rsid w:val="00B27037"/>
    <w:rsid w:val="00B27261"/>
    <w:rsid w:val="00B27415"/>
    <w:rsid w:val="00B27717"/>
    <w:rsid w:val="00B27A26"/>
    <w:rsid w:val="00B27A3F"/>
    <w:rsid w:val="00B27A5F"/>
    <w:rsid w:val="00B27BF5"/>
    <w:rsid w:val="00B27D11"/>
    <w:rsid w:val="00B3004E"/>
    <w:rsid w:val="00B30095"/>
    <w:rsid w:val="00B301B3"/>
    <w:rsid w:val="00B3024D"/>
    <w:rsid w:val="00B30329"/>
    <w:rsid w:val="00B303F5"/>
    <w:rsid w:val="00B30755"/>
    <w:rsid w:val="00B3094E"/>
    <w:rsid w:val="00B30CD5"/>
    <w:rsid w:val="00B30EA8"/>
    <w:rsid w:val="00B3100A"/>
    <w:rsid w:val="00B31102"/>
    <w:rsid w:val="00B31106"/>
    <w:rsid w:val="00B311CB"/>
    <w:rsid w:val="00B3129D"/>
    <w:rsid w:val="00B31529"/>
    <w:rsid w:val="00B315EA"/>
    <w:rsid w:val="00B3179B"/>
    <w:rsid w:val="00B319FA"/>
    <w:rsid w:val="00B31ABF"/>
    <w:rsid w:val="00B31C60"/>
    <w:rsid w:val="00B31C90"/>
    <w:rsid w:val="00B31CAD"/>
    <w:rsid w:val="00B31D67"/>
    <w:rsid w:val="00B320EC"/>
    <w:rsid w:val="00B32124"/>
    <w:rsid w:val="00B321B0"/>
    <w:rsid w:val="00B32667"/>
    <w:rsid w:val="00B32687"/>
    <w:rsid w:val="00B326EA"/>
    <w:rsid w:val="00B327FE"/>
    <w:rsid w:val="00B3282E"/>
    <w:rsid w:val="00B329CB"/>
    <w:rsid w:val="00B32B42"/>
    <w:rsid w:val="00B32B65"/>
    <w:rsid w:val="00B32F09"/>
    <w:rsid w:val="00B32F97"/>
    <w:rsid w:val="00B3300C"/>
    <w:rsid w:val="00B33064"/>
    <w:rsid w:val="00B330E3"/>
    <w:rsid w:val="00B332C3"/>
    <w:rsid w:val="00B33376"/>
    <w:rsid w:val="00B33423"/>
    <w:rsid w:val="00B334E8"/>
    <w:rsid w:val="00B335C9"/>
    <w:rsid w:val="00B33632"/>
    <w:rsid w:val="00B337F3"/>
    <w:rsid w:val="00B33A16"/>
    <w:rsid w:val="00B33A48"/>
    <w:rsid w:val="00B33B6F"/>
    <w:rsid w:val="00B33BE3"/>
    <w:rsid w:val="00B34003"/>
    <w:rsid w:val="00B341EE"/>
    <w:rsid w:val="00B34213"/>
    <w:rsid w:val="00B3443A"/>
    <w:rsid w:val="00B34621"/>
    <w:rsid w:val="00B34665"/>
    <w:rsid w:val="00B34882"/>
    <w:rsid w:val="00B34937"/>
    <w:rsid w:val="00B34C5B"/>
    <w:rsid w:val="00B34CB2"/>
    <w:rsid w:val="00B34D1F"/>
    <w:rsid w:val="00B34EFE"/>
    <w:rsid w:val="00B34F5D"/>
    <w:rsid w:val="00B3533A"/>
    <w:rsid w:val="00B353BF"/>
    <w:rsid w:val="00B35463"/>
    <w:rsid w:val="00B35670"/>
    <w:rsid w:val="00B3582B"/>
    <w:rsid w:val="00B359FE"/>
    <w:rsid w:val="00B3611A"/>
    <w:rsid w:val="00B36215"/>
    <w:rsid w:val="00B36408"/>
    <w:rsid w:val="00B365D0"/>
    <w:rsid w:val="00B36673"/>
    <w:rsid w:val="00B366FE"/>
    <w:rsid w:val="00B367C8"/>
    <w:rsid w:val="00B368F8"/>
    <w:rsid w:val="00B36922"/>
    <w:rsid w:val="00B36A18"/>
    <w:rsid w:val="00B36AC3"/>
    <w:rsid w:val="00B36CC3"/>
    <w:rsid w:val="00B36D29"/>
    <w:rsid w:val="00B36D44"/>
    <w:rsid w:val="00B36DA5"/>
    <w:rsid w:val="00B36F73"/>
    <w:rsid w:val="00B36FC0"/>
    <w:rsid w:val="00B37044"/>
    <w:rsid w:val="00B37050"/>
    <w:rsid w:val="00B371D5"/>
    <w:rsid w:val="00B371F9"/>
    <w:rsid w:val="00B3731D"/>
    <w:rsid w:val="00B374AB"/>
    <w:rsid w:val="00B376B7"/>
    <w:rsid w:val="00B37784"/>
    <w:rsid w:val="00B378F8"/>
    <w:rsid w:val="00B37A2D"/>
    <w:rsid w:val="00B37E68"/>
    <w:rsid w:val="00B37EE3"/>
    <w:rsid w:val="00B37FEB"/>
    <w:rsid w:val="00B400FA"/>
    <w:rsid w:val="00B40127"/>
    <w:rsid w:val="00B401A1"/>
    <w:rsid w:val="00B401DA"/>
    <w:rsid w:val="00B403A6"/>
    <w:rsid w:val="00B4067F"/>
    <w:rsid w:val="00B40817"/>
    <w:rsid w:val="00B41065"/>
    <w:rsid w:val="00B4116D"/>
    <w:rsid w:val="00B41370"/>
    <w:rsid w:val="00B41375"/>
    <w:rsid w:val="00B414A0"/>
    <w:rsid w:val="00B41532"/>
    <w:rsid w:val="00B4153D"/>
    <w:rsid w:val="00B41571"/>
    <w:rsid w:val="00B41650"/>
    <w:rsid w:val="00B416F0"/>
    <w:rsid w:val="00B4177F"/>
    <w:rsid w:val="00B418DE"/>
    <w:rsid w:val="00B41D8B"/>
    <w:rsid w:val="00B41FF2"/>
    <w:rsid w:val="00B42090"/>
    <w:rsid w:val="00B420B7"/>
    <w:rsid w:val="00B42163"/>
    <w:rsid w:val="00B421B6"/>
    <w:rsid w:val="00B42209"/>
    <w:rsid w:val="00B425CF"/>
    <w:rsid w:val="00B42669"/>
    <w:rsid w:val="00B426FE"/>
    <w:rsid w:val="00B4275A"/>
    <w:rsid w:val="00B428AC"/>
    <w:rsid w:val="00B428E3"/>
    <w:rsid w:val="00B428F1"/>
    <w:rsid w:val="00B42B68"/>
    <w:rsid w:val="00B42C4F"/>
    <w:rsid w:val="00B42D44"/>
    <w:rsid w:val="00B42E6B"/>
    <w:rsid w:val="00B42FA0"/>
    <w:rsid w:val="00B42FAE"/>
    <w:rsid w:val="00B43126"/>
    <w:rsid w:val="00B432FE"/>
    <w:rsid w:val="00B4339B"/>
    <w:rsid w:val="00B436BA"/>
    <w:rsid w:val="00B43831"/>
    <w:rsid w:val="00B4384E"/>
    <w:rsid w:val="00B438F6"/>
    <w:rsid w:val="00B4395E"/>
    <w:rsid w:val="00B4399D"/>
    <w:rsid w:val="00B439F3"/>
    <w:rsid w:val="00B43AE0"/>
    <w:rsid w:val="00B43C17"/>
    <w:rsid w:val="00B43C55"/>
    <w:rsid w:val="00B43F02"/>
    <w:rsid w:val="00B43F27"/>
    <w:rsid w:val="00B43F99"/>
    <w:rsid w:val="00B44091"/>
    <w:rsid w:val="00B44252"/>
    <w:rsid w:val="00B44372"/>
    <w:rsid w:val="00B44736"/>
    <w:rsid w:val="00B44817"/>
    <w:rsid w:val="00B448FB"/>
    <w:rsid w:val="00B449F1"/>
    <w:rsid w:val="00B44AB8"/>
    <w:rsid w:val="00B44B2A"/>
    <w:rsid w:val="00B44BBA"/>
    <w:rsid w:val="00B44C5C"/>
    <w:rsid w:val="00B4515A"/>
    <w:rsid w:val="00B452B6"/>
    <w:rsid w:val="00B45435"/>
    <w:rsid w:val="00B4547C"/>
    <w:rsid w:val="00B454B2"/>
    <w:rsid w:val="00B4556D"/>
    <w:rsid w:val="00B456EF"/>
    <w:rsid w:val="00B4594C"/>
    <w:rsid w:val="00B45ACC"/>
    <w:rsid w:val="00B45DB8"/>
    <w:rsid w:val="00B45EC5"/>
    <w:rsid w:val="00B45F82"/>
    <w:rsid w:val="00B45F88"/>
    <w:rsid w:val="00B4608A"/>
    <w:rsid w:val="00B46582"/>
    <w:rsid w:val="00B465A3"/>
    <w:rsid w:val="00B469A0"/>
    <w:rsid w:val="00B469AB"/>
    <w:rsid w:val="00B469F3"/>
    <w:rsid w:val="00B46A29"/>
    <w:rsid w:val="00B46B07"/>
    <w:rsid w:val="00B470ED"/>
    <w:rsid w:val="00B47218"/>
    <w:rsid w:val="00B4730A"/>
    <w:rsid w:val="00B4744C"/>
    <w:rsid w:val="00B47555"/>
    <w:rsid w:val="00B475D0"/>
    <w:rsid w:val="00B47803"/>
    <w:rsid w:val="00B47AD8"/>
    <w:rsid w:val="00B50073"/>
    <w:rsid w:val="00B50074"/>
    <w:rsid w:val="00B50274"/>
    <w:rsid w:val="00B502DE"/>
    <w:rsid w:val="00B502F0"/>
    <w:rsid w:val="00B50378"/>
    <w:rsid w:val="00B503E8"/>
    <w:rsid w:val="00B50A3E"/>
    <w:rsid w:val="00B50A4F"/>
    <w:rsid w:val="00B50A6D"/>
    <w:rsid w:val="00B50DA4"/>
    <w:rsid w:val="00B50DC9"/>
    <w:rsid w:val="00B50FB4"/>
    <w:rsid w:val="00B510F4"/>
    <w:rsid w:val="00B5134D"/>
    <w:rsid w:val="00B513F6"/>
    <w:rsid w:val="00B515BA"/>
    <w:rsid w:val="00B51624"/>
    <w:rsid w:val="00B5189B"/>
    <w:rsid w:val="00B519AC"/>
    <w:rsid w:val="00B51E9D"/>
    <w:rsid w:val="00B52054"/>
    <w:rsid w:val="00B5241E"/>
    <w:rsid w:val="00B5242B"/>
    <w:rsid w:val="00B524B9"/>
    <w:rsid w:val="00B526A8"/>
    <w:rsid w:val="00B528D0"/>
    <w:rsid w:val="00B52CDA"/>
    <w:rsid w:val="00B52F43"/>
    <w:rsid w:val="00B52F60"/>
    <w:rsid w:val="00B52FA4"/>
    <w:rsid w:val="00B52FF4"/>
    <w:rsid w:val="00B53006"/>
    <w:rsid w:val="00B530B8"/>
    <w:rsid w:val="00B531A6"/>
    <w:rsid w:val="00B531EA"/>
    <w:rsid w:val="00B537D4"/>
    <w:rsid w:val="00B5387C"/>
    <w:rsid w:val="00B538C0"/>
    <w:rsid w:val="00B53B5D"/>
    <w:rsid w:val="00B53B89"/>
    <w:rsid w:val="00B53CC4"/>
    <w:rsid w:val="00B53CCE"/>
    <w:rsid w:val="00B53DD8"/>
    <w:rsid w:val="00B541F8"/>
    <w:rsid w:val="00B54306"/>
    <w:rsid w:val="00B548CA"/>
    <w:rsid w:val="00B54AE8"/>
    <w:rsid w:val="00B54C36"/>
    <w:rsid w:val="00B54C7D"/>
    <w:rsid w:val="00B54CED"/>
    <w:rsid w:val="00B54E2D"/>
    <w:rsid w:val="00B54E46"/>
    <w:rsid w:val="00B54F83"/>
    <w:rsid w:val="00B54FD1"/>
    <w:rsid w:val="00B55018"/>
    <w:rsid w:val="00B55059"/>
    <w:rsid w:val="00B550C5"/>
    <w:rsid w:val="00B554B5"/>
    <w:rsid w:val="00B554D9"/>
    <w:rsid w:val="00B5556A"/>
    <w:rsid w:val="00B555AC"/>
    <w:rsid w:val="00B555B6"/>
    <w:rsid w:val="00B55731"/>
    <w:rsid w:val="00B557DA"/>
    <w:rsid w:val="00B55A4B"/>
    <w:rsid w:val="00B55B0E"/>
    <w:rsid w:val="00B55B7A"/>
    <w:rsid w:val="00B55CE3"/>
    <w:rsid w:val="00B55DAE"/>
    <w:rsid w:val="00B55E4A"/>
    <w:rsid w:val="00B560BF"/>
    <w:rsid w:val="00B564AE"/>
    <w:rsid w:val="00B564B4"/>
    <w:rsid w:val="00B56523"/>
    <w:rsid w:val="00B565A5"/>
    <w:rsid w:val="00B56626"/>
    <w:rsid w:val="00B56891"/>
    <w:rsid w:val="00B56A21"/>
    <w:rsid w:val="00B56A93"/>
    <w:rsid w:val="00B56AB3"/>
    <w:rsid w:val="00B56C30"/>
    <w:rsid w:val="00B56E05"/>
    <w:rsid w:val="00B56E92"/>
    <w:rsid w:val="00B5700A"/>
    <w:rsid w:val="00B57028"/>
    <w:rsid w:val="00B57517"/>
    <w:rsid w:val="00B576E8"/>
    <w:rsid w:val="00B5778B"/>
    <w:rsid w:val="00B5778D"/>
    <w:rsid w:val="00B577D4"/>
    <w:rsid w:val="00B57849"/>
    <w:rsid w:val="00B57907"/>
    <w:rsid w:val="00B57A1F"/>
    <w:rsid w:val="00B57ACD"/>
    <w:rsid w:val="00B57BB4"/>
    <w:rsid w:val="00B57BFC"/>
    <w:rsid w:val="00B57D06"/>
    <w:rsid w:val="00B57D2E"/>
    <w:rsid w:val="00B57E28"/>
    <w:rsid w:val="00B57FB1"/>
    <w:rsid w:val="00B600C3"/>
    <w:rsid w:val="00B6012D"/>
    <w:rsid w:val="00B60135"/>
    <w:rsid w:val="00B603A0"/>
    <w:rsid w:val="00B6055E"/>
    <w:rsid w:val="00B60685"/>
    <w:rsid w:val="00B609F1"/>
    <w:rsid w:val="00B60BCC"/>
    <w:rsid w:val="00B60CD1"/>
    <w:rsid w:val="00B60CD3"/>
    <w:rsid w:val="00B60D97"/>
    <w:rsid w:val="00B60EE6"/>
    <w:rsid w:val="00B6102E"/>
    <w:rsid w:val="00B61035"/>
    <w:rsid w:val="00B610A8"/>
    <w:rsid w:val="00B61278"/>
    <w:rsid w:val="00B61318"/>
    <w:rsid w:val="00B61387"/>
    <w:rsid w:val="00B6145B"/>
    <w:rsid w:val="00B615B9"/>
    <w:rsid w:val="00B615CC"/>
    <w:rsid w:val="00B61673"/>
    <w:rsid w:val="00B616D0"/>
    <w:rsid w:val="00B6194A"/>
    <w:rsid w:val="00B619B6"/>
    <w:rsid w:val="00B619D7"/>
    <w:rsid w:val="00B61A5D"/>
    <w:rsid w:val="00B61AD8"/>
    <w:rsid w:val="00B61BB7"/>
    <w:rsid w:val="00B61CB9"/>
    <w:rsid w:val="00B61CDB"/>
    <w:rsid w:val="00B61CE1"/>
    <w:rsid w:val="00B61E7B"/>
    <w:rsid w:val="00B61FF0"/>
    <w:rsid w:val="00B62175"/>
    <w:rsid w:val="00B62332"/>
    <w:rsid w:val="00B62568"/>
    <w:rsid w:val="00B625EC"/>
    <w:rsid w:val="00B62689"/>
    <w:rsid w:val="00B628E1"/>
    <w:rsid w:val="00B62A5E"/>
    <w:rsid w:val="00B62A64"/>
    <w:rsid w:val="00B62A87"/>
    <w:rsid w:val="00B62D90"/>
    <w:rsid w:val="00B62DA7"/>
    <w:rsid w:val="00B62E28"/>
    <w:rsid w:val="00B62EC1"/>
    <w:rsid w:val="00B62EDB"/>
    <w:rsid w:val="00B62F82"/>
    <w:rsid w:val="00B630AD"/>
    <w:rsid w:val="00B6317D"/>
    <w:rsid w:val="00B631DD"/>
    <w:rsid w:val="00B63255"/>
    <w:rsid w:val="00B632C1"/>
    <w:rsid w:val="00B6336D"/>
    <w:rsid w:val="00B63371"/>
    <w:rsid w:val="00B63372"/>
    <w:rsid w:val="00B633F4"/>
    <w:rsid w:val="00B63431"/>
    <w:rsid w:val="00B63445"/>
    <w:rsid w:val="00B637C0"/>
    <w:rsid w:val="00B63976"/>
    <w:rsid w:val="00B6397B"/>
    <w:rsid w:val="00B63ADB"/>
    <w:rsid w:val="00B63AF1"/>
    <w:rsid w:val="00B63BFF"/>
    <w:rsid w:val="00B63E55"/>
    <w:rsid w:val="00B63E8A"/>
    <w:rsid w:val="00B63F3D"/>
    <w:rsid w:val="00B64073"/>
    <w:rsid w:val="00B64105"/>
    <w:rsid w:val="00B6410A"/>
    <w:rsid w:val="00B641C5"/>
    <w:rsid w:val="00B64471"/>
    <w:rsid w:val="00B6455F"/>
    <w:rsid w:val="00B64593"/>
    <w:rsid w:val="00B64641"/>
    <w:rsid w:val="00B6464D"/>
    <w:rsid w:val="00B646A1"/>
    <w:rsid w:val="00B647CE"/>
    <w:rsid w:val="00B647D9"/>
    <w:rsid w:val="00B6491E"/>
    <w:rsid w:val="00B649A4"/>
    <w:rsid w:val="00B64B54"/>
    <w:rsid w:val="00B64BB4"/>
    <w:rsid w:val="00B64F72"/>
    <w:rsid w:val="00B64F9A"/>
    <w:rsid w:val="00B65017"/>
    <w:rsid w:val="00B6515A"/>
    <w:rsid w:val="00B653F8"/>
    <w:rsid w:val="00B654B7"/>
    <w:rsid w:val="00B657F4"/>
    <w:rsid w:val="00B65961"/>
    <w:rsid w:val="00B659AD"/>
    <w:rsid w:val="00B65BF7"/>
    <w:rsid w:val="00B65ECC"/>
    <w:rsid w:val="00B65FB7"/>
    <w:rsid w:val="00B66165"/>
    <w:rsid w:val="00B6618E"/>
    <w:rsid w:val="00B6620B"/>
    <w:rsid w:val="00B66222"/>
    <w:rsid w:val="00B66280"/>
    <w:rsid w:val="00B6658B"/>
    <w:rsid w:val="00B665A7"/>
    <w:rsid w:val="00B66685"/>
    <w:rsid w:val="00B66720"/>
    <w:rsid w:val="00B66A09"/>
    <w:rsid w:val="00B66B9F"/>
    <w:rsid w:val="00B66CB4"/>
    <w:rsid w:val="00B66D33"/>
    <w:rsid w:val="00B66D71"/>
    <w:rsid w:val="00B66F37"/>
    <w:rsid w:val="00B66F44"/>
    <w:rsid w:val="00B671EF"/>
    <w:rsid w:val="00B6721D"/>
    <w:rsid w:val="00B672B3"/>
    <w:rsid w:val="00B67427"/>
    <w:rsid w:val="00B674D2"/>
    <w:rsid w:val="00B67535"/>
    <w:rsid w:val="00B677B3"/>
    <w:rsid w:val="00B6783A"/>
    <w:rsid w:val="00B679C8"/>
    <w:rsid w:val="00B67BF2"/>
    <w:rsid w:val="00B67C08"/>
    <w:rsid w:val="00B67FD6"/>
    <w:rsid w:val="00B7000E"/>
    <w:rsid w:val="00B7005E"/>
    <w:rsid w:val="00B700A4"/>
    <w:rsid w:val="00B700C9"/>
    <w:rsid w:val="00B7018C"/>
    <w:rsid w:val="00B70216"/>
    <w:rsid w:val="00B703A6"/>
    <w:rsid w:val="00B704D8"/>
    <w:rsid w:val="00B70535"/>
    <w:rsid w:val="00B7073A"/>
    <w:rsid w:val="00B707B4"/>
    <w:rsid w:val="00B70A6B"/>
    <w:rsid w:val="00B70B6B"/>
    <w:rsid w:val="00B70B8B"/>
    <w:rsid w:val="00B70BE1"/>
    <w:rsid w:val="00B70D87"/>
    <w:rsid w:val="00B70E30"/>
    <w:rsid w:val="00B70F30"/>
    <w:rsid w:val="00B70F45"/>
    <w:rsid w:val="00B70F63"/>
    <w:rsid w:val="00B710A0"/>
    <w:rsid w:val="00B71175"/>
    <w:rsid w:val="00B711DE"/>
    <w:rsid w:val="00B71276"/>
    <w:rsid w:val="00B71288"/>
    <w:rsid w:val="00B71855"/>
    <w:rsid w:val="00B71A07"/>
    <w:rsid w:val="00B71A52"/>
    <w:rsid w:val="00B71A67"/>
    <w:rsid w:val="00B71E1F"/>
    <w:rsid w:val="00B71E34"/>
    <w:rsid w:val="00B71EDD"/>
    <w:rsid w:val="00B72140"/>
    <w:rsid w:val="00B72242"/>
    <w:rsid w:val="00B72252"/>
    <w:rsid w:val="00B725E0"/>
    <w:rsid w:val="00B7266D"/>
    <w:rsid w:val="00B72A0A"/>
    <w:rsid w:val="00B72A64"/>
    <w:rsid w:val="00B72BB9"/>
    <w:rsid w:val="00B72BEC"/>
    <w:rsid w:val="00B72D00"/>
    <w:rsid w:val="00B72D89"/>
    <w:rsid w:val="00B72DDA"/>
    <w:rsid w:val="00B72E3B"/>
    <w:rsid w:val="00B72F2C"/>
    <w:rsid w:val="00B7338C"/>
    <w:rsid w:val="00B734B1"/>
    <w:rsid w:val="00B738B1"/>
    <w:rsid w:val="00B73934"/>
    <w:rsid w:val="00B73938"/>
    <w:rsid w:val="00B739E5"/>
    <w:rsid w:val="00B73AE6"/>
    <w:rsid w:val="00B73B7A"/>
    <w:rsid w:val="00B73C81"/>
    <w:rsid w:val="00B73E6A"/>
    <w:rsid w:val="00B73F05"/>
    <w:rsid w:val="00B7420F"/>
    <w:rsid w:val="00B742AC"/>
    <w:rsid w:val="00B74377"/>
    <w:rsid w:val="00B743DC"/>
    <w:rsid w:val="00B74433"/>
    <w:rsid w:val="00B745C8"/>
    <w:rsid w:val="00B74741"/>
    <w:rsid w:val="00B747F8"/>
    <w:rsid w:val="00B74892"/>
    <w:rsid w:val="00B74941"/>
    <w:rsid w:val="00B749AA"/>
    <w:rsid w:val="00B74B52"/>
    <w:rsid w:val="00B74CCD"/>
    <w:rsid w:val="00B74E34"/>
    <w:rsid w:val="00B74EBA"/>
    <w:rsid w:val="00B74EF8"/>
    <w:rsid w:val="00B74F57"/>
    <w:rsid w:val="00B74F8D"/>
    <w:rsid w:val="00B75159"/>
    <w:rsid w:val="00B752F0"/>
    <w:rsid w:val="00B7537A"/>
    <w:rsid w:val="00B75472"/>
    <w:rsid w:val="00B755C7"/>
    <w:rsid w:val="00B75606"/>
    <w:rsid w:val="00B7572E"/>
    <w:rsid w:val="00B75752"/>
    <w:rsid w:val="00B757F1"/>
    <w:rsid w:val="00B75AF7"/>
    <w:rsid w:val="00B75B12"/>
    <w:rsid w:val="00B75B5B"/>
    <w:rsid w:val="00B75B88"/>
    <w:rsid w:val="00B75BE2"/>
    <w:rsid w:val="00B75CA2"/>
    <w:rsid w:val="00B75D93"/>
    <w:rsid w:val="00B75DD0"/>
    <w:rsid w:val="00B75E85"/>
    <w:rsid w:val="00B76236"/>
    <w:rsid w:val="00B76385"/>
    <w:rsid w:val="00B7638A"/>
    <w:rsid w:val="00B763E2"/>
    <w:rsid w:val="00B765DF"/>
    <w:rsid w:val="00B768E9"/>
    <w:rsid w:val="00B76A5D"/>
    <w:rsid w:val="00B76B27"/>
    <w:rsid w:val="00B76B98"/>
    <w:rsid w:val="00B76CEC"/>
    <w:rsid w:val="00B76DD3"/>
    <w:rsid w:val="00B76E14"/>
    <w:rsid w:val="00B76F4D"/>
    <w:rsid w:val="00B76FDF"/>
    <w:rsid w:val="00B7713D"/>
    <w:rsid w:val="00B7723F"/>
    <w:rsid w:val="00B773C5"/>
    <w:rsid w:val="00B773F8"/>
    <w:rsid w:val="00B77443"/>
    <w:rsid w:val="00B77455"/>
    <w:rsid w:val="00B777AF"/>
    <w:rsid w:val="00B778EB"/>
    <w:rsid w:val="00B77CD5"/>
    <w:rsid w:val="00B77D2A"/>
    <w:rsid w:val="00B800CA"/>
    <w:rsid w:val="00B8010D"/>
    <w:rsid w:val="00B80177"/>
    <w:rsid w:val="00B80387"/>
    <w:rsid w:val="00B80481"/>
    <w:rsid w:val="00B80534"/>
    <w:rsid w:val="00B8078D"/>
    <w:rsid w:val="00B808D6"/>
    <w:rsid w:val="00B808FA"/>
    <w:rsid w:val="00B80930"/>
    <w:rsid w:val="00B8094A"/>
    <w:rsid w:val="00B80B8E"/>
    <w:rsid w:val="00B80C02"/>
    <w:rsid w:val="00B80E2B"/>
    <w:rsid w:val="00B81044"/>
    <w:rsid w:val="00B810CD"/>
    <w:rsid w:val="00B8133A"/>
    <w:rsid w:val="00B81344"/>
    <w:rsid w:val="00B81483"/>
    <w:rsid w:val="00B8168B"/>
    <w:rsid w:val="00B817A3"/>
    <w:rsid w:val="00B8185C"/>
    <w:rsid w:val="00B8196A"/>
    <w:rsid w:val="00B81A2F"/>
    <w:rsid w:val="00B81A60"/>
    <w:rsid w:val="00B81A84"/>
    <w:rsid w:val="00B81A8F"/>
    <w:rsid w:val="00B81CC7"/>
    <w:rsid w:val="00B81D9F"/>
    <w:rsid w:val="00B81EE5"/>
    <w:rsid w:val="00B8210B"/>
    <w:rsid w:val="00B82167"/>
    <w:rsid w:val="00B822FB"/>
    <w:rsid w:val="00B823AB"/>
    <w:rsid w:val="00B824E8"/>
    <w:rsid w:val="00B82739"/>
    <w:rsid w:val="00B829AD"/>
    <w:rsid w:val="00B82AC2"/>
    <w:rsid w:val="00B82AE7"/>
    <w:rsid w:val="00B82B42"/>
    <w:rsid w:val="00B82CB0"/>
    <w:rsid w:val="00B82E4F"/>
    <w:rsid w:val="00B830B6"/>
    <w:rsid w:val="00B830F5"/>
    <w:rsid w:val="00B8315B"/>
    <w:rsid w:val="00B833BB"/>
    <w:rsid w:val="00B83415"/>
    <w:rsid w:val="00B8352F"/>
    <w:rsid w:val="00B83579"/>
    <w:rsid w:val="00B8366E"/>
    <w:rsid w:val="00B836B5"/>
    <w:rsid w:val="00B8386F"/>
    <w:rsid w:val="00B839B8"/>
    <w:rsid w:val="00B83A2F"/>
    <w:rsid w:val="00B83ADF"/>
    <w:rsid w:val="00B83E03"/>
    <w:rsid w:val="00B84049"/>
    <w:rsid w:val="00B84242"/>
    <w:rsid w:val="00B8433C"/>
    <w:rsid w:val="00B8443D"/>
    <w:rsid w:val="00B84640"/>
    <w:rsid w:val="00B8465B"/>
    <w:rsid w:val="00B8475D"/>
    <w:rsid w:val="00B849C3"/>
    <w:rsid w:val="00B84B54"/>
    <w:rsid w:val="00B84C5B"/>
    <w:rsid w:val="00B84CA7"/>
    <w:rsid w:val="00B84CEC"/>
    <w:rsid w:val="00B84CF6"/>
    <w:rsid w:val="00B84DD9"/>
    <w:rsid w:val="00B84E0C"/>
    <w:rsid w:val="00B84E57"/>
    <w:rsid w:val="00B84EE8"/>
    <w:rsid w:val="00B84FBC"/>
    <w:rsid w:val="00B850AD"/>
    <w:rsid w:val="00B850EE"/>
    <w:rsid w:val="00B852D0"/>
    <w:rsid w:val="00B85362"/>
    <w:rsid w:val="00B853AD"/>
    <w:rsid w:val="00B85488"/>
    <w:rsid w:val="00B85535"/>
    <w:rsid w:val="00B8565F"/>
    <w:rsid w:val="00B8569B"/>
    <w:rsid w:val="00B859E6"/>
    <w:rsid w:val="00B85B3C"/>
    <w:rsid w:val="00B85CAD"/>
    <w:rsid w:val="00B85D6B"/>
    <w:rsid w:val="00B85FE4"/>
    <w:rsid w:val="00B86016"/>
    <w:rsid w:val="00B861A8"/>
    <w:rsid w:val="00B861B6"/>
    <w:rsid w:val="00B861D6"/>
    <w:rsid w:val="00B86200"/>
    <w:rsid w:val="00B8635F"/>
    <w:rsid w:val="00B86410"/>
    <w:rsid w:val="00B86585"/>
    <w:rsid w:val="00B865A8"/>
    <w:rsid w:val="00B8669A"/>
    <w:rsid w:val="00B868DD"/>
    <w:rsid w:val="00B86A20"/>
    <w:rsid w:val="00B86B35"/>
    <w:rsid w:val="00B86B88"/>
    <w:rsid w:val="00B86C31"/>
    <w:rsid w:val="00B86CB6"/>
    <w:rsid w:val="00B86CBF"/>
    <w:rsid w:val="00B86D26"/>
    <w:rsid w:val="00B86FD7"/>
    <w:rsid w:val="00B87048"/>
    <w:rsid w:val="00B87056"/>
    <w:rsid w:val="00B87087"/>
    <w:rsid w:val="00B8715B"/>
    <w:rsid w:val="00B87164"/>
    <w:rsid w:val="00B8723B"/>
    <w:rsid w:val="00B873AD"/>
    <w:rsid w:val="00B87491"/>
    <w:rsid w:val="00B87498"/>
    <w:rsid w:val="00B874DA"/>
    <w:rsid w:val="00B87520"/>
    <w:rsid w:val="00B878A5"/>
    <w:rsid w:val="00B879D9"/>
    <w:rsid w:val="00B87A5A"/>
    <w:rsid w:val="00B87C8D"/>
    <w:rsid w:val="00B87ED0"/>
    <w:rsid w:val="00B87EDF"/>
    <w:rsid w:val="00B87FA9"/>
    <w:rsid w:val="00B9002D"/>
    <w:rsid w:val="00B90074"/>
    <w:rsid w:val="00B900A0"/>
    <w:rsid w:val="00B900FE"/>
    <w:rsid w:val="00B9015A"/>
    <w:rsid w:val="00B90352"/>
    <w:rsid w:val="00B9039F"/>
    <w:rsid w:val="00B903D5"/>
    <w:rsid w:val="00B905E5"/>
    <w:rsid w:val="00B906CB"/>
    <w:rsid w:val="00B90847"/>
    <w:rsid w:val="00B909ED"/>
    <w:rsid w:val="00B90AA3"/>
    <w:rsid w:val="00B90B45"/>
    <w:rsid w:val="00B90C93"/>
    <w:rsid w:val="00B90D40"/>
    <w:rsid w:val="00B90E52"/>
    <w:rsid w:val="00B90F0B"/>
    <w:rsid w:val="00B90F66"/>
    <w:rsid w:val="00B90F72"/>
    <w:rsid w:val="00B91177"/>
    <w:rsid w:val="00B9119C"/>
    <w:rsid w:val="00B91382"/>
    <w:rsid w:val="00B9152E"/>
    <w:rsid w:val="00B916C8"/>
    <w:rsid w:val="00B9178F"/>
    <w:rsid w:val="00B9179C"/>
    <w:rsid w:val="00B917E2"/>
    <w:rsid w:val="00B91A66"/>
    <w:rsid w:val="00B91BC3"/>
    <w:rsid w:val="00B91E89"/>
    <w:rsid w:val="00B91F63"/>
    <w:rsid w:val="00B92068"/>
    <w:rsid w:val="00B920BB"/>
    <w:rsid w:val="00B920DA"/>
    <w:rsid w:val="00B92605"/>
    <w:rsid w:val="00B92692"/>
    <w:rsid w:val="00B92756"/>
    <w:rsid w:val="00B92775"/>
    <w:rsid w:val="00B928D6"/>
    <w:rsid w:val="00B929C7"/>
    <w:rsid w:val="00B92A33"/>
    <w:rsid w:val="00B92B3D"/>
    <w:rsid w:val="00B92D77"/>
    <w:rsid w:val="00B92D9F"/>
    <w:rsid w:val="00B92E7A"/>
    <w:rsid w:val="00B9303B"/>
    <w:rsid w:val="00B93048"/>
    <w:rsid w:val="00B930E4"/>
    <w:rsid w:val="00B930FE"/>
    <w:rsid w:val="00B931E2"/>
    <w:rsid w:val="00B932B0"/>
    <w:rsid w:val="00B93456"/>
    <w:rsid w:val="00B93506"/>
    <w:rsid w:val="00B935B9"/>
    <w:rsid w:val="00B93692"/>
    <w:rsid w:val="00B93748"/>
    <w:rsid w:val="00B9393C"/>
    <w:rsid w:val="00B93A4D"/>
    <w:rsid w:val="00B93B2C"/>
    <w:rsid w:val="00B93C28"/>
    <w:rsid w:val="00B93CB2"/>
    <w:rsid w:val="00B93D04"/>
    <w:rsid w:val="00B93D8E"/>
    <w:rsid w:val="00B93DE0"/>
    <w:rsid w:val="00B94022"/>
    <w:rsid w:val="00B942BB"/>
    <w:rsid w:val="00B9436D"/>
    <w:rsid w:val="00B945C3"/>
    <w:rsid w:val="00B94607"/>
    <w:rsid w:val="00B94698"/>
    <w:rsid w:val="00B94927"/>
    <w:rsid w:val="00B9499D"/>
    <w:rsid w:val="00B949A1"/>
    <w:rsid w:val="00B94B85"/>
    <w:rsid w:val="00B94BA3"/>
    <w:rsid w:val="00B94F44"/>
    <w:rsid w:val="00B9502D"/>
    <w:rsid w:val="00B9508E"/>
    <w:rsid w:val="00B951D1"/>
    <w:rsid w:val="00B952A6"/>
    <w:rsid w:val="00B952DA"/>
    <w:rsid w:val="00B95546"/>
    <w:rsid w:val="00B955C2"/>
    <w:rsid w:val="00B955E4"/>
    <w:rsid w:val="00B95602"/>
    <w:rsid w:val="00B95871"/>
    <w:rsid w:val="00B958CE"/>
    <w:rsid w:val="00B95A03"/>
    <w:rsid w:val="00B95AC8"/>
    <w:rsid w:val="00B95C0C"/>
    <w:rsid w:val="00B95CB4"/>
    <w:rsid w:val="00B95CF6"/>
    <w:rsid w:val="00B95ED6"/>
    <w:rsid w:val="00B95F39"/>
    <w:rsid w:val="00B960D6"/>
    <w:rsid w:val="00B961E7"/>
    <w:rsid w:val="00B9625A"/>
    <w:rsid w:val="00B962F6"/>
    <w:rsid w:val="00B963AA"/>
    <w:rsid w:val="00B963D2"/>
    <w:rsid w:val="00B964A4"/>
    <w:rsid w:val="00B965BF"/>
    <w:rsid w:val="00B96747"/>
    <w:rsid w:val="00B967E2"/>
    <w:rsid w:val="00B96822"/>
    <w:rsid w:val="00B96844"/>
    <w:rsid w:val="00B9696D"/>
    <w:rsid w:val="00B969BC"/>
    <w:rsid w:val="00B96A0D"/>
    <w:rsid w:val="00B970A3"/>
    <w:rsid w:val="00B972B1"/>
    <w:rsid w:val="00B973E2"/>
    <w:rsid w:val="00B97410"/>
    <w:rsid w:val="00B975DB"/>
    <w:rsid w:val="00B97629"/>
    <w:rsid w:val="00B97790"/>
    <w:rsid w:val="00B977C4"/>
    <w:rsid w:val="00B977EE"/>
    <w:rsid w:val="00B977F6"/>
    <w:rsid w:val="00B9797D"/>
    <w:rsid w:val="00B97BCD"/>
    <w:rsid w:val="00B97D4F"/>
    <w:rsid w:val="00BA00F5"/>
    <w:rsid w:val="00BA0152"/>
    <w:rsid w:val="00BA040C"/>
    <w:rsid w:val="00BA0452"/>
    <w:rsid w:val="00BA0634"/>
    <w:rsid w:val="00BA065C"/>
    <w:rsid w:val="00BA074E"/>
    <w:rsid w:val="00BA084B"/>
    <w:rsid w:val="00BA0908"/>
    <w:rsid w:val="00BA09F2"/>
    <w:rsid w:val="00BA09F5"/>
    <w:rsid w:val="00BA0A3F"/>
    <w:rsid w:val="00BA0E5E"/>
    <w:rsid w:val="00BA0E7C"/>
    <w:rsid w:val="00BA0F20"/>
    <w:rsid w:val="00BA11B8"/>
    <w:rsid w:val="00BA12F4"/>
    <w:rsid w:val="00BA1325"/>
    <w:rsid w:val="00BA135D"/>
    <w:rsid w:val="00BA147B"/>
    <w:rsid w:val="00BA14ED"/>
    <w:rsid w:val="00BA14FD"/>
    <w:rsid w:val="00BA1506"/>
    <w:rsid w:val="00BA1568"/>
    <w:rsid w:val="00BA1819"/>
    <w:rsid w:val="00BA190F"/>
    <w:rsid w:val="00BA19B2"/>
    <w:rsid w:val="00BA1B00"/>
    <w:rsid w:val="00BA1B3F"/>
    <w:rsid w:val="00BA1B55"/>
    <w:rsid w:val="00BA1CDC"/>
    <w:rsid w:val="00BA1D04"/>
    <w:rsid w:val="00BA1D31"/>
    <w:rsid w:val="00BA1E48"/>
    <w:rsid w:val="00BA207A"/>
    <w:rsid w:val="00BA2149"/>
    <w:rsid w:val="00BA2236"/>
    <w:rsid w:val="00BA236E"/>
    <w:rsid w:val="00BA2608"/>
    <w:rsid w:val="00BA2613"/>
    <w:rsid w:val="00BA2683"/>
    <w:rsid w:val="00BA27B4"/>
    <w:rsid w:val="00BA27F7"/>
    <w:rsid w:val="00BA27FC"/>
    <w:rsid w:val="00BA29E9"/>
    <w:rsid w:val="00BA2C83"/>
    <w:rsid w:val="00BA2CBB"/>
    <w:rsid w:val="00BA2E75"/>
    <w:rsid w:val="00BA2EC2"/>
    <w:rsid w:val="00BA303F"/>
    <w:rsid w:val="00BA31F3"/>
    <w:rsid w:val="00BA3322"/>
    <w:rsid w:val="00BA3359"/>
    <w:rsid w:val="00BA337A"/>
    <w:rsid w:val="00BA33D0"/>
    <w:rsid w:val="00BA356D"/>
    <w:rsid w:val="00BA3625"/>
    <w:rsid w:val="00BA3778"/>
    <w:rsid w:val="00BA3802"/>
    <w:rsid w:val="00BA394D"/>
    <w:rsid w:val="00BA39C7"/>
    <w:rsid w:val="00BA3CD9"/>
    <w:rsid w:val="00BA3DD1"/>
    <w:rsid w:val="00BA3E4F"/>
    <w:rsid w:val="00BA3F96"/>
    <w:rsid w:val="00BA3F98"/>
    <w:rsid w:val="00BA4039"/>
    <w:rsid w:val="00BA418C"/>
    <w:rsid w:val="00BA43A1"/>
    <w:rsid w:val="00BA44E0"/>
    <w:rsid w:val="00BA4643"/>
    <w:rsid w:val="00BA4696"/>
    <w:rsid w:val="00BA4739"/>
    <w:rsid w:val="00BA4932"/>
    <w:rsid w:val="00BA4984"/>
    <w:rsid w:val="00BA4C61"/>
    <w:rsid w:val="00BA4D16"/>
    <w:rsid w:val="00BA4D5B"/>
    <w:rsid w:val="00BA4DB2"/>
    <w:rsid w:val="00BA4DCD"/>
    <w:rsid w:val="00BA4EEF"/>
    <w:rsid w:val="00BA4F3C"/>
    <w:rsid w:val="00BA53A3"/>
    <w:rsid w:val="00BA5455"/>
    <w:rsid w:val="00BA54CB"/>
    <w:rsid w:val="00BA54E7"/>
    <w:rsid w:val="00BA5511"/>
    <w:rsid w:val="00BA55FA"/>
    <w:rsid w:val="00BA56FA"/>
    <w:rsid w:val="00BA5736"/>
    <w:rsid w:val="00BA5942"/>
    <w:rsid w:val="00BA5962"/>
    <w:rsid w:val="00BA5979"/>
    <w:rsid w:val="00BA5A23"/>
    <w:rsid w:val="00BA5AAC"/>
    <w:rsid w:val="00BA5B37"/>
    <w:rsid w:val="00BA5B72"/>
    <w:rsid w:val="00BA5B85"/>
    <w:rsid w:val="00BA5E85"/>
    <w:rsid w:val="00BA5EB7"/>
    <w:rsid w:val="00BA5EDE"/>
    <w:rsid w:val="00BA5EFA"/>
    <w:rsid w:val="00BA5F61"/>
    <w:rsid w:val="00BA5FC5"/>
    <w:rsid w:val="00BA607B"/>
    <w:rsid w:val="00BA60E5"/>
    <w:rsid w:val="00BA6102"/>
    <w:rsid w:val="00BA61DF"/>
    <w:rsid w:val="00BA626F"/>
    <w:rsid w:val="00BA641E"/>
    <w:rsid w:val="00BA64A7"/>
    <w:rsid w:val="00BA6554"/>
    <w:rsid w:val="00BA66B1"/>
    <w:rsid w:val="00BA66BF"/>
    <w:rsid w:val="00BA68B8"/>
    <w:rsid w:val="00BA690C"/>
    <w:rsid w:val="00BA693F"/>
    <w:rsid w:val="00BA69C2"/>
    <w:rsid w:val="00BA6A47"/>
    <w:rsid w:val="00BA6AE2"/>
    <w:rsid w:val="00BA6B27"/>
    <w:rsid w:val="00BA6D3B"/>
    <w:rsid w:val="00BA6DC1"/>
    <w:rsid w:val="00BA6DDD"/>
    <w:rsid w:val="00BA6EEF"/>
    <w:rsid w:val="00BA6EF4"/>
    <w:rsid w:val="00BA6FF0"/>
    <w:rsid w:val="00BA70C5"/>
    <w:rsid w:val="00BA7142"/>
    <w:rsid w:val="00BA7278"/>
    <w:rsid w:val="00BA7308"/>
    <w:rsid w:val="00BA745E"/>
    <w:rsid w:val="00BA7467"/>
    <w:rsid w:val="00BA7543"/>
    <w:rsid w:val="00BA75BE"/>
    <w:rsid w:val="00BA76C9"/>
    <w:rsid w:val="00BA779B"/>
    <w:rsid w:val="00BA78BD"/>
    <w:rsid w:val="00BA7A11"/>
    <w:rsid w:val="00BA7A71"/>
    <w:rsid w:val="00BA7B45"/>
    <w:rsid w:val="00BA7C36"/>
    <w:rsid w:val="00BA7F0D"/>
    <w:rsid w:val="00BA7F63"/>
    <w:rsid w:val="00BA7FC0"/>
    <w:rsid w:val="00BA7FFD"/>
    <w:rsid w:val="00BB0157"/>
    <w:rsid w:val="00BB01C4"/>
    <w:rsid w:val="00BB01F0"/>
    <w:rsid w:val="00BB0455"/>
    <w:rsid w:val="00BB0579"/>
    <w:rsid w:val="00BB08A9"/>
    <w:rsid w:val="00BB0BF7"/>
    <w:rsid w:val="00BB0DD5"/>
    <w:rsid w:val="00BB117D"/>
    <w:rsid w:val="00BB11FC"/>
    <w:rsid w:val="00BB125D"/>
    <w:rsid w:val="00BB1434"/>
    <w:rsid w:val="00BB1486"/>
    <w:rsid w:val="00BB14A2"/>
    <w:rsid w:val="00BB14DD"/>
    <w:rsid w:val="00BB16D4"/>
    <w:rsid w:val="00BB19C5"/>
    <w:rsid w:val="00BB1A0E"/>
    <w:rsid w:val="00BB1C0A"/>
    <w:rsid w:val="00BB1FDC"/>
    <w:rsid w:val="00BB22C5"/>
    <w:rsid w:val="00BB22F8"/>
    <w:rsid w:val="00BB231B"/>
    <w:rsid w:val="00BB232A"/>
    <w:rsid w:val="00BB237C"/>
    <w:rsid w:val="00BB2385"/>
    <w:rsid w:val="00BB246B"/>
    <w:rsid w:val="00BB257C"/>
    <w:rsid w:val="00BB2779"/>
    <w:rsid w:val="00BB2962"/>
    <w:rsid w:val="00BB2AA6"/>
    <w:rsid w:val="00BB2BA4"/>
    <w:rsid w:val="00BB2C39"/>
    <w:rsid w:val="00BB2CAE"/>
    <w:rsid w:val="00BB2E06"/>
    <w:rsid w:val="00BB2F6B"/>
    <w:rsid w:val="00BB2FB5"/>
    <w:rsid w:val="00BB304E"/>
    <w:rsid w:val="00BB306B"/>
    <w:rsid w:val="00BB316B"/>
    <w:rsid w:val="00BB31BD"/>
    <w:rsid w:val="00BB31F8"/>
    <w:rsid w:val="00BB320B"/>
    <w:rsid w:val="00BB32D7"/>
    <w:rsid w:val="00BB32EC"/>
    <w:rsid w:val="00BB353D"/>
    <w:rsid w:val="00BB36DF"/>
    <w:rsid w:val="00BB37D0"/>
    <w:rsid w:val="00BB38DC"/>
    <w:rsid w:val="00BB3A8D"/>
    <w:rsid w:val="00BB3ABE"/>
    <w:rsid w:val="00BB3B01"/>
    <w:rsid w:val="00BB3EE2"/>
    <w:rsid w:val="00BB3F5B"/>
    <w:rsid w:val="00BB3F62"/>
    <w:rsid w:val="00BB3FDA"/>
    <w:rsid w:val="00BB4033"/>
    <w:rsid w:val="00BB40D1"/>
    <w:rsid w:val="00BB41A3"/>
    <w:rsid w:val="00BB41CA"/>
    <w:rsid w:val="00BB430F"/>
    <w:rsid w:val="00BB437D"/>
    <w:rsid w:val="00BB449C"/>
    <w:rsid w:val="00BB4574"/>
    <w:rsid w:val="00BB459C"/>
    <w:rsid w:val="00BB4709"/>
    <w:rsid w:val="00BB483B"/>
    <w:rsid w:val="00BB4885"/>
    <w:rsid w:val="00BB48C6"/>
    <w:rsid w:val="00BB4914"/>
    <w:rsid w:val="00BB493C"/>
    <w:rsid w:val="00BB4961"/>
    <w:rsid w:val="00BB4C02"/>
    <w:rsid w:val="00BB4D5C"/>
    <w:rsid w:val="00BB4F99"/>
    <w:rsid w:val="00BB4FAE"/>
    <w:rsid w:val="00BB4FBC"/>
    <w:rsid w:val="00BB4FFA"/>
    <w:rsid w:val="00BB505E"/>
    <w:rsid w:val="00BB50EA"/>
    <w:rsid w:val="00BB539C"/>
    <w:rsid w:val="00BB53DA"/>
    <w:rsid w:val="00BB5415"/>
    <w:rsid w:val="00BB5505"/>
    <w:rsid w:val="00BB555E"/>
    <w:rsid w:val="00BB575C"/>
    <w:rsid w:val="00BB57B5"/>
    <w:rsid w:val="00BB57CC"/>
    <w:rsid w:val="00BB58C2"/>
    <w:rsid w:val="00BB5A90"/>
    <w:rsid w:val="00BB5B03"/>
    <w:rsid w:val="00BB5BCB"/>
    <w:rsid w:val="00BB5C2C"/>
    <w:rsid w:val="00BB5D52"/>
    <w:rsid w:val="00BB5DBA"/>
    <w:rsid w:val="00BB5E1D"/>
    <w:rsid w:val="00BB5E66"/>
    <w:rsid w:val="00BB5F1E"/>
    <w:rsid w:val="00BB6196"/>
    <w:rsid w:val="00BB61B0"/>
    <w:rsid w:val="00BB61D6"/>
    <w:rsid w:val="00BB621B"/>
    <w:rsid w:val="00BB63BF"/>
    <w:rsid w:val="00BB64F4"/>
    <w:rsid w:val="00BB65B4"/>
    <w:rsid w:val="00BB65D1"/>
    <w:rsid w:val="00BB665F"/>
    <w:rsid w:val="00BB67B6"/>
    <w:rsid w:val="00BB6895"/>
    <w:rsid w:val="00BB694C"/>
    <w:rsid w:val="00BB6A0B"/>
    <w:rsid w:val="00BB6C3B"/>
    <w:rsid w:val="00BB6C3D"/>
    <w:rsid w:val="00BB6C77"/>
    <w:rsid w:val="00BB6E34"/>
    <w:rsid w:val="00BB7077"/>
    <w:rsid w:val="00BB7538"/>
    <w:rsid w:val="00BB758B"/>
    <w:rsid w:val="00BB761A"/>
    <w:rsid w:val="00BB76A3"/>
    <w:rsid w:val="00BB786C"/>
    <w:rsid w:val="00BB7877"/>
    <w:rsid w:val="00BB7C13"/>
    <w:rsid w:val="00BB7D08"/>
    <w:rsid w:val="00BB7D5E"/>
    <w:rsid w:val="00BC0074"/>
    <w:rsid w:val="00BC00D7"/>
    <w:rsid w:val="00BC0256"/>
    <w:rsid w:val="00BC02F3"/>
    <w:rsid w:val="00BC046E"/>
    <w:rsid w:val="00BC04CF"/>
    <w:rsid w:val="00BC0593"/>
    <w:rsid w:val="00BC07E8"/>
    <w:rsid w:val="00BC0973"/>
    <w:rsid w:val="00BC097C"/>
    <w:rsid w:val="00BC0ACD"/>
    <w:rsid w:val="00BC0BA2"/>
    <w:rsid w:val="00BC0D1C"/>
    <w:rsid w:val="00BC0D49"/>
    <w:rsid w:val="00BC0E30"/>
    <w:rsid w:val="00BC0E7E"/>
    <w:rsid w:val="00BC0E89"/>
    <w:rsid w:val="00BC11E7"/>
    <w:rsid w:val="00BC14E0"/>
    <w:rsid w:val="00BC158C"/>
    <w:rsid w:val="00BC16B2"/>
    <w:rsid w:val="00BC172B"/>
    <w:rsid w:val="00BC1B52"/>
    <w:rsid w:val="00BC1B9E"/>
    <w:rsid w:val="00BC1FB4"/>
    <w:rsid w:val="00BC21DD"/>
    <w:rsid w:val="00BC22FC"/>
    <w:rsid w:val="00BC2362"/>
    <w:rsid w:val="00BC2379"/>
    <w:rsid w:val="00BC252B"/>
    <w:rsid w:val="00BC260D"/>
    <w:rsid w:val="00BC2768"/>
    <w:rsid w:val="00BC2A43"/>
    <w:rsid w:val="00BC2A61"/>
    <w:rsid w:val="00BC2A7F"/>
    <w:rsid w:val="00BC2B59"/>
    <w:rsid w:val="00BC2B96"/>
    <w:rsid w:val="00BC2D42"/>
    <w:rsid w:val="00BC30A2"/>
    <w:rsid w:val="00BC30FC"/>
    <w:rsid w:val="00BC31EE"/>
    <w:rsid w:val="00BC3282"/>
    <w:rsid w:val="00BC32DC"/>
    <w:rsid w:val="00BC33B1"/>
    <w:rsid w:val="00BC35B6"/>
    <w:rsid w:val="00BC367F"/>
    <w:rsid w:val="00BC3699"/>
    <w:rsid w:val="00BC36F6"/>
    <w:rsid w:val="00BC381D"/>
    <w:rsid w:val="00BC388F"/>
    <w:rsid w:val="00BC3998"/>
    <w:rsid w:val="00BC3D54"/>
    <w:rsid w:val="00BC3E09"/>
    <w:rsid w:val="00BC3F71"/>
    <w:rsid w:val="00BC40CD"/>
    <w:rsid w:val="00BC4225"/>
    <w:rsid w:val="00BC42D2"/>
    <w:rsid w:val="00BC474D"/>
    <w:rsid w:val="00BC486C"/>
    <w:rsid w:val="00BC48A0"/>
    <w:rsid w:val="00BC499F"/>
    <w:rsid w:val="00BC49B2"/>
    <w:rsid w:val="00BC4A43"/>
    <w:rsid w:val="00BC4B1A"/>
    <w:rsid w:val="00BC4CFC"/>
    <w:rsid w:val="00BC4E5A"/>
    <w:rsid w:val="00BC4F33"/>
    <w:rsid w:val="00BC50BF"/>
    <w:rsid w:val="00BC5310"/>
    <w:rsid w:val="00BC5327"/>
    <w:rsid w:val="00BC5333"/>
    <w:rsid w:val="00BC536F"/>
    <w:rsid w:val="00BC539B"/>
    <w:rsid w:val="00BC54C7"/>
    <w:rsid w:val="00BC5546"/>
    <w:rsid w:val="00BC576B"/>
    <w:rsid w:val="00BC5789"/>
    <w:rsid w:val="00BC57C9"/>
    <w:rsid w:val="00BC584D"/>
    <w:rsid w:val="00BC5947"/>
    <w:rsid w:val="00BC5E8E"/>
    <w:rsid w:val="00BC5E9F"/>
    <w:rsid w:val="00BC60E8"/>
    <w:rsid w:val="00BC61B4"/>
    <w:rsid w:val="00BC639A"/>
    <w:rsid w:val="00BC65E4"/>
    <w:rsid w:val="00BC6662"/>
    <w:rsid w:val="00BC6798"/>
    <w:rsid w:val="00BC67A8"/>
    <w:rsid w:val="00BC67B2"/>
    <w:rsid w:val="00BC6855"/>
    <w:rsid w:val="00BC6AA5"/>
    <w:rsid w:val="00BC6AB2"/>
    <w:rsid w:val="00BC6B59"/>
    <w:rsid w:val="00BC6C07"/>
    <w:rsid w:val="00BC6C66"/>
    <w:rsid w:val="00BC6D04"/>
    <w:rsid w:val="00BC702E"/>
    <w:rsid w:val="00BC7163"/>
    <w:rsid w:val="00BC71F1"/>
    <w:rsid w:val="00BC72AE"/>
    <w:rsid w:val="00BC7474"/>
    <w:rsid w:val="00BC7515"/>
    <w:rsid w:val="00BC7597"/>
    <w:rsid w:val="00BC75D2"/>
    <w:rsid w:val="00BC7868"/>
    <w:rsid w:val="00BC7AC4"/>
    <w:rsid w:val="00BC7B4F"/>
    <w:rsid w:val="00BC7B84"/>
    <w:rsid w:val="00BC7B96"/>
    <w:rsid w:val="00BC7C34"/>
    <w:rsid w:val="00BC7E3F"/>
    <w:rsid w:val="00BC7E67"/>
    <w:rsid w:val="00BC7E75"/>
    <w:rsid w:val="00BD01B6"/>
    <w:rsid w:val="00BD0278"/>
    <w:rsid w:val="00BD0327"/>
    <w:rsid w:val="00BD0363"/>
    <w:rsid w:val="00BD0458"/>
    <w:rsid w:val="00BD052D"/>
    <w:rsid w:val="00BD058B"/>
    <w:rsid w:val="00BD0678"/>
    <w:rsid w:val="00BD0714"/>
    <w:rsid w:val="00BD07F0"/>
    <w:rsid w:val="00BD087E"/>
    <w:rsid w:val="00BD0958"/>
    <w:rsid w:val="00BD099B"/>
    <w:rsid w:val="00BD0AAB"/>
    <w:rsid w:val="00BD0B6E"/>
    <w:rsid w:val="00BD0B91"/>
    <w:rsid w:val="00BD0E27"/>
    <w:rsid w:val="00BD0EFE"/>
    <w:rsid w:val="00BD1150"/>
    <w:rsid w:val="00BD1357"/>
    <w:rsid w:val="00BD1593"/>
    <w:rsid w:val="00BD1676"/>
    <w:rsid w:val="00BD17BA"/>
    <w:rsid w:val="00BD18C7"/>
    <w:rsid w:val="00BD1B51"/>
    <w:rsid w:val="00BD1BB8"/>
    <w:rsid w:val="00BD1DE0"/>
    <w:rsid w:val="00BD1F6B"/>
    <w:rsid w:val="00BD20E3"/>
    <w:rsid w:val="00BD20FE"/>
    <w:rsid w:val="00BD211D"/>
    <w:rsid w:val="00BD222A"/>
    <w:rsid w:val="00BD22D2"/>
    <w:rsid w:val="00BD23FC"/>
    <w:rsid w:val="00BD2483"/>
    <w:rsid w:val="00BD24DF"/>
    <w:rsid w:val="00BD264A"/>
    <w:rsid w:val="00BD26FF"/>
    <w:rsid w:val="00BD2866"/>
    <w:rsid w:val="00BD28FA"/>
    <w:rsid w:val="00BD295E"/>
    <w:rsid w:val="00BD2A8D"/>
    <w:rsid w:val="00BD2CCC"/>
    <w:rsid w:val="00BD2DAE"/>
    <w:rsid w:val="00BD2E77"/>
    <w:rsid w:val="00BD2F6A"/>
    <w:rsid w:val="00BD2F82"/>
    <w:rsid w:val="00BD302A"/>
    <w:rsid w:val="00BD3328"/>
    <w:rsid w:val="00BD334A"/>
    <w:rsid w:val="00BD3473"/>
    <w:rsid w:val="00BD3497"/>
    <w:rsid w:val="00BD36D2"/>
    <w:rsid w:val="00BD385A"/>
    <w:rsid w:val="00BD388A"/>
    <w:rsid w:val="00BD38E7"/>
    <w:rsid w:val="00BD3A9F"/>
    <w:rsid w:val="00BD3B15"/>
    <w:rsid w:val="00BD3BC0"/>
    <w:rsid w:val="00BD3C03"/>
    <w:rsid w:val="00BD3C89"/>
    <w:rsid w:val="00BD3F6D"/>
    <w:rsid w:val="00BD426A"/>
    <w:rsid w:val="00BD42E7"/>
    <w:rsid w:val="00BD44DF"/>
    <w:rsid w:val="00BD4520"/>
    <w:rsid w:val="00BD4596"/>
    <w:rsid w:val="00BD45E9"/>
    <w:rsid w:val="00BD47F8"/>
    <w:rsid w:val="00BD49C3"/>
    <w:rsid w:val="00BD4ADB"/>
    <w:rsid w:val="00BD4B3A"/>
    <w:rsid w:val="00BD4C19"/>
    <w:rsid w:val="00BD4CAE"/>
    <w:rsid w:val="00BD4E57"/>
    <w:rsid w:val="00BD4FDD"/>
    <w:rsid w:val="00BD4FF1"/>
    <w:rsid w:val="00BD5210"/>
    <w:rsid w:val="00BD5309"/>
    <w:rsid w:val="00BD5327"/>
    <w:rsid w:val="00BD5419"/>
    <w:rsid w:val="00BD54D8"/>
    <w:rsid w:val="00BD55E5"/>
    <w:rsid w:val="00BD57CD"/>
    <w:rsid w:val="00BD5890"/>
    <w:rsid w:val="00BD5935"/>
    <w:rsid w:val="00BD5A97"/>
    <w:rsid w:val="00BD5BC1"/>
    <w:rsid w:val="00BD5D66"/>
    <w:rsid w:val="00BD5D98"/>
    <w:rsid w:val="00BD5ED8"/>
    <w:rsid w:val="00BD5FEC"/>
    <w:rsid w:val="00BD6009"/>
    <w:rsid w:val="00BD6051"/>
    <w:rsid w:val="00BD61C5"/>
    <w:rsid w:val="00BD675A"/>
    <w:rsid w:val="00BD68DA"/>
    <w:rsid w:val="00BD6964"/>
    <w:rsid w:val="00BD6C3D"/>
    <w:rsid w:val="00BD6CD6"/>
    <w:rsid w:val="00BD6CE3"/>
    <w:rsid w:val="00BD7025"/>
    <w:rsid w:val="00BD7099"/>
    <w:rsid w:val="00BD72C8"/>
    <w:rsid w:val="00BD73CB"/>
    <w:rsid w:val="00BD74B1"/>
    <w:rsid w:val="00BD751C"/>
    <w:rsid w:val="00BD7700"/>
    <w:rsid w:val="00BD7737"/>
    <w:rsid w:val="00BD7881"/>
    <w:rsid w:val="00BD78A8"/>
    <w:rsid w:val="00BD7AB8"/>
    <w:rsid w:val="00BD7AE3"/>
    <w:rsid w:val="00BD7B42"/>
    <w:rsid w:val="00BD7CC3"/>
    <w:rsid w:val="00BD7DD3"/>
    <w:rsid w:val="00BE0028"/>
    <w:rsid w:val="00BE0050"/>
    <w:rsid w:val="00BE00CD"/>
    <w:rsid w:val="00BE0243"/>
    <w:rsid w:val="00BE02AA"/>
    <w:rsid w:val="00BE04C7"/>
    <w:rsid w:val="00BE05EA"/>
    <w:rsid w:val="00BE0655"/>
    <w:rsid w:val="00BE0685"/>
    <w:rsid w:val="00BE0999"/>
    <w:rsid w:val="00BE0A0D"/>
    <w:rsid w:val="00BE0AF1"/>
    <w:rsid w:val="00BE0B0B"/>
    <w:rsid w:val="00BE0B60"/>
    <w:rsid w:val="00BE0BCD"/>
    <w:rsid w:val="00BE0D57"/>
    <w:rsid w:val="00BE0E32"/>
    <w:rsid w:val="00BE0E6F"/>
    <w:rsid w:val="00BE10FE"/>
    <w:rsid w:val="00BE135C"/>
    <w:rsid w:val="00BE1399"/>
    <w:rsid w:val="00BE139E"/>
    <w:rsid w:val="00BE1405"/>
    <w:rsid w:val="00BE1505"/>
    <w:rsid w:val="00BE1668"/>
    <w:rsid w:val="00BE17A5"/>
    <w:rsid w:val="00BE1874"/>
    <w:rsid w:val="00BE18FB"/>
    <w:rsid w:val="00BE1901"/>
    <w:rsid w:val="00BE199F"/>
    <w:rsid w:val="00BE19E9"/>
    <w:rsid w:val="00BE1BB7"/>
    <w:rsid w:val="00BE1C2D"/>
    <w:rsid w:val="00BE1CFB"/>
    <w:rsid w:val="00BE1D2C"/>
    <w:rsid w:val="00BE2262"/>
    <w:rsid w:val="00BE22D8"/>
    <w:rsid w:val="00BE230C"/>
    <w:rsid w:val="00BE2412"/>
    <w:rsid w:val="00BE2447"/>
    <w:rsid w:val="00BE25E6"/>
    <w:rsid w:val="00BE285F"/>
    <w:rsid w:val="00BE2989"/>
    <w:rsid w:val="00BE29B3"/>
    <w:rsid w:val="00BE2C6B"/>
    <w:rsid w:val="00BE2D8C"/>
    <w:rsid w:val="00BE2ED6"/>
    <w:rsid w:val="00BE2FD6"/>
    <w:rsid w:val="00BE312D"/>
    <w:rsid w:val="00BE31E0"/>
    <w:rsid w:val="00BE31F4"/>
    <w:rsid w:val="00BE33DF"/>
    <w:rsid w:val="00BE33ED"/>
    <w:rsid w:val="00BE3488"/>
    <w:rsid w:val="00BE3641"/>
    <w:rsid w:val="00BE36F0"/>
    <w:rsid w:val="00BE387E"/>
    <w:rsid w:val="00BE3920"/>
    <w:rsid w:val="00BE3CC3"/>
    <w:rsid w:val="00BE401C"/>
    <w:rsid w:val="00BE4026"/>
    <w:rsid w:val="00BE4078"/>
    <w:rsid w:val="00BE4167"/>
    <w:rsid w:val="00BE41F7"/>
    <w:rsid w:val="00BE4702"/>
    <w:rsid w:val="00BE4778"/>
    <w:rsid w:val="00BE477E"/>
    <w:rsid w:val="00BE4925"/>
    <w:rsid w:val="00BE498F"/>
    <w:rsid w:val="00BE49EE"/>
    <w:rsid w:val="00BE4B1F"/>
    <w:rsid w:val="00BE4BEE"/>
    <w:rsid w:val="00BE4C0F"/>
    <w:rsid w:val="00BE4D9F"/>
    <w:rsid w:val="00BE4F8C"/>
    <w:rsid w:val="00BE501D"/>
    <w:rsid w:val="00BE51EE"/>
    <w:rsid w:val="00BE56DC"/>
    <w:rsid w:val="00BE5733"/>
    <w:rsid w:val="00BE57EF"/>
    <w:rsid w:val="00BE59C8"/>
    <w:rsid w:val="00BE59DE"/>
    <w:rsid w:val="00BE59F1"/>
    <w:rsid w:val="00BE5A05"/>
    <w:rsid w:val="00BE5B5E"/>
    <w:rsid w:val="00BE619B"/>
    <w:rsid w:val="00BE61A7"/>
    <w:rsid w:val="00BE61F8"/>
    <w:rsid w:val="00BE6381"/>
    <w:rsid w:val="00BE64C3"/>
    <w:rsid w:val="00BE652F"/>
    <w:rsid w:val="00BE664F"/>
    <w:rsid w:val="00BE668E"/>
    <w:rsid w:val="00BE6763"/>
    <w:rsid w:val="00BE6832"/>
    <w:rsid w:val="00BE69DF"/>
    <w:rsid w:val="00BE6A63"/>
    <w:rsid w:val="00BE6DB4"/>
    <w:rsid w:val="00BE6DEA"/>
    <w:rsid w:val="00BE6EDC"/>
    <w:rsid w:val="00BE71C2"/>
    <w:rsid w:val="00BE71F8"/>
    <w:rsid w:val="00BE7228"/>
    <w:rsid w:val="00BE763D"/>
    <w:rsid w:val="00BE76E2"/>
    <w:rsid w:val="00BE7722"/>
    <w:rsid w:val="00BE77D5"/>
    <w:rsid w:val="00BE7B4E"/>
    <w:rsid w:val="00BE7B81"/>
    <w:rsid w:val="00BF0255"/>
    <w:rsid w:val="00BF03DB"/>
    <w:rsid w:val="00BF03EF"/>
    <w:rsid w:val="00BF06DF"/>
    <w:rsid w:val="00BF0741"/>
    <w:rsid w:val="00BF097F"/>
    <w:rsid w:val="00BF0A87"/>
    <w:rsid w:val="00BF0AFB"/>
    <w:rsid w:val="00BF0BB6"/>
    <w:rsid w:val="00BF0CE8"/>
    <w:rsid w:val="00BF0DA9"/>
    <w:rsid w:val="00BF0DAE"/>
    <w:rsid w:val="00BF1019"/>
    <w:rsid w:val="00BF1061"/>
    <w:rsid w:val="00BF1118"/>
    <w:rsid w:val="00BF1125"/>
    <w:rsid w:val="00BF1128"/>
    <w:rsid w:val="00BF116F"/>
    <w:rsid w:val="00BF11F0"/>
    <w:rsid w:val="00BF126E"/>
    <w:rsid w:val="00BF12BB"/>
    <w:rsid w:val="00BF145C"/>
    <w:rsid w:val="00BF146F"/>
    <w:rsid w:val="00BF1631"/>
    <w:rsid w:val="00BF17E6"/>
    <w:rsid w:val="00BF18C3"/>
    <w:rsid w:val="00BF1B61"/>
    <w:rsid w:val="00BF1C20"/>
    <w:rsid w:val="00BF1C28"/>
    <w:rsid w:val="00BF1D45"/>
    <w:rsid w:val="00BF1E88"/>
    <w:rsid w:val="00BF1F7D"/>
    <w:rsid w:val="00BF2212"/>
    <w:rsid w:val="00BF224F"/>
    <w:rsid w:val="00BF2311"/>
    <w:rsid w:val="00BF2339"/>
    <w:rsid w:val="00BF2433"/>
    <w:rsid w:val="00BF2727"/>
    <w:rsid w:val="00BF27BC"/>
    <w:rsid w:val="00BF27EC"/>
    <w:rsid w:val="00BF2930"/>
    <w:rsid w:val="00BF2A6A"/>
    <w:rsid w:val="00BF2AD8"/>
    <w:rsid w:val="00BF2EAF"/>
    <w:rsid w:val="00BF2FA2"/>
    <w:rsid w:val="00BF2FC1"/>
    <w:rsid w:val="00BF2FEF"/>
    <w:rsid w:val="00BF3129"/>
    <w:rsid w:val="00BF3145"/>
    <w:rsid w:val="00BF3169"/>
    <w:rsid w:val="00BF330A"/>
    <w:rsid w:val="00BF349B"/>
    <w:rsid w:val="00BF35DF"/>
    <w:rsid w:val="00BF3A33"/>
    <w:rsid w:val="00BF3A9A"/>
    <w:rsid w:val="00BF3AC3"/>
    <w:rsid w:val="00BF3DFB"/>
    <w:rsid w:val="00BF4021"/>
    <w:rsid w:val="00BF41B7"/>
    <w:rsid w:val="00BF42F2"/>
    <w:rsid w:val="00BF42FA"/>
    <w:rsid w:val="00BF4334"/>
    <w:rsid w:val="00BF4767"/>
    <w:rsid w:val="00BF47BF"/>
    <w:rsid w:val="00BF4C0E"/>
    <w:rsid w:val="00BF4D4D"/>
    <w:rsid w:val="00BF4D6B"/>
    <w:rsid w:val="00BF4EBF"/>
    <w:rsid w:val="00BF4F5F"/>
    <w:rsid w:val="00BF4FCA"/>
    <w:rsid w:val="00BF51D6"/>
    <w:rsid w:val="00BF53B6"/>
    <w:rsid w:val="00BF53BE"/>
    <w:rsid w:val="00BF5410"/>
    <w:rsid w:val="00BF551E"/>
    <w:rsid w:val="00BF560D"/>
    <w:rsid w:val="00BF56C6"/>
    <w:rsid w:val="00BF576C"/>
    <w:rsid w:val="00BF5780"/>
    <w:rsid w:val="00BF58AD"/>
    <w:rsid w:val="00BF5947"/>
    <w:rsid w:val="00BF598C"/>
    <w:rsid w:val="00BF5AD5"/>
    <w:rsid w:val="00BF5C69"/>
    <w:rsid w:val="00BF5D1E"/>
    <w:rsid w:val="00BF5D50"/>
    <w:rsid w:val="00BF5DBC"/>
    <w:rsid w:val="00BF5E0F"/>
    <w:rsid w:val="00BF5FE7"/>
    <w:rsid w:val="00BF601E"/>
    <w:rsid w:val="00BF60D5"/>
    <w:rsid w:val="00BF623A"/>
    <w:rsid w:val="00BF62AA"/>
    <w:rsid w:val="00BF639E"/>
    <w:rsid w:val="00BF64D2"/>
    <w:rsid w:val="00BF6512"/>
    <w:rsid w:val="00BF6630"/>
    <w:rsid w:val="00BF66FC"/>
    <w:rsid w:val="00BF67EF"/>
    <w:rsid w:val="00BF680F"/>
    <w:rsid w:val="00BF6905"/>
    <w:rsid w:val="00BF69C5"/>
    <w:rsid w:val="00BF69E4"/>
    <w:rsid w:val="00BF6A00"/>
    <w:rsid w:val="00BF6BBB"/>
    <w:rsid w:val="00BF6BC8"/>
    <w:rsid w:val="00BF6C17"/>
    <w:rsid w:val="00BF6C41"/>
    <w:rsid w:val="00BF6C62"/>
    <w:rsid w:val="00BF6D97"/>
    <w:rsid w:val="00BF6DBF"/>
    <w:rsid w:val="00BF6ED3"/>
    <w:rsid w:val="00BF70B6"/>
    <w:rsid w:val="00BF7154"/>
    <w:rsid w:val="00BF72D9"/>
    <w:rsid w:val="00BF7350"/>
    <w:rsid w:val="00BF73A8"/>
    <w:rsid w:val="00BF74AD"/>
    <w:rsid w:val="00BF75B2"/>
    <w:rsid w:val="00BF75B9"/>
    <w:rsid w:val="00BF75C6"/>
    <w:rsid w:val="00BF7694"/>
    <w:rsid w:val="00BF77DF"/>
    <w:rsid w:val="00BF7921"/>
    <w:rsid w:val="00BF79A4"/>
    <w:rsid w:val="00BF7A4E"/>
    <w:rsid w:val="00BF7BE5"/>
    <w:rsid w:val="00BF7D3E"/>
    <w:rsid w:val="00BF7EC7"/>
    <w:rsid w:val="00BF7EC9"/>
    <w:rsid w:val="00C00197"/>
    <w:rsid w:val="00C001B5"/>
    <w:rsid w:val="00C00340"/>
    <w:rsid w:val="00C00400"/>
    <w:rsid w:val="00C0042A"/>
    <w:rsid w:val="00C0045E"/>
    <w:rsid w:val="00C00497"/>
    <w:rsid w:val="00C0054E"/>
    <w:rsid w:val="00C00583"/>
    <w:rsid w:val="00C005EA"/>
    <w:rsid w:val="00C007A3"/>
    <w:rsid w:val="00C008C2"/>
    <w:rsid w:val="00C0090F"/>
    <w:rsid w:val="00C00A25"/>
    <w:rsid w:val="00C00D85"/>
    <w:rsid w:val="00C00DA1"/>
    <w:rsid w:val="00C00E64"/>
    <w:rsid w:val="00C00E79"/>
    <w:rsid w:val="00C00E90"/>
    <w:rsid w:val="00C00F2D"/>
    <w:rsid w:val="00C01061"/>
    <w:rsid w:val="00C01286"/>
    <w:rsid w:val="00C014A0"/>
    <w:rsid w:val="00C01542"/>
    <w:rsid w:val="00C01698"/>
    <w:rsid w:val="00C016A3"/>
    <w:rsid w:val="00C01712"/>
    <w:rsid w:val="00C0181E"/>
    <w:rsid w:val="00C01A69"/>
    <w:rsid w:val="00C01BD6"/>
    <w:rsid w:val="00C01C63"/>
    <w:rsid w:val="00C01CED"/>
    <w:rsid w:val="00C01E59"/>
    <w:rsid w:val="00C01EED"/>
    <w:rsid w:val="00C01F60"/>
    <w:rsid w:val="00C022BE"/>
    <w:rsid w:val="00C022F5"/>
    <w:rsid w:val="00C024E8"/>
    <w:rsid w:val="00C0282B"/>
    <w:rsid w:val="00C028B8"/>
    <w:rsid w:val="00C028EE"/>
    <w:rsid w:val="00C02B69"/>
    <w:rsid w:val="00C02F18"/>
    <w:rsid w:val="00C02FA1"/>
    <w:rsid w:val="00C03069"/>
    <w:rsid w:val="00C030D6"/>
    <w:rsid w:val="00C03233"/>
    <w:rsid w:val="00C033FA"/>
    <w:rsid w:val="00C037F8"/>
    <w:rsid w:val="00C03AC6"/>
    <w:rsid w:val="00C03C50"/>
    <w:rsid w:val="00C03CB2"/>
    <w:rsid w:val="00C03E2F"/>
    <w:rsid w:val="00C03EEE"/>
    <w:rsid w:val="00C04014"/>
    <w:rsid w:val="00C0417C"/>
    <w:rsid w:val="00C0425A"/>
    <w:rsid w:val="00C0448C"/>
    <w:rsid w:val="00C044DB"/>
    <w:rsid w:val="00C04500"/>
    <w:rsid w:val="00C04626"/>
    <w:rsid w:val="00C0463A"/>
    <w:rsid w:val="00C0472B"/>
    <w:rsid w:val="00C0484D"/>
    <w:rsid w:val="00C048B6"/>
    <w:rsid w:val="00C048B9"/>
    <w:rsid w:val="00C0493F"/>
    <w:rsid w:val="00C0496A"/>
    <w:rsid w:val="00C04A72"/>
    <w:rsid w:val="00C04B15"/>
    <w:rsid w:val="00C04DB0"/>
    <w:rsid w:val="00C04E90"/>
    <w:rsid w:val="00C04EFD"/>
    <w:rsid w:val="00C0501E"/>
    <w:rsid w:val="00C05180"/>
    <w:rsid w:val="00C051AF"/>
    <w:rsid w:val="00C05211"/>
    <w:rsid w:val="00C05314"/>
    <w:rsid w:val="00C054D6"/>
    <w:rsid w:val="00C05750"/>
    <w:rsid w:val="00C05756"/>
    <w:rsid w:val="00C057E5"/>
    <w:rsid w:val="00C05A36"/>
    <w:rsid w:val="00C05C02"/>
    <w:rsid w:val="00C05C45"/>
    <w:rsid w:val="00C05CD8"/>
    <w:rsid w:val="00C05CF9"/>
    <w:rsid w:val="00C05DA1"/>
    <w:rsid w:val="00C05DDB"/>
    <w:rsid w:val="00C05ED4"/>
    <w:rsid w:val="00C061DE"/>
    <w:rsid w:val="00C0627C"/>
    <w:rsid w:val="00C062A2"/>
    <w:rsid w:val="00C063F0"/>
    <w:rsid w:val="00C06617"/>
    <w:rsid w:val="00C067AB"/>
    <w:rsid w:val="00C06926"/>
    <w:rsid w:val="00C069E6"/>
    <w:rsid w:val="00C06AEA"/>
    <w:rsid w:val="00C06B83"/>
    <w:rsid w:val="00C06C6C"/>
    <w:rsid w:val="00C06D28"/>
    <w:rsid w:val="00C06D4D"/>
    <w:rsid w:val="00C06E10"/>
    <w:rsid w:val="00C06EB0"/>
    <w:rsid w:val="00C072DF"/>
    <w:rsid w:val="00C0731C"/>
    <w:rsid w:val="00C0734B"/>
    <w:rsid w:val="00C073AC"/>
    <w:rsid w:val="00C0744C"/>
    <w:rsid w:val="00C07695"/>
    <w:rsid w:val="00C07810"/>
    <w:rsid w:val="00C07909"/>
    <w:rsid w:val="00C07B3A"/>
    <w:rsid w:val="00C07D6F"/>
    <w:rsid w:val="00C07E0A"/>
    <w:rsid w:val="00C07F6D"/>
    <w:rsid w:val="00C07FBD"/>
    <w:rsid w:val="00C10006"/>
    <w:rsid w:val="00C10114"/>
    <w:rsid w:val="00C101CA"/>
    <w:rsid w:val="00C1030B"/>
    <w:rsid w:val="00C10456"/>
    <w:rsid w:val="00C10578"/>
    <w:rsid w:val="00C105D1"/>
    <w:rsid w:val="00C1073D"/>
    <w:rsid w:val="00C107EE"/>
    <w:rsid w:val="00C10820"/>
    <w:rsid w:val="00C108F8"/>
    <w:rsid w:val="00C10920"/>
    <w:rsid w:val="00C10951"/>
    <w:rsid w:val="00C10AAB"/>
    <w:rsid w:val="00C10B5B"/>
    <w:rsid w:val="00C10C8F"/>
    <w:rsid w:val="00C10CD5"/>
    <w:rsid w:val="00C10E21"/>
    <w:rsid w:val="00C10E36"/>
    <w:rsid w:val="00C10F1B"/>
    <w:rsid w:val="00C111C0"/>
    <w:rsid w:val="00C11215"/>
    <w:rsid w:val="00C11245"/>
    <w:rsid w:val="00C112E6"/>
    <w:rsid w:val="00C11515"/>
    <w:rsid w:val="00C118F2"/>
    <w:rsid w:val="00C1194C"/>
    <w:rsid w:val="00C11AEB"/>
    <w:rsid w:val="00C11C22"/>
    <w:rsid w:val="00C11C62"/>
    <w:rsid w:val="00C11C79"/>
    <w:rsid w:val="00C11DAC"/>
    <w:rsid w:val="00C120B3"/>
    <w:rsid w:val="00C120C4"/>
    <w:rsid w:val="00C123D9"/>
    <w:rsid w:val="00C12698"/>
    <w:rsid w:val="00C12831"/>
    <w:rsid w:val="00C12B9C"/>
    <w:rsid w:val="00C12BBE"/>
    <w:rsid w:val="00C12CD7"/>
    <w:rsid w:val="00C12D81"/>
    <w:rsid w:val="00C12DB4"/>
    <w:rsid w:val="00C12EC4"/>
    <w:rsid w:val="00C12FE9"/>
    <w:rsid w:val="00C1301F"/>
    <w:rsid w:val="00C1327E"/>
    <w:rsid w:val="00C133B9"/>
    <w:rsid w:val="00C134AD"/>
    <w:rsid w:val="00C134B7"/>
    <w:rsid w:val="00C134CA"/>
    <w:rsid w:val="00C135BC"/>
    <w:rsid w:val="00C1360B"/>
    <w:rsid w:val="00C13761"/>
    <w:rsid w:val="00C138D0"/>
    <w:rsid w:val="00C138D2"/>
    <w:rsid w:val="00C138DF"/>
    <w:rsid w:val="00C13903"/>
    <w:rsid w:val="00C1393E"/>
    <w:rsid w:val="00C13C07"/>
    <w:rsid w:val="00C13C32"/>
    <w:rsid w:val="00C13CB4"/>
    <w:rsid w:val="00C13E3C"/>
    <w:rsid w:val="00C14137"/>
    <w:rsid w:val="00C141E0"/>
    <w:rsid w:val="00C14316"/>
    <w:rsid w:val="00C14366"/>
    <w:rsid w:val="00C143BD"/>
    <w:rsid w:val="00C1454F"/>
    <w:rsid w:val="00C147EE"/>
    <w:rsid w:val="00C1480F"/>
    <w:rsid w:val="00C148DC"/>
    <w:rsid w:val="00C14A3B"/>
    <w:rsid w:val="00C14A9D"/>
    <w:rsid w:val="00C14C13"/>
    <w:rsid w:val="00C14F09"/>
    <w:rsid w:val="00C14FDF"/>
    <w:rsid w:val="00C15135"/>
    <w:rsid w:val="00C151B7"/>
    <w:rsid w:val="00C151C2"/>
    <w:rsid w:val="00C15578"/>
    <w:rsid w:val="00C156E5"/>
    <w:rsid w:val="00C1589C"/>
    <w:rsid w:val="00C15914"/>
    <w:rsid w:val="00C15C81"/>
    <w:rsid w:val="00C15C95"/>
    <w:rsid w:val="00C15E62"/>
    <w:rsid w:val="00C15E75"/>
    <w:rsid w:val="00C160AF"/>
    <w:rsid w:val="00C160F4"/>
    <w:rsid w:val="00C1617F"/>
    <w:rsid w:val="00C1635B"/>
    <w:rsid w:val="00C16838"/>
    <w:rsid w:val="00C1689B"/>
    <w:rsid w:val="00C168A4"/>
    <w:rsid w:val="00C168A8"/>
    <w:rsid w:val="00C16905"/>
    <w:rsid w:val="00C1690F"/>
    <w:rsid w:val="00C16B86"/>
    <w:rsid w:val="00C16BE6"/>
    <w:rsid w:val="00C16E96"/>
    <w:rsid w:val="00C16EF1"/>
    <w:rsid w:val="00C16FCC"/>
    <w:rsid w:val="00C1704D"/>
    <w:rsid w:val="00C17070"/>
    <w:rsid w:val="00C170BB"/>
    <w:rsid w:val="00C1712E"/>
    <w:rsid w:val="00C17306"/>
    <w:rsid w:val="00C1730B"/>
    <w:rsid w:val="00C173CD"/>
    <w:rsid w:val="00C1746F"/>
    <w:rsid w:val="00C17486"/>
    <w:rsid w:val="00C175E8"/>
    <w:rsid w:val="00C175F3"/>
    <w:rsid w:val="00C17601"/>
    <w:rsid w:val="00C1760E"/>
    <w:rsid w:val="00C177C3"/>
    <w:rsid w:val="00C1786F"/>
    <w:rsid w:val="00C1791E"/>
    <w:rsid w:val="00C179CE"/>
    <w:rsid w:val="00C17ABF"/>
    <w:rsid w:val="00C17B9A"/>
    <w:rsid w:val="00C17C14"/>
    <w:rsid w:val="00C17DAC"/>
    <w:rsid w:val="00C17E2B"/>
    <w:rsid w:val="00C17EC6"/>
    <w:rsid w:val="00C17EE2"/>
    <w:rsid w:val="00C2000B"/>
    <w:rsid w:val="00C200AC"/>
    <w:rsid w:val="00C2012A"/>
    <w:rsid w:val="00C202B1"/>
    <w:rsid w:val="00C202B3"/>
    <w:rsid w:val="00C202EA"/>
    <w:rsid w:val="00C203BD"/>
    <w:rsid w:val="00C204F0"/>
    <w:rsid w:val="00C205B6"/>
    <w:rsid w:val="00C2061F"/>
    <w:rsid w:val="00C20704"/>
    <w:rsid w:val="00C207AE"/>
    <w:rsid w:val="00C2082D"/>
    <w:rsid w:val="00C20837"/>
    <w:rsid w:val="00C208FF"/>
    <w:rsid w:val="00C209EE"/>
    <w:rsid w:val="00C20BA3"/>
    <w:rsid w:val="00C20BFD"/>
    <w:rsid w:val="00C20DD2"/>
    <w:rsid w:val="00C20E28"/>
    <w:rsid w:val="00C20ED7"/>
    <w:rsid w:val="00C20ED9"/>
    <w:rsid w:val="00C20F6A"/>
    <w:rsid w:val="00C2124D"/>
    <w:rsid w:val="00C212CC"/>
    <w:rsid w:val="00C21417"/>
    <w:rsid w:val="00C2143F"/>
    <w:rsid w:val="00C2149B"/>
    <w:rsid w:val="00C21838"/>
    <w:rsid w:val="00C21921"/>
    <w:rsid w:val="00C21942"/>
    <w:rsid w:val="00C219F5"/>
    <w:rsid w:val="00C21BA0"/>
    <w:rsid w:val="00C21BB3"/>
    <w:rsid w:val="00C21C68"/>
    <w:rsid w:val="00C21DBE"/>
    <w:rsid w:val="00C21F29"/>
    <w:rsid w:val="00C21F62"/>
    <w:rsid w:val="00C221D4"/>
    <w:rsid w:val="00C2249B"/>
    <w:rsid w:val="00C22599"/>
    <w:rsid w:val="00C22636"/>
    <w:rsid w:val="00C2266C"/>
    <w:rsid w:val="00C226A8"/>
    <w:rsid w:val="00C2275F"/>
    <w:rsid w:val="00C228D1"/>
    <w:rsid w:val="00C22AA6"/>
    <w:rsid w:val="00C22C51"/>
    <w:rsid w:val="00C22C76"/>
    <w:rsid w:val="00C22F93"/>
    <w:rsid w:val="00C22FB6"/>
    <w:rsid w:val="00C22FE2"/>
    <w:rsid w:val="00C2305F"/>
    <w:rsid w:val="00C23263"/>
    <w:rsid w:val="00C232DE"/>
    <w:rsid w:val="00C23554"/>
    <w:rsid w:val="00C235C8"/>
    <w:rsid w:val="00C235CB"/>
    <w:rsid w:val="00C2379C"/>
    <w:rsid w:val="00C237A4"/>
    <w:rsid w:val="00C23BB1"/>
    <w:rsid w:val="00C23D4A"/>
    <w:rsid w:val="00C23EB1"/>
    <w:rsid w:val="00C23EF4"/>
    <w:rsid w:val="00C240E3"/>
    <w:rsid w:val="00C24156"/>
    <w:rsid w:val="00C24209"/>
    <w:rsid w:val="00C24244"/>
    <w:rsid w:val="00C24320"/>
    <w:rsid w:val="00C24853"/>
    <w:rsid w:val="00C249AB"/>
    <w:rsid w:val="00C24A1D"/>
    <w:rsid w:val="00C24A92"/>
    <w:rsid w:val="00C24AF7"/>
    <w:rsid w:val="00C24AFC"/>
    <w:rsid w:val="00C24BE4"/>
    <w:rsid w:val="00C24C78"/>
    <w:rsid w:val="00C24CE4"/>
    <w:rsid w:val="00C24DA1"/>
    <w:rsid w:val="00C24E96"/>
    <w:rsid w:val="00C24ED6"/>
    <w:rsid w:val="00C250D7"/>
    <w:rsid w:val="00C2512C"/>
    <w:rsid w:val="00C2559E"/>
    <w:rsid w:val="00C2563C"/>
    <w:rsid w:val="00C25899"/>
    <w:rsid w:val="00C258D9"/>
    <w:rsid w:val="00C258E8"/>
    <w:rsid w:val="00C2596A"/>
    <w:rsid w:val="00C25A8D"/>
    <w:rsid w:val="00C25ABC"/>
    <w:rsid w:val="00C25BB0"/>
    <w:rsid w:val="00C25BEA"/>
    <w:rsid w:val="00C25C36"/>
    <w:rsid w:val="00C25C7A"/>
    <w:rsid w:val="00C25D20"/>
    <w:rsid w:val="00C25D8A"/>
    <w:rsid w:val="00C25E98"/>
    <w:rsid w:val="00C25FA0"/>
    <w:rsid w:val="00C25FEC"/>
    <w:rsid w:val="00C261A0"/>
    <w:rsid w:val="00C26280"/>
    <w:rsid w:val="00C2629D"/>
    <w:rsid w:val="00C264FE"/>
    <w:rsid w:val="00C26500"/>
    <w:rsid w:val="00C26669"/>
    <w:rsid w:val="00C2688B"/>
    <w:rsid w:val="00C26948"/>
    <w:rsid w:val="00C269DA"/>
    <w:rsid w:val="00C26A5F"/>
    <w:rsid w:val="00C26AD6"/>
    <w:rsid w:val="00C26B20"/>
    <w:rsid w:val="00C26BAF"/>
    <w:rsid w:val="00C26C62"/>
    <w:rsid w:val="00C26DE2"/>
    <w:rsid w:val="00C2710C"/>
    <w:rsid w:val="00C27281"/>
    <w:rsid w:val="00C2744A"/>
    <w:rsid w:val="00C27537"/>
    <w:rsid w:val="00C27CCA"/>
    <w:rsid w:val="00C27DD0"/>
    <w:rsid w:val="00C27E41"/>
    <w:rsid w:val="00C30028"/>
    <w:rsid w:val="00C3003D"/>
    <w:rsid w:val="00C302D6"/>
    <w:rsid w:val="00C30399"/>
    <w:rsid w:val="00C303C1"/>
    <w:rsid w:val="00C30490"/>
    <w:rsid w:val="00C304E6"/>
    <w:rsid w:val="00C305CD"/>
    <w:rsid w:val="00C307DA"/>
    <w:rsid w:val="00C308DC"/>
    <w:rsid w:val="00C30AE8"/>
    <w:rsid w:val="00C30C24"/>
    <w:rsid w:val="00C30CB1"/>
    <w:rsid w:val="00C30CEE"/>
    <w:rsid w:val="00C30CF2"/>
    <w:rsid w:val="00C30D89"/>
    <w:rsid w:val="00C30ED1"/>
    <w:rsid w:val="00C30F6D"/>
    <w:rsid w:val="00C30FB6"/>
    <w:rsid w:val="00C31024"/>
    <w:rsid w:val="00C31160"/>
    <w:rsid w:val="00C311C3"/>
    <w:rsid w:val="00C31343"/>
    <w:rsid w:val="00C3174C"/>
    <w:rsid w:val="00C31788"/>
    <w:rsid w:val="00C317A9"/>
    <w:rsid w:val="00C31866"/>
    <w:rsid w:val="00C318F4"/>
    <w:rsid w:val="00C319E3"/>
    <w:rsid w:val="00C31D17"/>
    <w:rsid w:val="00C32168"/>
    <w:rsid w:val="00C321B9"/>
    <w:rsid w:val="00C3222C"/>
    <w:rsid w:val="00C3233E"/>
    <w:rsid w:val="00C3236F"/>
    <w:rsid w:val="00C323DA"/>
    <w:rsid w:val="00C324FD"/>
    <w:rsid w:val="00C3258C"/>
    <w:rsid w:val="00C326DD"/>
    <w:rsid w:val="00C32888"/>
    <w:rsid w:val="00C328FE"/>
    <w:rsid w:val="00C32CF7"/>
    <w:rsid w:val="00C32D3B"/>
    <w:rsid w:val="00C32DAC"/>
    <w:rsid w:val="00C3302D"/>
    <w:rsid w:val="00C33220"/>
    <w:rsid w:val="00C3329A"/>
    <w:rsid w:val="00C332F9"/>
    <w:rsid w:val="00C33412"/>
    <w:rsid w:val="00C33507"/>
    <w:rsid w:val="00C33538"/>
    <w:rsid w:val="00C335CC"/>
    <w:rsid w:val="00C3365D"/>
    <w:rsid w:val="00C3372F"/>
    <w:rsid w:val="00C33772"/>
    <w:rsid w:val="00C338B9"/>
    <w:rsid w:val="00C33A92"/>
    <w:rsid w:val="00C33AD2"/>
    <w:rsid w:val="00C33BFD"/>
    <w:rsid w:val="00C33C5B"/>
    <w:rsid w:val="00C33C99"/>
    <w:rsid w:val="00C33E34"/>
    <w:rsid w:val="00C33E58"/>
    <w:rsid w:val="00C33E76"/>
    <w:rsid w:val="00C340B1"/>
    <w:rsid w:val="00C34200"/>
    <w:rsid w:val="00C342AA"/>
    <w:rsid w:val="00C3439A"/>
    <w:rsid w:val="00C3442A"/>
    <w:rsid w:val="00C3447F"/>
    <w:rsid w:val="00C3465F"/>
    <w:rsid w:val="00C3476D"/>
    <w:rsid w:val="00C3497F"/>
    <w:rsid w:val="00C349FA"/>
    <w:rsid w:val="00C34A24"/>
    <w:rsid w:val="00C34A31"/>
    <w:rsid w:val="00C34BBC"/>
    <w:rsid w:val="00C34C40"/>
    <w:rsid w:val="00C34CED"/>
    <w:rsid w:val="00C34D9E"/>
    <w:rsid w:val="00C34E36"/>
    <w:rsid w:val="00C34F4A"/>
    <w:rsid w:val="00C34F52"/>
    <w:rsid w:val="00C34F8E"/>
    <w:rsid w:val="00C35299"/>
    <w:rsid w:val="00C352A4"/>
    <w:rsid w:val="00C352F6"/>
    <w:rsid w:val="00C3537F"/>
    <w:rsid w:val="00C35382"/>
    <w:rsid w:val="00C35397"/>
    <w:rsid w:val="00C3550E"/>
    <w:rsid w:val="00C355AD"/>
    <w:rsid w:val="00C35605"/>
    <w:rsid w:val="00C359BD"/>
    <w:rsid w:val="00C35A9B"/>
    <w:rsid w:val="00C35E73"/>
    <w:rsid w:val="00C35F74"/>
    <w:rsid w:val="00C35FB8"/>
    <w:rsid w:val="00C3607A"/>
    <w:rsid w:val="00C36094"/>
    <w:rsid w:val="00C36125"/>
    <w:rsid w:val="00C36361"/>
    <w:rsid w:val="00C363D6"/>
    <w:rsid w:val="00C3652A"/>
    <w:rsid w:val="00C36667"/>
    <w:rsid w:val="00C3667C"/>
    <w:rsid w:val="00C367A0"/>
    <w:rsid w:val="00C36802"/>
    <w:rsid w:val="00C3691A"/>
    <w:rsid w:val="00C3699F"/>
    <w:rsid w:val="00C36AF8"/>
    <w:rsid w:val="00C36C85"/>
    <w:rsid w:val="00C36CFA"/>
    <w:rsid w:val="00C36DEE"/>
    <w:rsid w:val="00C36E36"/>
    <w:rsid w:val="00C36EE3"/>
    <w:rsid w:val="00C36F7B"/>
    <w:rsid w:val="00C37160"/>
    <w:rsid w:val="00C3741E"/>
    <w:rsid w:val="00C376DA"/>
    <w:rsid w:val="00C377F5"/>
    <w:rsid w:val="00C37835"/>
    <w:rsid w:val="00C378D3"/>
    <w:rsid w:val="00C37921"/>
    <w:rsid w:val="00C37AAA"/>
    <w:rsid w:val="00C37C3D"/>
    <w:rsid w:val="00C37D75"/>
    <w:rsid w:val="00C37DC1"/>
    <w:rsid w:val="00C37E98"/>
    <w:rsid w:val="00C37FF3"/>
    <w:rsid w:val="00C37FF5"/>
    <w:rsid w:val="00C4001A"/>
    <w:rsid w:val="00C4067B"/>
    <w:rsid w:val="00C4087C"/>
    <w:rsid w:val="00C409E9"/>
    <w:rsid w:val="00C40A1A"/>
    <w:rsid w:val="00C40A54"/>
    <w:rsid w:val="00C40BA6"/>
    <w:rsid w:val="00C40BF1"/>
    <w:rsid w:val="00C40C33"/>
    <w:rsid w:val="00C40D60"/>
    <w:rsid w:val="00C40E88"/>
    <w:rsid w:val="00C41210"/>
    <w:rsid w:val="00C412A8"/>
    <w:rsid w:val="00C412EA"/>
    <w:rsid w:val="00C413C8"/>
    <w:rsid w:val="00C41448"/>
    <w:rsid w:val="00C41513"/>
    <w:rsid w:val="00C41526"/>
    <w:rsid w:val="00C418A4"/>
    <w:rsid w:val="00C4190E"/>
    <w:rsid w:val="00C41A6E"/>
    <w:rsid w:val="00C41A75"/>
    <w:rsid w:val="00C41B36"/>
    <w:rsid w:val="00C41BEA"/>
    <w:rsid w:val="00C41C8F"/>
    <w:rsid w:val="00C41CAD"/>
    <w:rsid w:val="00C41DA2"/>
    <w:rsid w:val="00C41E87"/>
    <w:rsid w:val="00C41E8F"/>
    <w:rsid w:val="00C41F89"/>
    <w:rsid w:val="00C42076"/>
    <w:rsid w:val="00C4227D"/>
    <w:rsid w:val="00C422A9"/>
    <w:rsid w:val="00C4234A"/>
    <w:rsid w:val="00C42398"/>
    <w:rsid w:val="00C42500"/>
    <w:rsid w:val="00C42561"/>
    <w:rsid w:val="00C4261B"/>
    <w:rsid w:val="00C42747"/>
    <w:rsid w:val="00C427FC"/>
    <w:rsid w:val="00C428FA"/>
    <w:rsid w:val="00C42922"/>
    <w:rsid w:val="00C42BEF"/>
    <w:rsid w:val="00C42C09"/>
    <w:rsid w:val="00C42C54"/>
    <w:rsid w:val="00C42C6C"/>
    <w:rsid w:val="00C42C93"/>
    <w:rsid w:val="00C42CDB"/>
    <w:rsid w:val="00C42F11"/>
    <w:rsid w:val="00C42F2A"/>
    <w:rsid w:val="00C4310C"/>
    <w:rsid w:val="00C4312B"/>
    <w:rsid w:val="00C431B9"/>
    <w:rsid w:val="00C4328F"/>
    <w:rsid w:val="00C434D1"/>
    <w:rsid w:val="00C4386E"/>
    <w:rsid w:val="00C43892"/>
    <w:rsid w:val="00C43994"/>
    <w:rsid w:val="00C43AD5"/>
    <w:rsid w:val="00C43EAF"/>
    <w:rsid w:val="00C43EF0"/>
    <w:rsid w:val="00C4409D"/>
    <w:rsid w:val="00C44308"/>
    <w:rsid w:val="00C4436F"/>
    <w:rsid w:val="00C443B4"/>
    <w:rsid w:val="00C443C5"/>
    <w:rsid w:val="00C443CE"/>
    <w:rsid w:val="00C4463E"/>
    <w:rsid w:val="00C44838"/>
    <w:rsid w:val="00C4490E"/>
    <w:rsid w:val="00C44E72"/>
    <w:rsid w:val="00C45022"/>
    <w:rsid w:val="00C450B6"/>
    <w:rsid w:val="00C4515B"/>
    <w:rsid w:val="00C4517F"/>
    <w:rsid w:val="00C45219"/>
    <w:rsid w:val="00C4524C"/>
    <w:rsid w:val="00C45330"/>
    <w:rsid w:val="00C4536D"/>
    <w:rsid w:val="00C45370"/>
    <w:rsid w:val="00C4541A"/>
    <w:rsid w:val="00C4548B"/>
    <w:rsid w:val="00C45739"/>
    <w:rsid w:val="00C45786"/>
    <w:rsid w:val="00C45814"/>
    <w:rsid w:val="00C45A06"/>
    <w:rsid w:val="00C45B4A"/>
    <w:rsid w:val="00C45C0A"/>
    <w:rsid w:val="00C45DFF"/>
    <w:rsid w:val="00C461A5"/>
    <w:rsid w:val="00C4632A"/>
    <w:rsid w:val="00C4664E"/>
    <w:rsid w:val="00C46858"/>
    <w:rsid w:val="00C46A30"/>
    <w:rsid w:val="00C46E01"/>
    <w:rsid w:val="00C46ED4"/>
    <w:rsid w:val="00C46F6E"/>
    <w:rsid w:val="00C46FA2"/>
    <w:rsid w:val="00C470AC"/>
    <w:rsid w:val="00C4738F"/>
    <w:rsid w:val="00C4759E"/>
    <w:rsid w:val="00C475C4"/>
    <w:rsid w:val="00C47656"/>
    <w:rsid w:val="00C47878"/>
    <w:rsid w:val="00C47914"/>
    <w:rsid w:val="00C47A24"/>
    <w:rsid w:val="00C47A2B"/>
    <w:rsid w:val="00C47A7E"/>
    <w:rsid w:val="00C47C49"/>
    <w:rsid w:val="00C47CFF"/>
    <w:rsid w:val="00C47D5C"/>
    <w:rsid w:val="00C47DA0"/>
    <w:rsid w:val="00C47DD2"/>
    <w:rsid w:val="00C47E0E"/>
    <w:rsid w:val="00C47E5B"/>
    <w:rsid w:val="00C47ED4"/>
    <w:rsid w:val="00C47FBE"/>
    <w:rsid w:val="00C50224"/>
    <w:rsid w:val="00C502EB"/>
    <w:rsid w:val="00C50351"/>
    <w:rsid w:val="00C503AF"/>
    <w:rsid w:val="00C5055D"/>
    <w:rsid w:val="00C5064B"/>
    <w:rsid w:val="00C506DF"/>
    <w:rsid w:val="00C507F6"/>
    <w:rsid w:val="00C50859"/>
    <w:rsid w:val="00C50884"/>
    <w:rsid w:val="00C5099A"/>
    <w:rsid w:val="00C50CA2"/>
    <w:rsid w:val="00C50FF0"/>
    <w:rsid w:val="00C5102C"/>
    <w:rsid w:val="00C51127"/>
    <w:rsid w:val="00C5118A"/>
    <w:rsid w:val="00C514B6"/>
    <w:rsid w:val="00C5152C"/>
    <w:rsid w:val="00C5195E"/>
    <w:rsid w:val="00C51A53"/>
    <w:rsid w:val="00C51B72"/>
    <w:rsid w:val="00C51D0E"/>
    <w:rsid w:val="00C51D6D"/>
    <w:rsid w:val="00C51F1A"/>
    <w:rsid w:val="00C52029"/>
    <w:rsid w:val="00C52210"/>
    <w:rsid w:val="00C5274F"/>
    <w:rsid w:val="00C5280F"/>
    <w:rsid w:val="00C528E4"/>
    <w:rsid w:val="00C52992"/>
    <w:rsid w:val="00C52D6D"/>
    <w:rsid w:val="00C52DE6"/>
    <w:rsid w:val="00C5315F"/>
    <w:rsid w:val="00C5324E"/>
    <w:rsid w:val="00C53340"/>
    <w:rsid w:val="00C533DB"/>
    <w:rsid w:val="00C534B7"/>
    <w:rsid w:val="00C534F8"/>
    <w:rsid w:val="00C5357A"/>
    <w:rsid w:val="00C53690"/>
    <w:rsid w:val="00C53966"/>
    <w:rsid w:val="00C53977"/>
    <w:rsid w:val="00C539B2"/>
    <w:rsid w:val="00C53A5C"/>
    <w:rsid w:val="00C53BDA"/>
    <w:rsid w:val="00C53C02"/>
    <w:rsid w:val="00C53C10"/>
    <w:rsid w:val="00C53D72"/>
    <w:rsid w:val="00C53D81"/>
    <w:rsid w:val="00C53E89"/>
    <w:rsid w:val="00C53F50"/>
    <w:rsid w:val="00C54023"/>
    <w:rsid w:val="00C54212"/>
    <w:rsid w:val="00C54277"/>
    <w:rsid w:val="00C543F1"/>
    <w:rsid w:val="00C54490"/>
    <w:rsid w:val="00C54733"/>
    <w:rsid w:val="00C548C0"/>
    <w:rsid w:val="00C549D7"/>
    <w:rsid w:val="00C54B39"/>
    <w:rsid w:val="00C54C4C"/>
    <w:rsid w:val="00C54D27"/>
    <w:rsid w:val="00C54D51"/>
    <w:rsid w:val="00C54D76"/>
    <w:rsid w:val="00C54DE3"/>
    <w:rsid w:val="00C54F00"/>
    <w:rsid w:val="00C55103"/>
    <w:rsid w:val="00C551BE"/>
    <w:rsid w:val="00C55376"/>
    <w:rsid w:val="00C55414"/>
    <w:rsid w:val="00C55450"/>
    <w:rsid w:val="00C55473"/>
    <w:rsid w:val="00C5550A"/>
    <w:rsid w:val="00C5569B"/>
    <w:rsid w:val="00C556B3"/>
    <w:rsid w:val="00C5576E"/>
    <w:rsid w:val="00C557D9"/>
    <w:rsid w:val="00C559E8"/>
    <w:rsid w:val="00C55A65"/>
    <w:rsid w:val="00C55B3F"/>
    <w:rsid w:val="00C55BA7"/>
    <w:rsid w:val="00C55BB0"/>
    <w:rsid w:val="00C55CCF"/>
    <w:rsid w:val="00C55CD8"/>
    <w:rsid w:val="00C55CEE"/>
    <w:rsid w:val="00C55E3A"/>
    <w:rsid w:val="00C55E69"/>
    <w:rsid w:val="00C55F1E"/>
    <w:rsid w:val="00C56142"/>
    <w:rsid w:val="00C561D8"/>
    <w:rsid w:val="00C56225"/>
    <w:rsid w:val="00C5627C"/>
    <w:rsid w:val="00C562B5"/>
    <w:rsid w:val="00C56317"/>
    <w:rsid w:val="00C563CC"/>
    <w:rsid w:val="00C5649F"/>
    <w:rsid w:val="00C5650A"/>
    <w:rsid w:val="00C56807"/>
    <w:rsid w:val="00C56B33"/>
    <w:rsid w:val="00C56BDE"/>
    <w:rsid w:val="00C56C5A"/>
    <w:rsid w:val="00C56C64"/>
    <w:rsid w:val="00C57095"/>
    <w:rsid w:val="00C57139"/>
    <w:rsid w:val="00C571A3"/>
    <w:rsid w:val="00C57426"/>
    <w:rsid w:val="00C57438"/>
    <w:rsid w:val="00C574C0"/>
    <w:rsid w:val="00C5750F"/>
    <w:rsid w:val="00C575B2"/>
    <w:rsid w:val="00C575BE"/>
    <w:rsid w:val="00C57605"/>
    <w:rsid w:val="00C57B25"/>
    <w:rsid w:val="00C57C2B"/>
    <w:rsid w:val="00C57C8C"/>
    <w:rsid w:val="00C57D67"/>
    <w:rsid w:val="00C57DEF"/>
    <w:rsid w:val="00C57E08"/>
    <w:rsid w:val="00C57E9B"/>
    <w:rsid w:val="00C57F18"/>
    <w:rsid w:val="00C57F71"/>
    <w:rsid w:val="00C601A9"/>
    <w:rsid w:val="00C601E2"/>
    <w:rsid w:val="00C602D9"/>
    <w:rsid w:val="00C60359"/>
    <w:rsid w:val="00C60374"/>
    <w:rsid w:val="00C603B2"/>
    <w:rsid w:val="00C60499"/>
    <w:rsid w:val="00C604AA"/>
    <w:rsid w:val="00C6069B"/>
    <w:rsid w:val="00C6074C"/>
    <w:rsid w:val="00C6077D"/>
    <w:rsid w:val="00C609EB"/>
    <w:rsid w:val="00C60C45"/>
    <w:rsid w:val="00C60C4F"/>
    <w:rsid w:val="00C60C5F"/>
    <w:rsid w:val="00C60C62"/>
    <w:rsid w:val="00C60D06"/>
    <w:rsid w:val="00C60E7E"/>
    <w:rsid w:val="00C60F74"/>
    <w:rsid w:val="00C60FAF"/>
    <w:rsid w:val="00C6106D"/>
    <w:rsid w:val="00C61077"/>
    <w:rsid w:val="00C61097"/>
    <w:rsid w:val="00C611BC"/>
    <w:rsid w:val="00C6140C"/>
    <w:rsid w:val="00C61410"/>
    <w:rsid w:val="00C61954"/>
    <w:rsid w:val="00C619FC"/>
    <w:rsid w:val="00C61AF2"/>
    <w:rsid w:val="00C61B6E"/>
    <w:rsid w:val="00C61CE7"/>
    <w:rsid w:val="00C61E4B"/>
    <w:rsid w:val="00C62030"/>
    <w:rsid w:val="00C620B8"/>
    <w:rsid w:val="00C620E4"/>
    <w:rsid w:val="00C6221B"/>
    <w:rsid w:val="00C62355"/>
    <w:rsid w:val="00C623AE"/>
    <w:rsid w:val="00C62504"/>
    <w:rsid w:val="00C62926"/>
    <w:rsid w:val="00C62B51"/>
    <w:rsid w:val="00C62C5C"/>
    <w:rsid w:val="00C62D63"/>
    <w:rsid w:val="00C6300B"/>
    <w:rsid w:val="00C63010"/>
    <w:rsid w:val="00C634E5"/>
    <w:rsid w:val="00C63772"/>
    <w:rsid w:val="00C6384B"/>
    <w:rsid w:val="00C63A36"/>
    <w:rsid w:val="00C63B93"/>
    <w:rsid w:val="00C63D91"/>
    <w:rsid w:val="00C63E22"/>
    <w:rsid w:val="00C63F53"/>
    <w:rsid w:val="00C64038"/>
    <w:rsid w:val="00C6413F"/>
    <w:rsid w:val="00C64227"/>
    <w:rsid w:val="00C64301"/>
    <w:rsid w:val="00C6436D"/>
    <w:rsid w:val="00C643E0"/>
    <w:rsid w:val="00C644AF"/>
    <w:rsid w:val="00C64579"/>
    <w:rsid w:val="00C647A4"/>
    <w:rsid w:val="00C64937"/>
    <w:rsid w:val="00C64B43"/>
    <w:rsid w:val="00C64B56"/>
    <w:rsid w:val="00C64B7F"/>
    <w:rsid w:val="00C64BFF"/>
    <w:rsid w:val="00C64C19"/>
    <w:rsid w:val="00C64C32"/>
    <w:rsid w:val="00C64DF6"/>
    <w:rsid w:val="00C64EF5"/>
    <w:rsid w:val="00C65010"/>
    <w:rsid w:val="00C6532F"/>
    <w:rsid w:val="00C653ED"/>
    <w:rsid w:val="00C65435"/>
    <w:rsid w:val="00C654E4"/>
    <w:rsid w:val="00C65645"/>
    <w:rsid w:val="00C656D7"/>
    <w:rsid w:val="00C657DE"/>
    <w:rsid w:val="00C65846"/>
    <w:rsid w:val="00C6594F"/>
    <w:rsid w:val="00C6598F"/>
    <w:rsid w:val="00C659BA"/>
    <w:rsid w:val="00C65BF0"/>
    <w:rsid w:val="00C65DBA"/>
    <w:rsid w:val="00C65EC8"/>
    <w:rsid w:val="00C65F39"/>
    <w:rsid w:val="00C66137"/>
    <w:rsid w:val="00C6631E"/>
    <w:rsid w:val="00C66364"/>
    <w:rsid w:val="00C6646C"/>
    <w:rsid w:val="00C664F1"/>
    <w:rsid w:val="00C66507"/>
    <w:rsid w:val="00C6653D"/>
    <w:rsid w:val="00C66699"/>
    <w:rsid w:val="00C667E9"/>
    <w:rsid w:val="00C66808"/>
    <w:rsid w:val="00C669AB"/>
    <w:rsid w:val="00C66A51"/>
    <w:rsid w:val="00C66B25"/>
    <w:rsid w:val="00C66B64"/>
    <w:rsid w:val="00C66C6B"/>
    <w:rsid w:val="00C66EA2"/>
    <w:rsid w:val="00C66F3E"/>
    <w:rsid w:val="00C6714E"/>
    <w:rsid w:val="00C671C6"/>
    <w:rsid w:val="00C67288"/>
    <w:rsid w:val="00C67312"/>
    <w:rsid w:val="00C67799"/>
    <w:rsid w:val="00C678AC"/>
    <w:rsid w:val="00C679A3"/>
    <w:rsid w:val="00C67B03"/>
    <w:rsid w:val="00C702CE"/>
    <w:rsid w:val="00C704E9"/>
    <w:rsid w:val="00C705ED"/>
    <w:rsid w:val="00C70836"/>
    <w:rsid w:val="00C708F9"/>
    <w:rsid w:val="00C70A12"/>
    <w:rsid w:val="00C70A8E"/>
    <w:rsid w:val="00C70A98"/>
    <w:rsid w:val="00C70AB1"/>
    <w:rsid w:val="00C70AB3"/>
    <w:rsid w:val="00C70AC9"/>
    <w:rsid w:val="00C70B42"/>
    <w:rsid w:val="00C70BDF"/>
    <w:rsid w:val="00C70CE3"/>
    <w:rsid w:val="00C70F9C"/>
    <w:rsid w:val="00C71013"/>
    <w:rsid w:val="00C7122A"/>
    <w:rsid w:val="00C713B4"/>
    <w:rsid w:val="00C7142A"/>
    <w:rsid w:val="00C7163C"/>
    <w:rsid w:val="00C71785"/>
    <w:rsid w:val="00C71791"/>
    <w:rsid w:val="00C71D81"/>
    <w:rsid w:val="00C71E40"/>
    <w:rsid w:val="00C71F6E"/>
    <w:rsid w:val="00C72418"/>
    <w:rsid w:val="00C7250C"/>
    <w:rsid w:val="00C726A8"/>
    <w:rsid w:val="00C72816"/>
    <w:rsid w:val="00C7286A"/>
    <w:rsid w:val="00C728AA"/>
    <w:rsid w:val="00C72933"/>
    <w:rsid w:val="00C72A24"/>
    <w:rsid w:val="00C72BED"/>
    <w:rsid w:val="00C72BF6"/>
    <w:rsid w:val="00C72CDE"/>
    <w:rsid w:val="00C72D04"/>
    <w:rsid w:val="00C7301D"/>
    <w:rsid w:val="00C7331A"/>
    <w:rsid w:val="00C73452"/>
    <w:rsid w:val="00C735FB"/>
    <w:rsid w:val="00C73DCC"/>
    <w:rsid w:val="00C73F88"/>
    <w:rsid w:val="00C741BB"/>
    <w:rsid w:val="00C743BF"/>
    <w:rsid w:val="00C744F5"/>
    <w:rsid w:val="00C745CC"/>
    <w:rsid w:val="00C74975"/>
    <w:rsid w:val="00C74A27"/>
    <w:rsid w:val="00C74B6C"/>
    <w:rsid w:val="00C74BFC"/>
    <w:rsid w:val="00C74ED7"/>
    <w:rsid w:val="00C74FE4"/>
    <w:rsid w:val="00C75238"/>
    <w:rsid w:val="00C75414"/>
    <w:rsid w:val="00C75455"/>
    <w:rsid w:val="00C7547F"/>
    <w:rsid w:val="00C755BE"/>
    <w:rsid w:val="00C755D2"/>
    <w:rsid w:val="00C75608"/>
    <w:rsid w:val="00C75618"/>
    <w:rsid w:val="00C757E3"/>
    <w:rsid w:val="00C759FE"/>
    <w:rsid w:val="00C75A08"/>
    <w:rsid w:val="00C75A51"/>
    <w:rsid w:val="00C75E2F"/>
    <w:rsid w:val="00C75F6E"/>
    <w:rsid w:val="00C76027"/>
    <w:rsid w:val="00C76160"/>
    <w:rsid w:val="00C763C9"/>
    <w:rsid w:val="00C7647A"/>
    <w:rsid w:val="00C767B0"/>
    <w:rsid w:val="00C76918"/>
    <w:rsid w:val="00C7691F"/>
    <w:rsid w:val="00C76950"/>
    <w:rsid w:val="00C76B37"/>
    <w:rsid w:val="00C76BE7"/>
    <w:rsid w:val="00C76CEF"/>
    <w:rsid w:val="00C76E24"/>
    <w:rsid w:val="00C7707E"/>
    <w:rsid w:val="00C771C7"/>
    <w:rsid w:val="00C772DA"/>
    <w:rsid w:val="00C7742F"/>
    <w:rsid w:val="00C7748B"/>
    <w:rsid w:val="00C77557"/>
    <w:rsid w:val="00C77593"/>
    <w:rsid w:val="00C775E9"/>
    <w:rsid w:val="00C777BC"/>
    <w:rsid w:val="00C778E2"/>
    <w:rsid w:val="00C779C3"/>
    <w:rsid w:val="00C77A55"/>
    <w:rsid w:val="00C77AAF"/>
    <w:rsid w:val="00C77BDC"/>
    <w:rsid w:val="00C77BF7"/>
    <w:rsid w:val="00C77C94"/>
    <w:rsid w:val="00C77CC9"/>
    <w:rsid w:val="00C77EEE"/>
    <w:rsid w:val="00C77FAB"/>
    <w:rsid w:val="00C80057"/>
    <w:rsid w:val="00C8005E"/>
    <w:rsid w:val="00C8011B"/>
    <w:rsid w:val="00C80245"/>
    <w:rsid w:val="00C802B6"/>
    <w:rsid w:val="00C802E6"/>
    <w:rsid w:val="00C8031C"/>
    <w:rsid w:val="00C80499"/>
    <w:rsid w:val="00C8064D"/>
    <w:rsid w:val="00C80682"/>
    <w:rsid w:val="00C80693"/>
    <w:rsid w:val="00C80C8F"/>
    <w:rsid w:val="00C80CD3"/>
    <w:rsid w:val="00C80DF0"/>
    <w:rsid w:val="00C80EC1"/>
    <w:rsid w:val="00C80FE6"/>
    <w:rsid w:val="00C8121E"/>
    <w:rsid w:val="00C813A6"/>
    <w:rsid w:val="00C81537"/>
    <w:rsid w:val="00C815D6"/>
    <w:rsid w:val="00C817A0"/>
    <w:rsid w:val="00C8191E"/>
    <w:rsid w:val="00C81A92"/>
    <w:rsid w:val="00C81C0F"/>
    <w:rsid w:val="00C81D43"/>
    <w:rsid w:val="00C81D83"/>
    <w:rsid w:val="00C81D92"/>
    <w:rsid w:val="00C81DD6"/>
    <w:rsid w:val="00C81E2D"/>
    <w:rsid w:val="00C81E61"/>
    <w:rsid w:val="00C81F4E"/>
    <w:rsid w:val="00C820FC"/>
    <w:rsid w:val="00C82150"/>
    <w:rsid w:val="00C82184"/>
    <w:rsid w:val="00C82232"/>
    <w:rsid w:val="00C8240E"/>
    <w:rsid w:val="00C82788"/>
    <w:rsid w:val="00C82899"/>
    <w:rsid w:val="00C82913"/>
    <w:rsid w:val="00C8295A"/>
    <w:rsid w:val="00C829A7"/>
    <w:rsid w:val="00C82A34"/>
    <w:rsid w:val="00C82B90"/>
    <w:rsid w:val="00C82C11"/>
    <w:rsid w:val="00C82C14"/>
    <w:rsid w:val="00C82D74"/>
    <w:rsid w:val="00C82E7B"/>
    <w:rsid w:val="00C82F70"/>
    <w:rsid w:val="00C82FBB"/>
    <w:rsid w:val="00C83139"/>
    <w:rsid w:val="00C832B3"/>
    <w:rsid w:val="00C8332A"/>
    <w:rsid w:val="00C833FB"/>
    <w:rsid w:val="00C83523"/>
    <w:rsid w:val="00C83535"/>
    <w:rsid w:val="00C83625"/>
    <w:rsid w:val="00C83628"/>
    <w:rsid w:val="00C8366B"/>
    <w:rsid w:val="00C83727"/>
    <w:rsid w:val="00C8376A"/>
    <w:rsid w:val="00C839FA"/>
    <w:rsid w:val="00C83A48"/>
    <w:rsid w:val="00C83AF1"/>
    <w:rsid w:val="00C83C70"/>
    <w:rsid w:val="00C83CEE"/>
    <w:rsid w:val="00C83D41"/>
    <w:rsid w:val="00C83D97"/>
    <w:rsid w:val="00C83EA1"/>
    <w:rsid w:val="00C83FC9"/>
    <w:rsid w:val="00C83FCD"/>
    <w:rsid w:val="00C841F3"/>
    <w:rsid w:val="00C8427A"/>
    <w:rsid w:val="00C842D7"/>
    <w:rsid w:val="00C84369"/>
    <w:rsid w:val="00C84579"/>
    <w:rsid w:val="00C84665"/>
    <w:rsid w:val="00C848DA"/>
    <w:rsid w:val="00C8490E"/>
    <w:rsid w:val="00C84AA7"/>
    <w:rsid w:val="00C84B76"/>
    <w:rsid w:val="00C84E94"/>
    <w:rsid w:val="00C84EF2"/>
    <w:rsid w:val="00C84FBA"/>
    <w:rsid w:val="00C85046"/>
    <w:rsid w:val="00C852B8"/>
    <w:rsid w:val="00C853D8"/>
    <w:rsid w:val="00C85451"/>
    <w:rsid w:val="00C8547D"/>
    <w:rsid w:val="00C854E9"/>
    <w:rsid w:val="00C855A1"/>
    <w:rsid w:val="00C855A5"/>
    <w:rsid w:val="00C855FC"/>
    <w:rsid w:val="00C85639"/>
    <w:rsid w:val="00C856AD"/>
    <w:rsid w:val="00C8576D"/>
    <w:rsid w:val="00C857D0"/>
    <w:rsid w:val="00C857F7"/>
    <w:rsid w:val="00C85828"/>
    <w:rsid w:val="00C85841"/>
    <w:rsid w:val="00C8584B"/>
    <w:rsid w:val="00C85943"/>
    <w:rsid w:val="00C859D8"/>
    <w:rsid w:val="00C85A03"/>
    <w:rsid w:val="00C85B3F"/>
    <w:rsid w:val="00C85C18"/>
    <w:rsid w:val="00C85E79"/>
    <w:rsid w:val="00C85EDC"/>
    <w:rsid w:val="00C86759"/>
    <w:rsid w:val="00C867C9"/>
    <w:rsid w:val="00C86982"/>
    <w:rsid w:val="00C86BAB"/>
    <w:rsid w:val="00C86C79"/>
    <w:rsid w:val="00C86D27"/>
    <w:rsid w:val="00C86D64"/>
    <w:rsid w:val="00C86EAC"/>
    <w:rsid w:val="00C87111"/>
    <w:rsid w:val="00C871A0"/>
    <w:rsid w:val="00C871B0"/>
    <w:rsid w:val="00C87226"/>
    <w:rsid w:val="00C872B1"/>
    <w:rsid w:val="00C873C1"/>
    <w:rsid w:val="00C87558"/>
    <w:rsid w:val="00C87603"/>
    <w:rsid w:val="00C876C1"/>
    <w:rsid w:val="00C87706"/>
    <w:rsid w:val="00C87928"/>
    <w:rsid w:val="00C8797D"/>
    <w:rsid w:val="00C879C9"/>
    <w:rsid w:val="00C87A42"/>
    <w:rsid w:val="00C87AA4"/>
    <w:rsid w:val="00C87BFB"/>
    <w:rsid w:val="00C87C30"/>
    <w:rsid w:val="00C87C6B"/>
    <w:rsid w:val="00C87DE9"/>
    <w:rsid w:val="00C87F04"/>
    <w:rsid w:val="00C87FEB"/>
    <w:rsid w:val="00C900A9"/>
    <w:rsid w:val="00C900DD"/>
    <w:rsid w:val="00C90279"/>
    <w:rsid w:val="00C9050C"/>
    <w:rsid w:val="00C90634"/>
    <w:rsid w:val="00C9091B"/>
    <w:rsid w:val="00C90DA7"/>
    <w:rsid w:val="00C90DEF"/>
    <w:rsid w:val="00C90E20"/>
    <w:rsid w:val="00C90E78"/>
    <w:rsid w:val="00C90F10"/>
    <w:rsid w:val="00C90FCD"/>
    <w:rsid w:val="00C910C6"/>
    <w:rsid w:val="00C913A4"/>
    <w:rsid w:val="00C913F6"/>
    <w:rsid w:val="00C9147E"/>
    <w:rsid w:val="00C91545"/>
    <w:rsid w:val="00C915FB"/>
    <w:rsid w:val="00C91658"/>
    <w:rsid w:val="00C91750"/>
    <w:rsid w:val="00C9187A"/>
    <w:rsid w:val="00C918C5"/>
    <w:rsid w:val="00C91CAA"/>
    <w:rsid w:val="00C91E23"/>
    <w:rsid w:val="00C92096"/>
    <w:rsid w:val="00C9227C"/>
    <w:rsid w:val="00C9228C"/>
    <w:rsid w:val="00C92308"/>
    <w:rsid w:val="00C92388"/>
    <w:rsid w:val="00C924BA"/>
    <w:rsid w:val="00C92536"/>
    <w:rsid w:val="00C9253B"/>
    <w:rsid w:val="00C9257D"/>
    <w:rsid w:val="00C9258A"/>
    <w:rsid w:val="00C925C6"/>
    <w:rsid w:val="00C927AA"/>
    <w:rsid w:val="00C927C4"/>
    <w:rsid w:val="00C928EA"/>
    <w:rsid w:val="00C92986"/>
    <w:rsid w:val="00C92A8A"/>
    <w:rsid w:val="00C92AE5"/>
    <w:rsid w:val="00C93074"/>
    <w:rsid w:val="00C930FF"/>
    <w:rsid w:val="00C93169"/>
    <w:rsid w:val="00C93183"/>
    <w:rsid w:val="00C9350C"/>
    <w:rsid w:val="00C93548"/>
    <w:rsid w:val="00C936D2"/>
    <w:rsid w:val="00C93730"/>
    <w:rsid w:val="00C9379E"/>
    <w:rsid w:val="00C937CA"/>
    <w:rsid w:val="00C93925"/>
    <w:rsid w:val="00C9396B"/>
    <w:rsid w:val="00C93A36"/>
    <w:rsid w:val="00C93A49"/>
    <w:rsid w:val="00C93A9E"/>
    <w:rsid w:val="00C93AF3"/>
    <w:rsid w:val="00C93BCF"/>
    <w:rsid w:val="00C93CFC"/>
    <w:rsid w:val="00C93DBF"/>
    <w:rsid w:val="00C93DFF"/>
    <w:rsid w:val="00C93E20"/>
    <w:rsid w:val="00C93E46"/>
    <w:rsid w:val="00C93F2E"/>
    <w:rsid w:val="00C9412E"/>
    <w:rsid w:val="00C94165"/>
    <w:rsid w:val="00C94184"/>
    <w:rsid w:val="00C94264"/>
    <w:rsid w:val="00C9429B"/>
    <w:rsid w:val="00C94360"/>
    <w:rsid w:val="00C9436A"/>
    <w:rsid w:val="00C94409"/>
    <w:rsid w:val="00C945A8"/>
    <w:rsid w:val="00C94733"/>
    <w:rsid w:val="00C9480A"/>
    <w:rsid w:val="00C948C8"/>
    <w:rsid w:val="00C9490F"/>
    <w:rsid w:val="00C94923"/>
    <w:rsid w:val="00C9495A"/>
    <w:rsid w:val="00C94A43"/>
    <w:rsid w:val="00C95012"/>
    <w:rsid w:val="00C95120"/>
    <w:rsid w:val="00C95161"/>
    <w:rsid w:val="00C951AE"/>
    <w:rsid w:val="00C951CF"/>
    <w:rsid w:val="00C9526D"/>
    <w:rsid w:val="00C952CF"/>
    <w:rsid w:val="00C95394"/>
    <w:rsid w:val="00C954F3"/>
    <w:rsid w:val="00C956F6"/>
    <w:rsid w:val="00C959D8"/>
    <w:rsid w:val="00C95EC4"/>
    <w:rsid w:val="00C95F2C"/>
    <w:rsid w:val="00C9602C"/>
    <w:rsid w:val="00C960B7"/>
    <w:rsid w:val="00C96316"/>
    <w:rsid w:val="00C96366"/>
    <w:rsid w:val="00C964CD"/>
    <w:rsid w:val="00C96880"/>
    <w:rsid w:val="00C96A24"/>
    <w:rsid w:val="00C96F2A"/>
    <w:rsid w:val="00C97076"/>
    <w:rsid w:val="00C97199"/>
    <w:rsid w:val="00C972B1"/>
    <w:rsid w:val="00C97353"/>
    <w:rsid w:val="00C973E4"/>
    <w:rsid w:val="00C97405"/>
    <w:rsid w:val="00C9756F"/>
    <w:rsid w:val="00C976E8"/>
    <w:rsid w:val="00C9793D"/>
    <w:rsid w:val="00C97A9E"/>
    <w:rsid w:val="00C97B60"/>
    <w:rsid w:val="00C97C32"/>
    <w:rsid w:val="00C97C58"/>
    <w:rsid w:val="00C97C7D"/>
    <w:rsid w:val="00C97F32"/>
    <w:rsid w:val="00CA0059"/>
    <w:rsid w:val="00CA00B0"/>
    <w:rsid w:val="00CA0304"/>
    <w:rsid w:val="00CA030A"/>
    <w:rsid w:val="00CA0486"/>
    <w:rsid w:val="00CA0613"/>
    <w:rsid w:val="00CA08A7"/>
    <w:rsid w:val="00CA08B7"/>
    <w:rsid w:val="00CA08D1"/>
    <w:rsid w:val="00CA0C96"/>
    <w:rsid w:val="00CA0D26"/>
    <w:rsid w:val="00CA10E0"/>
    <w:rsid w:val="00CA14C1"/>
    <w:rsid w:val="00CA14D2"/>
    <w:rsid w:val="00CA15B4"/>
    <w:rsid w:val="00CA16E9"/>
    <w:rsid w:val="00CA1726"/>
    <w:rsid w:val="00CA1845"/>
    <w:rsid w:val="00CA18A2"/>
    <w:rsid w:val="00CA194F"/>
    <w:rsid w:val="00CA1B1A"/>
    <w:rsid w:val="00CA1B31"/>
    <w:rsid w:val="00CA1D42"/>
    <w:rsid w:val="00CA1F3D"/>
    <w:rsid w:val="00CA1F52"/>
    <w:rsid w:val="00CA1F94"/>
    <w:rsid w:val="00CA204E"/>
    <w:rsid w:val="00CA238D"/>
    <w:rsid w:val="00CA24A1"/>
    <w:rsid w:val="00CA2667"/>
    <w:rsid w:val="00CA27FA"/>
    <w:rsid w:val="00CA2876"/>
    <w:rsid w:val="00CA2B00"/>
    <w:rsid w:val="00CA2B02"/>
    <w:rsid w:val="00CA2B4D"/>
    <w:rsid w:val="00CA2BB1"/>
    <w:rsid w:val="00CA2BBF"/>
    <w:rsid w:val="00CA2CCE"/>
    <w:rsid w:val="00CA2D3C"/>
    <w:rsid w:val="00CA2DC8"/>
    <w:rsid w:val="00CA2F36"/>
    <w:rsid w:val="00CA3089"/>
    <w:rsid w:val="00CA308E"/>
    <w:rsid w:val="00CA3105"/>
    <w:rsid w:val="00CA33D9"/>
    <w:rsid w:val="00CA35A8"/>
    <w:rsid w:val="00CA35DA"/>
    <w:rsid w:val="00CA38A7"/>
    <w:rsid w:val="00CA39D0"/>
    <w:rsid w:val="00CA3AC9"/>
    <w:rsid w:val="00CA3ACA"/>
    <w:rsid w:val="00CA3AF9"/>
    <w:rsid w:val="00CA3B51"/>
    <w:rsid w:val="00CA42D0"/>
    <w:rsid w:val="00CA43FD"/>
    <w:rsid w:val="00CA45E2"/>
    <w:rsid w:val="00CA45F1"/>
    <w:rsid w:val="00CA46DB"/>
    <w:rsid w:val="00CA4753"/>
    <w:rsid w:val="00CA4A47"/>
    <w:rsid w:val="00CA4BF9"/>
    <w:rsid w:val="00CA4D07"/>
    <w:rsid w:val="00CA4D23"/>
    <w:rsid w:val="00CA4D9D"/>
    <w:rsid w:val="00CA4DBA"/>
    <w:rsid w:val="00CA4E7D"/>
    <w:rsid w:val="00CA4E80"/>
    <w:rsid w:val="00CA4E99"/>
    <w:rsid w:val="00CA4ED3"/>
    <w:rsid w:val="00CA4F46"/>
    <w:rsid w:val="00CA516B"/>
    <w:rsid w:val="00CA517D"/>
    <w:rsid w:val="00CA5247"/>
    <w:rsid w:val="00CA5484"/>
    <w:rsid w:val="00CA553D"/>
    <w:rsid w:val="00CA5545"/>
    <w:rsid w:val="00CA5852"/>
    <w:rsid w:val="00CA59F0"/>
    <w:rsid w:val="00CA5A8E"/>
    <w:rsid w:val="00CA5AA4"/>
    <w:rsid w:val="00CA5C29"/>
    <w:rsid w:val="00CA5C76"/>
    <w:rsid w:val="00CA6043"/>
    <w:rsid w:val="00CA60D0"/>
    <w:rsid w:val="00CA624E"/>
    <w:rsid w:val="00CA634A"/>
    <w:rsid w:val="00CA63DA"/>
    <w:rsid w:val="00CA64B7"/>
    <w:rsid w:val="00CA6562"/>
    <w:rsid w:val="00CA6721"/>
    <w:rsid w:val="00CA6757"/>
    <w:rsid w:val="00CA6861"/>
    <w:rsid w:val="00CA6BE6"/>
    <w:rsid w:val="00CA6C6F"/>
    <w:rsid w:val="00CA6D5D"/>
    <w:rsid w:val="00CA707C"/>
    <w:rsid w:val="00CA71BC"/>
    <w:rsid w:val="00CA72F9"/>
    <w:rsid w:val="00CA762E"/>
    <w:rsid w:val="00CA772C"/>
    <w:rsid w:val="00CA780C"/>
    <w:rsid w:val="00CA7ABC"/>
    <w:rsid w:val="00CA7C25"/>
    <w:rsid w:val="00CA7C9B"/>
    <w:rsid w:val="00CA7D87"/>
    <w:rsid w:val="00CA7DBB"/>
    <w:rsid w:val="00CA7E02"/>
    <w:rsid w:val="00CA7E0D"/>
    <w:rsid w:val="00CA7E41"/>
    <w:rsid w:val="00CA7E78"/>
    <w:rsid w:val="00CA7EAA"/>
    <w:rsid w:val="00CA7EE2"/>
    <w:rsid w:val="00CA7EF8"/>
    <w:rsid w:val="00CA7F6E"/>
    <w:rsid w:val="00CB0003"/>
    <w:rsid w:val="00CB013D"/>
    <w:rsid w:val="00CB0186"/>
    <w:rsid w:val="00CB028B"/>
    <w:rsid w:val="00CB0397"/>
    <w:rsid w:val="00CB067A"/>
    <w:rsid w:val="00CB068E"/>
    <w:rsid w:val="00CB06D7"/>
    <w:rsid w:val="00CB06DC"/>
    <w:rsid w:val="00CB092B"/>
    <w:rsid w:val="00CB092C"/>
    <w:rsid w:val="00CB0ABF"/>
    <w:rsid w:val="00CB0C1D"/>
    <w:rsid w:val="00CB0C57"/>
    <w:rsid w:val="00CB10D0"/>
    <w:rsid w:val="00CB1103"/>
    <w:rsid w:val="00CB11E9"/>
    <w:rsid w:val="00CB1259"/>
    <w:rsid w:val="00CB1439"/>
    <w:rsid w:val="00CB144C"/>
    <w:rsid w:val="00CB14CD"/>
    <w:rsid w:val="00CB1538"/>
    <w:rsid w:val="00CB15F5"/>
    <w:rsid w:val="00CB1832"/>
    <w:rsid w:val="00CB1836"/>
    <w:rsid w:val="00CB19C0"/>
    <w:rsid w:val="00CB19DE"/>
    <w:rsid w:val="00CB1C89"/>
    <w:rsid w:val="00CB1D56"/>
    <w:rsid w:val="00CB1DC6"/>
    <w:rsid w:val="00CB1E15"/>
    <w:rsid w:val="00CB2130"/>
    <w:rsid w:val="00CB2186"/>
    <w:rsid w:val="00CB21EC"/>
    <w:rsid w:val="00CB2221"/>
    <w:rsid w:val="00CB223E"/>
    <w:rsid w:val="00CB226A"/>
    <w:rsid w:val="00CB2345"/>
    <w:rsid w:val="00CB243A"/>
    <w:rsid w:val="00CB251F"/>
    <w:rsid w:val="00CB26CB"/>
    <w:rsid w:val="00CB2751"/>
    <w:rsid w:val="00CB28F7"/>
    <w:rsid w:val="00CB2947"/>
    <w:rsid w:val="00CB2997"/>
    <w:rsid w:val="00CB2C02"/>
    <w:rsid w:val="00CB2C33"/>
    <w:rsid w:val="00CB2C38"/>
    <w:rsid w:val="00CB2DCB"/>
    <w:rsid w:val="00CB2DF1"/>
    <w:rsid w:val="00CB2ECC"/>
    <w:rsid w:val="00CB2EF2"/>
    <w:rsid w:val="00CB3681"/>
    <w:rsid w:val="00CB388A"/>
    <w:rsid w:val="00CB399F"/>
    <w:rsid w:val="00CB3A32"/>
    <w:rsid w:val="00CB3A5A"/>
    <w:rsid w:val="00CB3ABD"/>
    <w:rsid w:val="00CB3B46"/>
    <w:rsid w:val="00CB3CA9"/>
    <w:rsid w:val="00CB3DB8"/>
    <w:rsid w:val="00CB3E3C"/>
    <w:rsid w:val="00CB3F69"/>
    <w:rsid w:val="00CB3F79"/>
    <w:rsid w:val="00CB4132"/>
    <w:rsid w:val="00CB41EC"/>
    <w:rsid w:val="00CB4358"/>
    <w:rsid w:val="00CB4374"/>
    <w:rsid w:val="00CB43AD"/>
    <w:rsid w:val="00CB4403"/>
    <w:rsid w:val="00CB4482"/>
    <w:rsid w:val="00CB44B8"/>
    <w:rsid w:val="00CB44D0"/>
    <w:rsid w:val="00CB44FC"/>
    <w:rsid w:val="00CB479F"/>
    <w:rsid w:val="00CB4AA9"/>
    <w:rsid w:val="00CB4C66"/>
    <w:rsid w:val="00CB4C86"/>
    <w:rsid w:val="00CB4D58"/>
    <w:rsid w:val="00CB4D7D"/>
    <w:rsid w:val="00CB4EDC"/>
    <w:rsid w:val="00CB4F94"/>
    <w:rsid w:val="00CB4FC8"/>
    <w:rsid w:val="00CB50F6"/>
    <w:rsid w:val="00CB510A"/>
    <w:rsid w:val="00CB525E"/>
    <w:rsid w:val="00CB537A"/>
    <w:rsid w:val="00CB5475"/>
    <w:rsid w:val="00CB54C4"/>
    <w:rsid w:val="00CB5528"/>
    <w:rsid w:val="00CB5535"/>
    <w:rsid w:val="00CB575C"/>
    <w:rsid w:val="00CB57B9"/>
    <w:rsid w:val="00CB5861"/>
    <w:rsid w:val="00CB58B2"/>
    <w:rsid w:val="00CB5933"/>
    <w:rsid w:val="00CB5AB2"/>
    <w:rsid w:val="00CB5D04"/>
    <w:rsid w:val="00CB5D3B"/>
    <w:rsid w:val="00CB5DB4"/>
    <w:rsid w:val="00CB5E4F"/>
    <w:rsid w:val="00CB5F4A"/>
    <w:rsid w:val="00CB5F8E"/>
    <w:rsid w:val="00CB5FB8"/>
    <w:rsid w:val="00CB5FC2"/>
    <w:rsid w:val="00CB605D"/>
    <w:rsid w:val="00CB61A9"/>
    <w:rsid w:val="00CB6487"/>
    <w:rsid w:val="00CB64D6"/>
    <w:rsid w:val="00CB6537"/>
    <w:rsid w:val="00CB66CE"/>
    <w:rsid w:val="00CB6710"/>
    <w:rsid w:val="00CB689D"/>
    <w:rsid w:val="00CB6DD5"/>
    <w:rsid w:val="00CB6DFA"/>
    <w:rsid w:val="00CB6E74"/>
    <w:rsid w:val="00CB6E80"/>
    <w:rsid w:val="00CB7413"/>
    <w:rsid w:val="00CB7507"/>
    <w:rsid w:val="00CB7572"/>
    <w:rsid w:val="00CB75EE"/>
    <w:rsid w:val="00CB77DD"/>
    <w:rsid w:val="00CB793C"/>
    <w:rsid w:val="00CB7C3B"/>
    <w:rsid w:val="00CB7C4B"/>
    <w:rsid w:val="00CB7C79"/>
    <w:rsid w:val="00CB7F15"/>
    <w:rsid w:val="00CB7F1D"/>
    <w:rsid w:val="00CB7F29"/>
    <w:rsid w:val="00CC0135"/>
    <w:rsid w:val="00CC017B"/>
    <w:rsid w:val="00CC017F"/>
    <w:rsid w:val="00CC029B"/>
    <w:rsid w:val="00CC03C7"/>
    <w:rsid w:val="00CC0478"/>
    <w:rsid w:val="00CC0626"/>
    <w:rsid w:val="00CC062D"/>
    <w:rsid w:val="00CC06DF"/>
    <w:rsid w:val="00CC0732"/>
    <w:rsid w:val="00CC0952"/>
    <w:rsid w:val="00CC0994"/>
    <w:rsid w:val="00CC0B53"/>
    <w:rsid w:val="00CC0CCD"/>
    <w:rsid w:val="00CC0D0F"/>
    <w:rsid w:val="00CC0DE4"/>
    <w:rsid w:val="00CC0DFB"/>
    <w:rsid w:val="00CC0EB8"/>
    <w:rsid w:val="00CC0ECA"/>
    <w:rsid w:val="00CC0F88"/>
    <w:rsid w:val="00CC0FF1"/>
    <w:rsid w:val="00CC1190"/>
    <w:rsid w:val="00CC11CA"/>
    <w:rsid w:val="00CC1204"/>
    <w:rsid w:val="00CC138A"/>
    <w:rsid w:val="00CC13B5"/>
    <w:rsid w:val="00CC13BD"/>
    <w:rsid w:val="00CC140E"/>
    <w:rsid w:val="00CC15F9"/>
    <w:rsid w:val="00CC176B"/>
    <w:rsid w:val="00CC18C4"/>
    <w:rsid w:val="00CC19F5"/>
    <w:rsid w:val="00CC1AC0"/>
    <w:rsid w:val="00CC1B35"/>
    <w:rsid w:val="00CC1C50"/>
    <w:rsid w:val="00CC1D9E"/>
    <w:rsid w:val="00CC1DB9"/>
    <w:rsid w:val="00CC1E32"/>
    <w:rsid w:val="00CC1EF3"/>
    <w:rsid w:val="00CC1F03"/>
    <w:rsid w:val="00CC1F15"/>
    <w:rsid w:val="00CC1FC5"/>
    <w:rsid w:val="00CC2045"/>
    <w:rsid w:val="00CC213A"/>
    <w:rsid w:val="00CC22AB"/>
    <w:rsid w:val="00CC2531"/>
    <w:rsid w:val="00CC2616"/>
    <w:rsid w:val="00CC269C"/>
    <w:rsid w:val="00CC2896"/>
    <w:rsid w:val="00CC2906"/>
    <w:rsid w:val="00CC290F"/>
    <w:rsid w:val="00CC2ADE"/>
    <w:rsid w:val="00CC2C4E"/>
    <w:rsid w:val="00CC2D2A"/>
    <w:rsid w:val="00CC2E06"/>
    <w:rsid w:val="00CC2E6B"/>
    <w:rsid w:val="00CC2FAF"/>
    <w:rsid w:val="00CC2FC9"/>
    <w:rsid w:val="00CC3003"/>
    <w:rsid w:val="00CC3017"/>
    <w:rsid w:val="00CC32E2"/>
    <w:rsid w:val="00CC359F"/>
    <w:rsid w:val="00CC36CE"/>
    <w:rsid w:val="00CC37C0"/>
    <w:rsid w:val="00CC382B"/>
    <w:rsid w:val="00CC3933"/>
    <w:rsid w:val="00CC3B97"/>
    <w:rsid w:val="00CC3C50"/>
    <w:rsid w:val="00CC3C7C"/>
    <w:rsid w:val="00CC3D57"/>
    <w:rsid w:val="00CC3DDC"/>
    <w:rsid w:val="00CC3DF8"/>
    <w:rsid w:val="00CC3E8E"/>
    <w:rsid w:val="00CC3EAC"/>
    <w:rsid w:val="00CC3F46"/>
    <w:rsid w:val="00CC404B"/>
    <w:rsid w:val="00CC4194"/>
    <w:rsid w:val="00CC4247"/>
    <w:rsid w:val="00CC4487"/>
    <w:rsid w:val="00CC44A3"/>
    <w:rsid w:val="00CC466C"/>
    <w:rsid w:val="00CC4764"/>
    <w:rsid w:val="00CC489B"/>
    <w:rsid w:val="00CC4929"/>
    <w:rsid w:val="00CC4A1D"/>
    <w:rsid w:val="00CC4D70"/>
    <w:rsid w:val="00CC4D85"/>
    <w:rsid w:val="00CC4DB7"/>
    <w:rsid w:val="00CC4DF4"/>
    <w:rsid w:val="00CC4EE4"/>
    <w:rsid w:val="00CC4F6E"/>
    <w:rsid w:val="00CC51C0"/>
    <w:rsid w:val="00CC51F7"/>
    <w:rsid w:val="00CC5272"/>
    <w:rsid w:val="00CC5529"/>
    <w:rsid w:val="00CC554C"/>
    <w:rsid w:val="00CC55A1"/>
    <w:rsid w:val="00CC5768"/>
    <w:rsid w:val="00CC5796"/>
    <w:rsid w:val="00CC582A"/>
    <w:rsid w:val="00CC58DD"/>
    <w:rsid w:val="00CC5987"/>
    <w:rsid w:val="00CC5A5A"/>
    <w:rsid w:val="00CC5BEB"/>
    <w:rsid w:val="00CC5CA5"/>
    <w:rsid w:val="00CC5D4A"/>
    <w:rsid w:val="00CC5E0D"/>
    <w:rsid w:val="00CC5E16"/>
    <w:rsid w:val="00CC608F"/>
    <w:rsid w:val="00CC60AB"/>
    <w:rsid w:val="00CC60CE"/>
    <w:rsid w:val="00CC621D"/>
    <w:rsid w:val="00CC6237"/>
    <w:rsid w:val="00CC6300"/>
    <w:rsid w:val="00CC637A"/>
    <w:rsid w:val="00CC648D"/>
    <w:rsid w:val="00CC64FB"/>
    <w:rsid w:val="00CC6632"/>
    <w:rsid w:val="00CC675D"/>
    <w:rsid w:val="00CC6813"/>
    <w:rsid w:val="00CC68A1"/>
    <w:rsid w:val="00CC69AD"/>
    <w:rsid w:val="00CC6B84"/>
    <w:rsid w:val="00CC6B86"/>
    <w:rsid w:val="00CC6B94"/>
    <w:rsid w:val="00CC6E5C"/>
    <w:rsid w:val="00CC6E8D"/>
    <w:rsid w:val="00CC704E"/>
    <w:rsid w:val="00CC7150"/>
    <w:rsid w:val="00CC7184"/>
    <w:rsid w:val="00CC72AA"/>
    <w:rsid w:val="00CC72F6"/>
    <w:rsid w:val="00CC7339"/>
    <w:rsid w:val="00CC763B"/>
    <w:rsid w:val="00CC7769"/>
    <w:rsid w:val="00CC780A"/>
    <w:rsid w:val="00CC7A0D"/>
    <w:rsid w:val="00CC7A70"/>
    <w:rsid w:val="00CC7B0E"/>
    <w:rsid w:val="00CC7C02"/>
    <w:rsid w:val="00CC7E04"/>
    <w:rsid w:val="00CC7E2F"/>
    <w:rsid w:val="00CC7E76"/>
    <w:rsid w:val="00CC7E92"/>
    <w:rsid w:val="00CC7F87"/>
    <w:rsid w:val="00CD0055"/>
    <w:rsid w:val="00CD00BB"/>
    <w:rsid w:val="00CD0138"/>
    <w:rsid w:val="00CD018E"/>
    <w:rsid w:val="00CD0377"/>
    <w:rsid w:val="00CD0418"/>
    <w:rsid w:val="00CD0482"/>
    <w:rsid w:val="00CD049A"/>
    <w:rsid w:val="00CD04C8"/>
    <w:rsid w:val="00CD0547"/>
    <w:rsid w:val="00CD0586"/>
    <w:rsid w:val="00CD05E0"/>
    <w:rsid w:val="00CD0882"/>
    <w:rsid w:val="00CD0AD3"/>
    <w:rsid w:val="00CD0C78"/>
    <w:rsid w:val="00CD0E8C"/>
    <w:rsid w:val="00CD0F36"/>
    <w:rsid w:val="00CD0F8A"/>
    <w:rsid w:val="00CD0FAA"/>
    <w:rsid w:val="00CD1015"/>
    <w:rsid w:val="00CD1160"/>
    <w:rsid w:val="00CD122B"/>
    <w:rsid w:val="00CD1321"/>
    <w:rsid w:val="00CD137A"/>
    <w:rsid w:val="00CD138A"/>
    <w:rsid w:val="00CD13AC"/>
    <w:rsid w:val="00CD1518"/>
    <w:rsid w:val="00CD162B"/>
    <w:rsid w:val="00CD1670"/>
    <w:rsid w:val="00CD185B"/>
    <w:rsid w:val="00CD1B70"/>
    <w:rsid w:val="00CD1B96"/>
    <w:rsid w:val="00CD1CFE"/>
    <w:rsid w:val="00CD1EAE"/>
    <w:rsid w:val="00CD1FD4"/>
    <w:rsid w:val="00CD2192"/>
    <w:rsid w:val="00CD21D9"/>
    <w:rsid w:val="00CD2455"/>
    <w:rsid w:val="00CD2541"/>
    <w:rsid w:val="00CD255D"/>
    <w:rsid w:val="00CD269F"/>
    <w:rsid w:val="00CD2816"/>
    <w:rsid w:val="00CD289A"/>
    <w:rsid w:val="00CD28EC"/>
    <w:rsid w:val="00CD2B38"/>
    <w:rsid w:val="00CD2BA0"/>
    <w:rsid w:val="00CD2BCD"/>
    <w:rsid w:val="00CD2C1E"/>
    <w:rsid w:val="00CD2D42"/>
    <w:rsid w:val="00CD2D59"/>
    <w:rsid w:val="00CD2DED"/>
    <w:rsid w:val="00CD302B"/>
    <w:rsid w:val="00CD31A0"/>
    <w:rsid w:val="00CD33DE"/>
    <w:rsid w:val="00CD347F"/>
    <w:rsid w:val="00CD356D"/>
    <w:rsid w:val="00CD35CA"/>
    <w:rsid w:val="00CD3604"/>
    <w:rsid w:val="00CD37C1"/>
    <w:rsid w:val="00CD3811"/>
    <w:rsid w:val="00CD389D"/>
    <w:rsid w:val="00CD3A4C"/>
    <w:rsid w:val="00CD3AAC"/>
    <w:rsid w:val="00CD3B60"/>
    <w:rsid w:val="00CD3B88"/>
    <w:rsid w:val="00CD3C9D"/>
    <w:rsid w:val="00CD3CB2"/>
    <w:rsid w:val="00CD3DC1"/>
    <w:rsid w:val="00CD3E91"/>
    <w:rsid w:val="00CD3F2F"/>
    <w:rsid w:val="00CD3FEC"/>
    <w:rsid w:val="00CD40BB"/>
    <w:rsid w:val="00CD41BA"/>
    <w:rsid w:val="00CD4215"/>
    <w:rsid w:val="00CD4255"/>
    <w:rsid w:val="00CD4259"/>
    <w:rsid w:val="00CD429F"/>
    <w:rsid w:val="00CD42AA"/>
    <w:rsid w:val="00CD431D"/>
    <w:rsid w:val="00CD457F"/>
    <w:rsid w:val="00CD4700"/>
    <w:rsid w:val="00CD470A"/>
    <w:rsid w:val="00CD472D"/>
    <w:rsid w:val="00CD48DB"/>
    <w:rsid w:val="00CD492C"/>
    <w:rsid w:val="00CD4AC0"/>
    <w:rsid w:val="00CD4B0E"/>
    <w:rsid w:val="00CD4B93"/>
    <w:rsid w:val="00CD4BBD"/>
    <w:rsid w:val="00CD4BEF"/>
    <w:rsid w:val="00CD500C"/>
    <w:rsid w:val="00CD5043"/>
    <w:rsid w:val="00CD51D6"/>
    <w:rsid w:val="00CD525F"/>
    <w:rsid w:val="00CD5355"/>
    <w:rsid w:val="00CD552B"/>
    <w:rsid w:val="00CD5574"/>
    <w:rsid w:val="00CD560F"/>
    <w:rsid w:val="00CD572E"/>
    <w:rsid w:val="00CD57A8"/>
    <w:rsid w:val="00CD59F8"/>
    <w:rsid w:val="00CD5A76"/>
    <w:rsid w:val="00CD5B70"/>
    <w:rsid w:val="00CD5BB3"/>
    <w:rsid w:val="00CD5C73"/>
    <w:rsid w:val="00CD5C7D"/>
    <w:rsid w:val="00CD5D3F"/>
    <w:rsid w:val="00CD5DC0"/>
    <w:rsid w:val="00CD5E7F"/>
    <w:rsid w:val="00CD6048"/>
    <w:rsid w:val="00CD607F"/>
    <w:rsid w:val="00CD616D"/>
    <w:rsid w:val="00CD61DC"/>
    <w:rsid w:val="00CD6219"/>
    <w:rsid w:val="00CD62CC"/>
    <w:rsid w:val="00CD62DC"/>
    <w:rsid w:val="00CD65DB"/>
    <w:rsid w:val="00CD6899"/>
    <w:rsid w:val="00CD68C7"/>
    <w:rsid w:val="00CD68CA"/>
    <w:rsid w:val="00CD6937"/>
    <w:rsid w:val="00CD6946"/>
    <w:rsid w:val="00CD69B8"/>
    <w:rsid w:val="00CD69E9"/>
    <w:rsid w:val="00CD6A4D"/>
    <w:rsid w:val="00CD6AB6"/>
    <w:rsid w:val="00CD6B3C"/>
    <w:rsid w:val="00CD6BC5"/>
    <w:rsid w:val="00CD6BC6"/>
    <w:rsid w:val="00CD6FFC"/>
    <w:rsid w:val="00CD711E"/>
    <w:rsid w:val="00CD716F"/>
    <w:rsid w:val="00CD71AD"/>
    <w:rsid w:val="00CD7284"/>
    <w:rsid w:val="00CD736D"/>
    <w:rsid w:val="00CD73DE"/>
    <w:rsid w:val="00CD75BA"/>
    <w:rsid w:val="00CD7632"/>
    <w:rsid w:val="00CD76B7"/>
    <w:rsid w:val="00CD76ED"/>
    <w:rsid w:val="00CD7826"/>
    <w:rsid w:val="00CD782A"/>
    <w:rsid w:val="00CD7905"/>
    <w:rsid w:val="00CD7919"/>
    <w:rsid w:val="00CD793B"/>
    <w:rsid w:val="00CD7C0D"/>
    <w:rsid w:val="00CD7C9A"/>
    <w:rsid w:val="00CD7E60"/>
    <w:rsid w:val="00CD7EB8"/>
    <w:rsid w:val="00CD7ED1"/>
    <w:rsid w:val="00CD7ED4"/>
    <w:rsid w:val="00CE0227"/>
    <w:rsid w:val="00CE02DB"/>
    <w:rsid w:val="00CE0355"/>
    <w:rsid w:val="00CE04AD"/>
    <w:rsid w:val="00CE0662"/>
    <w:rsid w:val="00CE0741"/>
    <w:rsid w:val="00CE07C4"/>
    <w:rsid w:val="00CE0904"/>
    <w:rsid w:val="00CE0979"/>
    <w:rsid w:val="00CE09F8"/>
    <w:rsid w:val="00CE09FB"/>
    <w:rsid w:val="00CE0A06"/>
    <w:rsid w:val="00CE0B26"/>
    <w:rsid w:val="00CE0C42"/>
    <w:rsid w:val="00CE0CC2"/>
    <w:rsid w:val="00CE0E52"/>
    <w:rsid w:val="00CE10E9"/>
    <w:rsid w:val="00CE13CC"/>
    <w:rsid w:val="00CE157C"/>
    <w:rsid w:val="00CE1858"/>
    <w:rsid w:val="00CE1934"/>
    <w:rsid w:val="00CE1944"/>
    <w:rsid w:val="00CE1950"/>
    <w:rsid w:val="00CE1992"/>
    <w:rsid w:val="00CE1B6A"/>
    <w:rsid w:val="00CE1BAB"/>
    <w:rsid w:val="00CE1BB9"/>
    <w:rsid w:val="00CE1C76"/>
    <w:rsid w:val="00CE1D72"/>
    <w:rsid w:val="00CE1E3B"/>
    <w:rsid w:val="00CE1E8E"/>
    <w:rsid w:val="00CE1F36"/>
    <w:rsid w:val="00CE1FAF"/>
    <w:rsid w:val="00CE20F1"/>
    <w:rsid w:val="00CE211D"/>
    <w:rsid w:val="00CE2231"/>
    <w:rsid w:val="00CE2327"/>
    <w:rsid w:val="00CE23EB"/>
    <w:rsid w:val="00CE2468"/>
    <w:rsid w:val="00CE2484"/>
    <w:rsid w:val="00CE2910"/>
    <w:rsid w:val="00CE2957"/>
    <w:rsid w:val="00CE29FA"/>
    <w:rsid w:val="00CE2A91"/>
    <w:rsid w:val="00CE2B1D"/>
    <w:rsid w:val="00CE2B30"/>
    <w:rsid w:val="00CE2B80"/>
    <w:rsid w:val="00CE2E66"/>
    <w:rsid w:val="00CE2F1A"/>
    <w:rsid w:val="00CE2F49"/>
    <w:rsid w:val="00CE31B7"/>
    <w:rsid w:val="00CE31E8"/>
    <w:rsid w:val="00CE331F"/>
    <w:rsid w:val="00CE33D3"/>
    <w:rsid w:val="00CE343D"/>
    <w:rsid w:val="00CE346F"/>
    <w:rsid w:val="00CE3558"/>
    <w:rsid w:val="00CE377D"/>
    <w:rsid w:val="00CE3835"/>
    <w:rsid w:val="00CE38B3"/>
    <w:rsid w:val="00CE39A4"/>
    <w:rsid w:val="00CE39E1"/>
    <w:rsid w:val="00CE3C62"/>
    <w:rsid w:val="00CE3CB6"/>
    <w:rsid w:val="00CE3D81"/>
    <w:rsid w:val="00CE3DD3"/>
    <w:rsid w:val="00CE4098"/>
    <w:rsid w:val="00CE4208"/>
    <w:rsid w:val="00CE4240"/>
    <w:rsid w:val="00CE425D"/>
    <w:rsid w:val="00CE42F8"/>
    <w:rsid w:val="00CE4325"/>
    <w:rsid w:val="00CE4359"/>
    <w:rsid w:val="00CE43E9"/>
    <w:rsid w:val="00CE4427"/>
    <w:rsid w:val="00CE4499"/>
    <w:rsid w:val="00CE470F"/>
    <w:rsid w:val="00CE479A"/>
    <w:rsid w:val="00CE48B0"/>
    <w:rsid w:val="00CE49CE"/>
    <w:rsid w:val="00CE4A06"/>
    <w:rsid w:val="00CE4BD2"/>
    <w:rsid w:val="00CE4BDC"/>
    <w:rsid w:val="00CE4D22"/>
    <w:rsid w:val="00CE4E4A"/>
    <w:rsid w:val="00CE4F59"/>
    <w:rsid w:val="00CE4F5C"/>
    <w:rsid w:val="00CE4FF7"/>
    <w:rsid w:val="00CE50B8"/>
    <w:rsid w:val="00CE50DC"/>
    <w:rsid w:val="00CE511C"/>
    <w:rsid w:val="00CE515F"/>
    <w:rsid w:val="00CE52B3"/>
    <w:rsid w:val="00CE5393"/>
    <w:rsid w:val="00CE554D"/>
    <w:rsid w:val="00CE5819"/>
    <w:rsid w:val="00CE5B1A"/>
    <w:rsid w:val="00CE5C81"/>
    <w:rsid w:val="00CE5C86"/>
    <w:rsid w:val="00CE5EF9"/>
    <w:rsid w:val="00CE5FDB"/>
    <w:rsid w:val="00CE6000"/>
    <w:rsid w:val="00CE6047"/>
    <w:rsid w:val="00CE60DD"/>
    <w:rsid w:val="00CE60FB"/>
    <w:rsid w:val="00CE6395"/>
    <w:rsid w:val="00CE6530"/>
    <w:rsid w:val="00CE656A"/>
    <w:rsid w:val="00CE66FF"/>
    <w:rsid w:val="00CE674C"/>
    <w:rsid w:val="00CE67A2"/>
    <w:rsid w:val="00CE67C1"/>
    <w:rsid w:val="00CE67F5"/>
    <w:rsid w:val="00CE682E"/>
    <w:rsid w:val="00CE6883"/>
    <w:rsid w:val="00CE68CC"/>
    <w:rsid w:val="00CE69D8"/>
    <w:rsid w:val="00CE6AC1"/>
    <w:rsid w:val="00CE6D71"/>
    <w:rsid w:val="00CE7063"/>
    <w:rsid w:val="00CE7085"/>
    <w:rsid w:val="00CE72F3"/>
    <w:rsid w:val="00CE7370"/>
    <w:rsid w:val="00CE744C"/>
    <w:rsid w:val="00CE747F"/>
    <w:rsid w:val="00CE751E"/>
    <w:rsid w:val="00CE759F"/>
    <w:rsid w:val="00CE7692"/>
    <w:rsid w:val="00CE7782"/>
    <w:rsid w:val="00CE780C"/>
    <w:rsid w:val="00CE7928"/>
    <w:rsid w:val="00CE7971"/>
    <w:rsid w:val="00CE7984"/>
    <w:rsid w:val="00CE7992"/>
    <w:rsid w:val="00CE7BD3"/>
    <w:rsid w:val="00CE7CC7"/>
    <w:rsid w:val="00CE7DA8"/>
    <w:rsid w:val="00CE7DEE"/>
    <w:rsid w:val="00CE7E07"/>
    <w:rsid w:val="00CE7F01"/>
    <w:rsid w:val="00CE7F5A"/>
    <w:rsid w:val="00CF017E"/>
    <w:rsid w:val="00CF0406"/>
    <w:rsid w:val="00CF04BC"/>
    <w:rsid w:val="00CF04DC"/>
    <w:rsid w:val="00CF08BF"/>
    <w:rsid w:val="00CF08DC"/>
    <w:rsid w:val="00CF0F59"/>
    <w:rsid w:val="00CF102C"/>
    <w:rsid w:val="00CF10F8"/>
    <w:rsid w:val="00CF11C0"/>
    <w:rsid w:val="00CF11F7"/>
    <w:rsid w:val="00CF127F"/>
    <w:rsid w:val="00CF13BA"/>
    <w:rsid w:val="00CF1481"/>
    <w:rsid w:val="00CF14F1"/>
    <w:rsid w:val="00CF17F5"/>
    <w:rsid w:val="00CF1803"/>
    <w:rsid w:val="00CF189F"/>
    <w:rsid w:val="00CF1989"/>
    <w:rsid w:val="00CF19C1"/>
    <w:rsid w:val="00CF1A0B"/>
    <w:rsid w:val="00CF1B8F"/>
    <w:rsid w:val="00CF1BEA"/>
    <w:rsid w:val="00CF1C16"/>
    <w:rsid w:val="00CF1C5F"/>
    <w:rsid w:val="00CF1C89"/>
    <w:rsid w:val="00CF1E55"/>
    <w:rsid w:val="00CF1F17"/>
    <w:rsid w:val="00CF1FCB"/>
    <w:rsid w:val="00CF2079"/>
    <w:rsid w:val="00CF20AB"/>
    <w:rsid w:val="00CF20F6"/>
    <w:rsid w:val="00CF211C"/>
    <w:rsid w:val="00CF221C"/>
    <w:rsid w:val="00CF225C"/>
    <w:rsid w:val="00CF22F1"/>
    <w:rsid w:val="00CF2325"/>
    <w:rsid w:val="00CF2802"/>
    <w:rsid w:val="00CF287A"/>
    <w:rsid w:val="00CF28F9"/>
    <w:rsid w:val="00CF2997"/>
    <w:rsid w:val="00CF2B8C"/>
    <w:rsid w:val="00CF2D7C"/>
    <w:rsid w:val="00CF2E08"/>
    <w:rsid w:val="00CF2F0E"/>
    <w:rsid w:val="00CF30D1"/>
    <w:rsid w:val="00CF30ED"/>
    <w:rsid w:val="00CF31C4"/>
    <w:rsid w:val="00CF335F"/>
    <w:rsid w:val="00CF3363"/>
    <w:rsid w:val="00CF3585"/>
    <w:rsid w:val="00CF35E1"/>
    <w:rsid w:val="00CF361F"/>
    <w:rsid w:val="00CF36BE"/>
    <w:rsid w:val="00CF37CA"/>
    <w:rsid w:val="00CF39BC"/>
    <w:rsid w:val="00CF3BCF"/>
    <w:rsid w:val="00CF3C55"/>
    <w:rsid w:val="00CF3F65"/>
    <w:rsid w:val="00CF3FAD"/>
    <w:rsid w:val="00CF4098"/>
    <w:rsid w:val="00CF423E"/>
    <w:rsid w:val="00CF42EB"/>
    <w:rsid w:val="00CF43F9"/>
    <w:rsid w:val="00CF4517"/>
    <w:rsid w:val="00CF45FE"/>
    <w:rsid w:val="00CF477C"/>
    <w:rsid w:val="00CF49A9"/>
    <w:rsid w:val="00CF4A5E"/>
    <w:rsid w:val="00CF4BCB"/>
    <w:rsid w:val="00CF4CBC"/>
    <w:rsid w:val="00CF4D04"/>
    <w:rsid w:val="00CF4F91"/>
    <w:rsid w:val="00CF512F"/>
    <w:rsid w:val="00CF513D"/>
    <w:rsid w:val="00CF51DE"/>
    <w:rsid w:val="00CF522E"/>
    <w:rsid w:val="00CF5231"/>
    <w:rsid w:val="00CF5341"/>
    <w:rsid w:val="00CF5434"/>
    <w:rsid w:val="00CF5524"/>
    <w:rsid w:val="00CF55A2"/>
    <w:rsid w:val="00CF5AB1"/>
    <w:rsid w:val="00CF5C45"/>
    <w:rsid w:val="00CF5CBD"/>
    <w:rsid w:val="00CF5EBA"/>
    <w:rsid w:val="00CF5FD6"/>
    <w:rsid w:val="00CF6000"/>
    <w:rsid w:val="00CF669D"/>
    <w:rsid w:val="00CF6786"/>
    <w:rsid w:val="00CF6AB4"/>
    <w:rsid w:val="00CF6C33"/>
    <w:rsid w:val="00CF6E59"/>
    <w:rsid w:val="00CF6E9B"/>
    <w:rsid w:val="00CF7202"/>
    <w:rsid w:val="00CF7284"/>
    <w:rsid w:val="00CF729D"/>
    <w:rsid w:val="00CF7404"/>
    <w:rsid w:val="00CF7456"/>
    <w:rsid w:val="00CF7783"/>
    <w:rsid w:val="00CF792B"/>
    <w:rsid w:val="00CF798F"/>
    <w:rsid w:val="00CF7A84"/>
    <w:rsid w:val="00CF7C4D"/>
    <w:rsid w:val="00CF7D11"/>
    <w:rsid w:val="00D000A1"/>
    <w:rsid w:val="00D001D4"/>
    <w:rsid w:val="00D0021C"/>
    <w:rsid w:val="00D0030E"/>
    <w:rsid w:val="00D003F3"/>
    <w:rsid w:val="00D00450"/>
    <w:rsid w:val="00D00591"/>
    <w:rsid w:val="00D00742"/>
    <w:rsid w:val="00D00ADA"/>
    <w:rsid w:val="00D0100E"/>
    <w:rsid w:val="00D0114D"/>
    <w:rsid w:val="00D011F5"/>
    <w:rsid w:val="00D0131F"/>
    <w:rsid w:val="00D013C6"/>
    <w:rsid w:val="00D01565"/>
    <w:rsid w:val="00D016A8"/>
    <w:rsid w:val="00D018CF"/>
    <w:rsid w:val="00D01B35"/>
    <w:rsid w:val="00D01C80"/>
    <w:rsid w:val="00D01D8A"/>
    <w:rsid w:val="00D01DA9"/>
    <w:rsid w:val="00D01FEA"/>
    <w:rsid w:val="00D02257"/>
    <w:rsid w:val="00D022F7"/>
    <w:rsid w:val="00D02305"/>
    <w:rsid w:val="00D02452"/>
    <w:rsid w:val="00D025B9"/>
    <w:rsid w:val="00D025D9"/>
    <w:rsid w:val="00D02607"/>
    <w:rsid w:val="00D02648"/>
    <w:rsid w:val="00D02692"/>
    <w:rsid w:val="00D02A85"/>
    <w:rsid w:val="00D02CB6"/>
    <w:rsid w:val="00D02D6F"/>
    <w:rsid w:val="00D03002"/>
    <w:rsid w:val="00D03051"/>
    <w:rsid w:val="00D0306E"/>
    <w:rsid w:val="00D03125"/>
    <w:rsid w:val="00D03341"/>
    <w:rsid w:val="00D033B5"/>
    <w:rsid w:val="00D033E2"/>
    <w:rsid w:val="00D03537"/>
    <w:rsid w:val="00D03622"/>
    <w:rsid w:val="00D0364F"/>
    <w:rsid w:val="00D0373F"/>
    <w:rsid w:val="00D038AA"/>
    <w:rsid w:val="00D038D1"/>
    <w:rsid w:val="00D03A0E"/>
    <w:rsid w:val="00D03B49"/>
    <w:rsid w:val="00D03CD3"/>
    <w:rsid w:val="00D03D2D"/>
    <w:rsid w:val="00D03DAC"/>
    <w:rsid w:val="00D03E94"/>
    <w:rsid w:val="00D03F89"/>
    <w:rsid w:val="00D03FCE"/>
    <w:rsid w:val="00D0405F"/>
    <w:rsid w:val="00D04093"/>
    <w:rsid w:val="00D042CC"/>
    <w:rsid w:val="00D04396"/>
    <w:rsid w:val="00D0458E"/>
    <w:rsid w:val="00D04650"/>
    <w:rsid w:val="00D047D2"/>
    <w:rsid w:val="00D0482F"/>
    <w:rsid w:val="00D04903"/>
    <w:rsid w:val="00D049DE"/>
    <w:rsid w:val="00D049E3"/>
    <w:rsid w:val="00D049E5"/>
    <w:rsid w:val="00D04A0B"/>
    <w:rsid w:val="00D04CED"/>
    <w:rsid w:val="00D04DC6"/>
    <w:rsid w:val="00D04E1A"/>
    <w:rsid w:val="00D04E82"/>
    <w:rsid w:val="00D05068"/>
    <w:rsid w:val="00D05083"/>
    <w:rsid w:val="00D05104"/>
    <w:rsid w:val="00D05222"/>
    <w:rsid w:val="00D053B3"/>
    <w:rsid w:val="00D053DA"/>
    <w:rsid w:val="00D054F6"/>
    <w:rsid w:val="00D05535"/>
    <w:rsid w:val="00D05568"/>
    <w:rsid w:val="00D05659"/>
    <w:rsid w:val="00D057FF"/>
    <w:rsid w:val="00D059A3"/>
    <w:rsid w:val="00D05BC0"/>
    <w:rsid w:val="00D05BEE"/>
    <w:rsid w:val="00D05CCE"/>
    <w:rsid w:val="00D05F70"/>
    <w:rsid w:val="00D05FC1"/>
    <w:rsid w:val="00D06145"/>
    <w:rsid w:val="00D062DF"/>
    <w:rsid w:val="00D06300"/>
    <w:rsid w:val="00D063B1"/>
    <w:rsid w:val="00D063B4"/>
    <w:rsid w:val="00D067D3"/>
    <w:rsid w:val="00D06829"/>
    <w:rsid w:val="00D06834"/>
    <w:rsid w:val="00D068BF"/>
    <w:rsid w:val="00D06901"/>
    <w:rsid w:val="00D06977"/>
    <w:rsid w:val="00D069BD"/>
    <w:rsid w:val="00D06B97"/>
    <w:rsid w:val="00D06CA8"/>
    <w:rsid w:val="00D06CB0"/>
    <w:rsid w:val="00D06E87"/>
    <w:rsid w:val="00D0726F"/>
    <w:rsid w:val="00D0749C"/>
    <w:rsid w:val="00D07592"/>
    <w:rsid w:val="00D07621"/>
    <w:rsid w:val="00D0762F"/>
    <w:rsid w:val="00D077A5"/>
    <w:rsid w:val="00D079E9"/>
    <w:rsid w:val="00D07B7F"/>
    <w:rsid w:val="00D07C05"/>
    <w:rsid w:val="00D07C9D"/>
    <w:rsid w:val="00D07F2F"/>
    <w:rsid w:val="00D07F3C"/>
    <w:rsid w:val="00D1000A"/>
    <w:rsid w:val="00D100BD"/>
    <w:rsid w:val="00D10198"/>
    <w:rsid w:val="00D1033F"/>
    <w:rsid w:val="00D106E3"/>
    <w:rsid w:val="00D107BF"/>
    <w:rsid w:val="00D108B4"/>
    <w:rsid w:val="00D10991"/>
    <w:rsid w:val="00D10A48"/>
    <w:rsid w:val="00D10C42"/>
    <w:rsid w:val="00D10CE1"/>
    <w:rsid w:val="00D10CF8"/>
    <w:rsid w:val="00D111DB"/>
    <w:rsid w:val="00D11224"/>
    <w:rsid w:val="00D11253"/>
    <w:rsid w:val="00D1137F"/>
    <w:rsid w:val="00D1158B"/>
    <w:rsid w:val="00D11596"/>
    <w:rsid w:val="00D11689"/>
    <w:rsid w:val="00D11767"/>
    <w:rsid w:val="00D11813"/>
    <w:rsid w:val="00D119B0"/>
    <w:rsid w:val="00D11A60"/>
    <w:rsid w:val="00D11BA9"/>
    <w:rsid w:val="00D11C7F"/>
    <w:rsid w:val="00D11DA0"/>
    <w:rsid w:val="00D11ECA"/>
    <w:rsid w:val="00D120B5"/>
    <w:rsid w:val="00D1212E"/>
    <w:rsid w:val="00D12193"/>
    <w:rsid w:val="00D12290"/>
    <w:rsid w:val="00D122A7"/>
    <w:rsid w:val="00D124A5"/>
    <w:rsid w:val="00D12538"/>
    <w:rsid w:val="00D12571"/>
    <w:rsid w:val="00D125D2"/>
    <w:rsid w:val="00D1271A"/>
    <w:rsid w:val="00D12886"/>
    <w:rsid w:val="00D12969"/>
    <w:rsid w:val="00D12A91"/>
    <w:rsid w:val="00D12B17"/>
    <w:rsid w:val="00D12C51"/>
    <w:rsid w:val="00D12CE7"/>
    <w:rsid w:val="00D12E1A"/>
    <w:rsid w:val="00D130E1"/>
    <w:rsid w:val="00D13238"/>
    <w:rsid w:val="00D13437"/>
    <w:rsid w:val="00D13484"/>
    <w:rsid w:val="00D136EE"/>
    <w:rsid w:val="00D13ACD"/>
    <w:rsid w:val="00D13D20"/>
    <w:rsid w:val="00D13F5F"/>
    <w:rsid w:val="00D14112"/>
    <w:rsid w:val="00D142E9"/>
    <w:rsid w:val="00D14337"/>
    <w:rsid w:val="00D1435F"/>
    <w:rsid w:val="00D143E9"/>
    <w:rsid w:val="00D14794"/>
    <w:rsid w:val="00D14875"/>
    <w:rsid w:val="00D148E2"/>
    <w:rsid w:val="00D14BA6"/>
    <w:rsid w:val="00D14D41"/>
    <w:rsid w:val="00D14D6E"/>
    <w:rsid w:val="00D14E69"/>
    <w:rsid w:val="00D150CE"/>
    <w:rsid w:val="00D150DF"/>
    <w:rsid w:val="00D15152"/>
    <w:rsid w:val="00D151FD"/>
    <w:rsid w:val="00D15207"/>
    <w:rsid w:val="00D1529B"/>
    <w:rsid w:val="00D15466"/>
    <w:rsid w:val="00D15788"/>
    <w:rsid w:val="00D15A24"/>
    <w:rsid w:val="00D15A9D"/>
    <w:rsid w:val="00D15AAE"/>
    <w:rsid w:val="00D15B24"/>
    <w:rsid w:val="00D15D66"/>
    <w:rsid w:val="00D15DF4"/>
    <w:rsid w:val="00D15E1D"/>
    <w:rsid w:val="00D15FCD"/>
    <w:rsid w:val="00D16144"/>
    <w:rsid w:val="00D1645F"/>
    <w:rsid w:val="00D164CC"/>
    <w:rsid w:val="00D1650F"/>
    <w:rsid w:val="00D166B7"/>
    <w:rsid w:val="00D166ED"/>
    <w:rsid w:val="00D16A55"/>
    <w:rsid w:val="00D16B06"/>
    <w:rsid w:val="00D16C7F"/>
    <w:rsid w:val="00D16C9A"/>
    <w:rsid w:val="00D16D34"/>
    <w:rsid w:val="00D16E2B"/>
    <w:rsid w:val="00D16FB0"/>
    <w:rsid w:val="00D171BE"/>
    <w:rsid w:val="00D17348"/>
    <w:rsid w:val="00D17682"/>
    <w:rsid w:val="00D1777C"/>
    <w:rsid w:val="00D17A60"/>
    <w:rsid w:val="00D17B01"/>
    <w:rsid w:val="00D17C98"/>
    <w:rsid w:val="00D17CC5"/>
    <w:rsid w:val="00D17EA7"/>
    <w:rsid w:val="00D200C4"/>
    <w:rsid w:val="00D20107"/>
    <w:rsid w:val="00D20143"/>
    <w:rsid w:val="00D201D6"/>
    <w:rsid w:val="00D205E6"/>
    <w:rsid w:val="00D2063A"/>
    <w:rsid w:val="00D20963"/>
    <w:rsid w:val="00D20968"/>
    <w:rsid w:val="00D209F6"/>
    <w:rsid w:val="00D20B83"/>
    <w:rsid w:val="00D20BD9"/>
    <w:rsid w:val="00D20BF7"/>
    <w:rsid w:val="00D20C72"/>
    <w:rsid w:val="00D20DB7"/>
    <w:rsid w:val="00D20ECA"/>
    <w:rsid w:val="00D210FB"/>
    <w:rsid w:val="00D21178"/>
    <w:rsid w:val="00D211FD"/>
    <w:rsid w:val="00D21270"/>
    <w:rsid w:val="00D2134C"/>
    <w:rsid w:val="00D214BC"/>
    <w:rsid w:val="00D215FD"/>
    <w:rsid w:val="00D21731"/>
    <w:rsid w:val="00D21735"/>
    <w:rsid w:val="00D21880"/>
    <w:rsid w:val="00D21991"/>
    <w:rsid w:val="00D21A35"/>
    <w:rsid w:val="00D21A7C"/>
    <w:rsid w:val="00D21AC7"/>
    <w:rsid w:val="00D21DA9"/>
    <w:rsid w:val="00D21FA1"/>
    <w:rsid w:val="00D221CA"/>
    <w:rsid w:val="00D222FD"/>
    <w:rsid w:val="00D22345"/>
    <w:rsid w:val="00D22425"/>
    <w:rsid w:val="00D224BB"/>
    <w:rsid w:val="00D225F8"/>
    <w:rsid w:val="00D2260F"/>
    <w:rsid w:val="00D22851"/>
    <w:rsid w:val="00D22886"/>
    <w:rsid w:val="00D22930"/>
    <w:rsid w:val="00D22B7A"/>
    <w:rsid w:val="00D22E4D"/>
    <w:rsid w:val="00D231CA"/>
    <w:rsid w:val="00D23277"/>
    <w:rsid w:val="00D232A2"/>
    <w:rsid w:val="00D2331A"/>
    <w:rsid w:val="00D23400"/>
    <w:rsid w:val="00D23582"/>
    <w:rsid w:val="00D236A3"/>
    <w:rsid w:val="00D23756"/>
    <w:rsid w:val="00D2386E"/>
    <w:rsid w:val="00D238A7"/>
    <w:rsid w:val="00D23AC2"/>
    <w:rsid w:val="00D23BDE"/>
    <w:rsid w:val="00D23DBF"/>
    <w:rsid w:val="00D23FCA"/>
    <w:rsid w:val="00D24283"/>
    <w:rsid w:val="00D242C9"/>
    <w:rsid w:val="00D242FC"/>
    <w:rsid w:val="00D246A5"/>
    <w:rsid w:val="00D24B8D"/>
    <w:rsid w:val="00D24C82"/>
    <w:rsid w:val="00D24CAB"/>
    <w:rsid w:val="00D24D64"/>
    <w:rsid w:val="00D24E53"/>
    <w:rsid w:val="00D24F35"/>
    <w:rsid w:val="00D24F89"/>
    <w:rsid w:val="00D25048"/>
    <w:rsid w:val="00D2533E"/>
    <w:rsid w:val="00D254D4"/>
    <w:rsid w:val="00D25812"/>
    <w:rsid w:val="00D258C7"/>
    <w:rsid w:val="00D25A35"/>
    <w:rsid w:val="00D25AE7"/>
    <w:rsid w:val="00D25B4D"/>
    <w:rsid w:val="00D25B64"/>
    <w:rsid w:val="00D25B7D"/>
    <w:rsid w:val="00D25B80"/>
    <w:rsid w:val="00D25B99"/>
    <w:rsid w:val="00D25BB9"/>
    <w:rsid w:val="00D26131"/>
    <w:rsid w:val="00D2615B"/>
    <w:rsid w:val="00D2620A"/>
    <w:rsid w:val="00D2628B"/>
    <w:rsid w:val="00D264C0"/>
    <w:rsid w:val="00D26521"/>
    <w:rsid w:val="00D2667B"/>
    <w:rsid w:val="00D26713"/>
    <w:rsid w:val="00D26714"/>
    <w:rsid w:val="00D267A4"/>
    <w:rsid w:val="00D268E4"/>
    <w:rsid w:val="00D26903"/>
    <w:rsid w:val="00D269A0"/>
    <w:rsid w:val="00D269CB"/>
    <w:rsid w:val="00D26CB3"/>
    <w:rsid w:val="00D26E31"/>
    <w:rsid w:val="00D27001"/>
    <w:rsid w:val="00D27046"/>
    <w:rsid w:val="00D271AA"/>
    <w:rsid w:val="00D27251"/>
    <w:rsid w:val="00D27276"/>
    <w:rsid w:val="00D27345"/>
    <w:rsid w:val="00D27426"/>
    <w:rsid w:val="00D2748C"/>
    <w:rsid w:val="00D275B1"/>
    <w:rsid w:val="00D27864"/>
    <w:rsid w:val="00D27A6F"/>
    <w:rsid w:val="00D27B3B"/>
    <w:rsid w:val="00D27C1B"/>
    <w:rsid w:val="00D27C5D"/>
    <w:rsid w:val="00D27E8A"/>
    <w:rsid w:val="00D27FC6"/>
    <w:rsid w:val="00D3025A"/>
    <w:rsid w:val="00D302AF"/>
    <w:rsid w:val="00D3037D"/>
    <w:rsid w:val="00D305CF"/>
    <w:rsid w:val="00D30606"/>
    <w:rsid w:val="00D30632"/>
    <w:rsid w:val="00D30697"/>
    <w:rsid w:val="00D30717"/>
    <w:rsid w:val="00D30772"/>
    <w:rsid w:val="00D308CC"/>
    <w:rsid w:val="00D308ED"/>
    <w:rsid w:val="00D30BCC"/>
    <w:rsid w:val="00D30C40"/>
    <w:rsid w:val="00D30D8D"/>
    <w:rsid w:val="00D30FFB"/>
    <w:rsid w:val="00D310AC"/>
    <w:rsid w:val="00D31147"/>
    <w:rsid w:val="00D31186"/>
    <w:rsid w:val="00D312AC"/>
    <w:rsid w:val="00D31310"/>
    <w:rsid w:val="00D316C4"/>
    <w:rsid w:val="00D3181B"/>
    <w:rsid w:val="00D31943"/>
    <w:rsid w:val="00D319F7"/>
    <w:rsid w:val="00D31A82"/>
    <w:rsid w:val="00D31A9D"/>
    <w:rsid w:val="00D31C16"/>
    <w:rsid w:val="00D31C6E"/>
    <w:rsid w:val="00D31C85"/>
    <w:rsid w:val="00D31F6E"/>
    <w:rsid w:val="00D3202F"/>
    <w:rsid w:val="00D3214F"/>
    <w:rsid w:val="00D32159"/>
    <w:rsid w:val="00D32204"/>
    <w:rsid w:val="00D323DA"/>
    <w:rsid w:val="00D3272A"/>
    <w:rsid w:val="00D32794"/>
    <w:rsid w:val="00D327B9"/>
    <w:rsid w:val="00D32833"/>
    <w:rsid w:val="00D32844"/>
    <w:rsid w:val="00D32952"/>
    <w:rsid w:val="00D329A3"/>
    <w:rsid w:val="00D32BE3"/>
    <w:rsid w:val="00D32C14"/>
    <w:rsid w:val="00D32E98"/>
    <w:rsid w:val="00D33079"/>
    <w:rsid w:val="00D33106"/>
    <w:rsid w:val="00D33143"/>
    <w:rsid w:val="00D33166"/>
    <w:rsid w:val="00D33180"/>
    <w:rsid w:val="00D33284"/>
    <w:rsid w:val="00D33330"/>
    <w:rsid w:val="00D335F7"/>
    <w:rsid w:val="00D33607"/>
    <w:rsid w:val="00D33641"/>
    <w:rsid w:val="00D33686"/>
    <w:rsid w:val="00D3377B"/>
    <w:rsid w:val="00D33845"/>
    <w:rsid w:val="00D33961"/>
    <w:rsid w:val="00D33AFE"/>
    <w:rsid w:val="00D33D46"/>
    <w:rsid w:val="00D34096"/>
    <w:rsid w:val="00D3443F"/>
    <w:rsid w:val="00D3457B"/>
    <w:rsid w:val="00D34660"/>
    <w:rsid w:val="00D34872"/>
    <w:rsid w:val="00D34885"/>
    <w:rsid w:val="00D34C28"/>
    <w:rsid w:val="00D34C83"/>
    <w:rsid w:val="00D34D3D"/>
    <w:rsid w:val="00D34D7C"/>
    <w:rsid w:val="00D34DC8"/>
    <w:rsid w:val="00D34E07"/>
    <w:rsid w:val="00D3501B"/>
    <w:rsid w:val="00D351BF"/>
    <w:rsid w:val="00D35226"/>
    <w:rsid w:val="00D35314"/>
    <w:rsid w:val="00D353FD"/>
    <w:rsid w:val="00D3546E"/>
    <w:rsid w:val="00D354AC"/>
    <w:rsid w:val="00D3552C"/>
    <w:rsid w:val="00D3582A"/>
    <w:rsid w:val="00D359EF"/>
    <w:rsid w:val="00D35A1B"/>
    <w:rsid w:val="00D35AB0"/>
    <w:rsid w:val="00D35AD1"/>
    <w:rsid w:val="00D35D1E"/>
    <w:rsid w:val="00D35D4E"/>
    <w:rsid w:val="00D35DD6"/>
    <w:rsid w:val="00D3609C"/>
    <w:rsid w:val="00D360A1"/>
    <w:rsid w:val="00D36397"/>
    <w:rsid w:val="00D3644B"/>
    <w:rsid w:val="00D364EF"/>
    <w:rsid w:val="00D3655A"/>
    <w:rsid w:val="00D365A8"/>
    <w:rsid w:val="00D365CE"/>
    <w:rsid w:val="00D36940"/>
    <w:rsid w:val="00D3698F"/>
    <w:rsid w:val="00D369CE"/>
    <w:rsid w:val="00D369CF"/>
    <w:rsid w:val="00D369EE"/>
    <w:rsid w:val="00D36B09"/>
    <w:rsid w:val="00D36D2A"/>
    <w:rsid w:val="00D36D86"/>
    <w:rsid w:val="00D36E5E"/>
    <w:rsid w:val="00D36E8F"/>
    <w:rsid w:val="00D36FD6"/>
    <w:rsid w:val="00D37168"/>
    <w:rsid w:val="00D373DA"/>
    <w:rsid w:val="00D37446"/>
    <w:rsid w:val="00D374E1"/>
    <w:rsid w:val="00D37508"/>
    <w:rsid w:val="00D3771D"/>
    <w:rsid w:val="00D37800"/>
    <w:rsid w:val="00D379ED"/>
    <w:rsid w:val="00D37BBE"/>
    <w:rsid w:val="00D37C14"/>
    <w:rsid w:val="00D37C3A"/>
    <w:rsid w:val="00D37D4F"/>
    <w:rsid w:val="00D37E4F"/>
    <w:rsid w:val="00D37F9C"/>
    <w:rsid w:val="00D37FBE"/>
    <w:rsid w:val="00D40172"/>
    <w:rsid w:val="00D4027C"/>
    <w:rsid w:val="00D4036F"/>
    <w:rsid w:val="00D404D1"/>
    <w:rsid w:val="00D4055A"/>
    <w:rsid w:val="00D4056F"/>
    <w:rsid w:val="00D40584"/>
    <w:rsid w:val="00D40601"/>
    <w:rsid w:val="00D40A19"/>
    <w:rsid w:val="00D40AB5"/>
    <w:rsid w:val="00D40ADD"/>
    <w:rsid w:val="00D40B65"/>
    <w:rsid w:val="00D40B72"/>
    <w:rsid w:val="00D40B79"/>
    <w:rsid w:val="00D40C9A"/>
    <w:rsid w:val="00D40CA4"/>
    <w:rsid w:val="00D40E0B"/>
    <w:rsid w:val="00D40FE6"/>
    <w:rsid w:val="00D4102E"/>
    <w:rsid w:val="00D4112D"/>
    <w:rsid w:val="00D41284"/>
    <w:rsid w:val="00D412E1"/>
    <w:rsid w:val="00D413E8"/>
    <w:rsid w:val="00D4142D"/>
    <w:rsid w:val="00D414B1"/>
    <w:rsid w:val="00D4155F"/>
    <w:rsid w:val="00D415BE"/>
    <w:rsid w:val="00D41645"/>
    <w:rsid w:val="00D4164D"/>
    <w:rsid w:val="00D4169B"/>
    <w:rsid w:val="00D41825"/>
    <w:rsid w:val="00D41AA0"/>
    <w:rsid w:val="00D41B6E"/>
    <w:rsid w:val="00D41C02"/>
    <w:rsid w:val="00D41C7A"/>
    <w:rsid w:val="00D41D81"/>
    <w:rsid w:val="00D41D9D"/>
    <w:rsid w:val="00D41E0B"/>
    <w:rsid w:val="00D41EDA"/>
    <w:rsid w:val="00D4228F"/>
    <w:rsid w:val="00D42375"/>
    <w:rsid w:val="00D423FA"/>
    <w:rsid w:val="00D4241C"/>
    <w:rsid w:val="00D42797"/>
    <w:rsid w:val="00D42803"/>
    <w:rsid w:val="00D42856"/>
    <w:rsid w:val="00D42885"/>
    <w:rsid w:val="00D428AA"/>
    <w:rsid w:val="00D42932"/>
    <w:rsid w:val="00D42935"/>
    <w:rsid w:val="00D42A23"/>
    <w:rsid w:val="00D42B30"/>
    <w:rsid w:val="00D42C6F"/>
    <w:rsid w:val="00D42CF2"/>
    <w:rsid w:val="00D42EB6"/>
    <w:rsid w:val="00D42F10"/>
    <w:rsid w:val="00D42FF7"/>
    <w:rsid w:val="00D43076"/>
    <w:rsid w:val="00D43441"/>
    <w:rsid w:val="00D43483"/>
    <w:rsid w:val="00D43786"/>
    <w:rsid w:val="00D43837"/>
    <w:rsid w:val="00D4386D"/>
    <w:rsid w:val="00D43906"/>
    <w:rsid w:val="00D43A85"/>
    <w:rsid w:val="00D43B0C"/>
    <w:rsid w:val="00D43BCB"/>
    <w:rsid w:val="00D43DE0"/>
    <w:rsid w:val="00D43EF0"/>
    <w:rsid w:val="00D44229"/>
    <w:rsid w:val="00D4426F"/>
    <w:rsid w:val="00D44295"/>
    <w:rsid w:val="00D444A4"/>
    <w:rsid w:val="00D44579"/>
    <w:rsid w:val="00D445E1"/>
    <w:rsid w:val="00D44728"/>
    <w:rsid w:val="00D4493A"/>
    <w:rsid w:val="00D44A26"/>
    <w:rsid w:val="00D44B6B"/>
    <w:rsid w:val="00D44B8B"/>
    <w:rsid w:val="00D44BA5"/>
    <w:rsid w:val="00D44C06"/>
    <w:rsid w:val="00D44E2F"/>
    <w:rsid w:val="00D44EB4"/>
    <w:rsid w:val="00D44F50"/>
    <w:rsid w:val="00D45159"/>
    <w:rsid w:val="00D4524E"/>
    <w:rsid w:val="00D4541D"/>
    <w:rsid w:val="00D454C1"/>
    <w:rsid w:val="00D455F5"/>
    <w:rsid w:val="00D45644"/>
    <w:rsid w:val="00D4573F"/>
    <w:rsid w:val="00D457A0"/>
    <w:rsid w:val="00D457D6"/>
    <w:rsid w:val="00D458D0"/>
    <w:rsid w:val="00D45A56"/>
    <w:rsid w:val="00D45BDB"/>
    <w:rsid w:val="00D45E74"/>
    <w:rsid w:val="00D45F3F"/>
    <w:rsid w:val="00D45F4B"/>
    <w:rsid w:val="00D45FE8"/>
    <w:rsid w:val="00D4607F"/>
    <w:rsid w:val="00D460D1"/>
    <w:rsid w:val="00D4617B"/>
    <w:rsid w:val="00D462C5"/>
    <w:rsid w:val="00D464B2"/>
    <w:rsid w:val="00D46662"/>
    <w:rsid w:val="00D46665"/>
    <w:rsid w:val="00D46813"/>
    <w:rsid w:val="00D4687D"/>
    <w:rsid w:val="00D46B5A"/>
    <w:rsid w:val="00D46BD8"/>
    <w:rsid w:val="00D46D7D"/>
    <w:rsid w:val="00D46E29"/>
    <w:rsid w:val="00D46FB5"/>
    <w:rsid w:val="00D47058"/>
    <w:rsid w:val="00D47142"/>
    <w:rsid w:val="00D47273"/>
    <w:rsid w:val="00D47395"/>
    <w:rsid w:val="00D474F7"/>
    <w:rsid w:val="00D4755F"/>
    <w:rsid w:val="00D4758D"/>
    <w:rsid w:val="00D47847"/>
    <w:rsid w:val="00D479D4"/>
    <w:rsid w:val="00D47AA5"/>
    <w:rsid w:val="00D47C49"/>
    <w:rsid w:val="00D5019E"/>
    <w:rsid w:val="00D501FC"/>
    <w:rsid w:val="00D502C6"/>
    <w:rsid w:val="00D50326"/>
    <w:rsid w:val="00D50372"/>
    <w:rsid w:val="00D5060A"/>
    <w:rsid w:val="00D5077D"/>
    <w:rsid w:val="00D507A7"/>
    <w:rsid w:val="00D5083F"/>
    <w:rsid w:val="00D508BE"/>
    <w:rsid w:val="00D50A34"/>
    <w:rsid w:val="00D50AAE"/>
    <w:rsid w:val="00D50B9C"/>
    <w:rsid w:val="00D50F2F"/>
    <w:rsid w:val="00D50FB8"/>
    <w:rsid w:val="00D51075"/>
    <w:rsid w:val="00D511D1"/>
    <w:rsid w:val="00D511DA"/>
    <w:rsid w:val="00D513E1"/>
    <w:rsid w:val="00D51511"/>
    <w:rsid w:val="00D51979"/>
    <w:rsid w:val="00D51EA9"/>
    <w:rsid w:val="00D51F2B"/>
    <w:rsid w:val="00D5203B"/>
    <w:rsid w:val="00D520FE"/>
    <w:rsid w:val="00D521A8"/>
    <w:rsid w:val="00D521EB"/>
    <w:rsid w:val="00D525B3"/>
    <w:rsid w:val="00D52733"/>
    <w:rsid w:val="00D52770"/>
    <w:rsid w:val="00D529DF"/>
    <w:rsid w:val="00D529E5"/>
    <w:rsid w:val="00D52A49"/>
    <w:rsid w:val="00D52BA9"/>
    <w:rsid w:val="00D52C1D"/>
    <w:rsid w:val="00D52DEB"/>
    <w:rsid w:val="00D52F56"/>
    <w:rsid w:val="00D53071"/>
    <w:rsid w:val="00D530BC"/>
    <w:rsid w:val="00D53117"/>
    <w:rsid w:val="00D5329D"/>
    <w:rsid w:val="00D53467"/>
    <w:rsid w:val="00D53488"/>
    <w:rsid w:val="00D5354C"/>
    <w:rsid w:val="00D53588"/>
    <w:rsid w:val="00D536E6"/>
    <w:rsid w:val="00D5372A"/>
    <w:rsid w:val="00D5373E"/>
    <w:rsid w:val="00D537C6"/>
    <w:rsid w:val="00D53821"/>
    <w:rsid w:val="00D53893"/>
    <w:rsid w:val="00D538EF"/>
    <w:rsid w:val="00D53A73"/>
    <w:rsid w:val="00D53AF8"/>
    <w:rsid w:val="00D53B34"/>
    <w:rsid w:val="00D53EFA"/>
    <w:rsid w:val="00D54098"/>
    <w:rsid w:val="00D540BD"/>
    <w:rsid w:val="00D541CF"/>
    <w:rsid w:val="00D5466C"/>
    <w:rsid w:val="00D546AE"/>
    <w:rsid w:val="00D547E5"/>
    <w:rsid w:val="00D547FF"/>
    <w:rsid w:val="00D5489D"/>
    <w:rsid w:val="00D54A83"/>
    <w:rsid w:val="00D54D70"/>
    <w:rsid w:val="00D54E60"/>
    <w:rsid w:val="00D5509A"/>
    <w:rsid w:val="00D551D6"/>
    <w:rsid w:val="00D5520A"/>
    <w:rsid w:val="00D55300"/>
    <w:rsid w:val="00D5541B"/>
    <w:rsid w:val="00D55490"/>
    <w:rsid w:val="00D55634"/>
    <w:rsid w:val="00D55734"/>
    <w:rsid w:val="00D55833"/>
    <w:rsid w:val="00D55BED"/>
    <w:rsid w:val="00D55C0D"/>
    <w:rsid w:val="00D55CC1"/>
    <w:rsid w:val="00D55CE1"/>
    <w:rsid w:val="00D55E2D"/>
    <w:rsid w:val="00D5601C"/>
    <w:rsid w:val="00D56164"/>
    <w:rsid w:val="00D56199"/>
    <w:rsid w:val="00D56294"/>
    <w:rsid w:val="00D562C9"/>
    <w:rsid w:val="00D562E7"/>
    <w:rsid w:val="00D565C2"/>
    <w:rsid w:val="00D5662C"/>
    <w:rsid w:val="00D56709"/>
    <w:rsid w:val="00D567D6"/>
    <w:rsid w:val="00D56802"/>
    <w:rsid w:val="00D568DA"/>
    <w:rsid w:val="00D568FE"/>
    <w:rsid w:val="00D56B64"/>
    <w:rsid w:val="00D56CBD"/>
    <w:rsid w:val="00D56D9A"/>
    <w:rsid w:val="00D56E02"/>
    <w:rsid w:val="00D56F2C"/>
    <w:rsid w:val="00D56F9A"/>
    <w:rsid w:val="00D570AE"/>
    <w:rsid w:val="00D57181"/>
    <w:rsid w:val="00D57660"/>
    <w:rsid w:val="00D576D8"/>
    <w:rsid w:val="00D5791F"/>
    <w:rsid w:val="00D57981"/>
    <w:rsid w:val="00D57A31"/>
    <w:rsid w:val="00D57AB7"/>
    <w:rsid w:val="00D57DDB"/>
    <w:rsid w:val="00D60118"/>
    <w:rsid w:val="00D60133"/>
    <w:rsid w:val="00D6018F"/>
    <w:rsid w:val="00D60270"/>
    <w:rsid w:val="00D60710"/>
    <w:rsid w:val="00D6073B"/>
    <w:rsid w:val="00D6074D"/>
    <w:rsid w:val="00D60862"/>
    <w:rsid w:val="00D60AF5"/>
    <w:rsid w:val="00D60B10"/>
    <w:rsid w:val="00D60B6D"/>
    <w:rsid w:val="00D60CE8"/>
    <w:rsid w:val="00D611DF"/>
    <w:rsid w:val="00D614BD"/>
    <w:rsid w:val="00D6157D"/>
    <w:rsid w:val="00D61667"/>
    <w:rsid w:val="00D61748"/>
    <w:rsid w:val="00D617ED"/>
    <w:rsid w:val="00D6194F"/>
    <w:rsid w:val="00D61953"/>
    <w:rsid w:val="00D61A20"/>
    <w:rsid w:val="00D61C97"/>
    <w:rsid w:val="00D61D45"/>
    <w:rsid w:val="00D62271"/>
    <w:rsid w:val="00D62370"/>
    <w:rsid w:val="00D62415"/>
    <w:rsid w:val="00D6244F"/>
    <w:rsid w:val="00D62490"/>
    <w:rsid w:val="00D62A04"/>
    <w:rsid w:val="00D62B2A"/>
    <w:rsid w:val="00D62B43"/>
    <w:rsid w:val="00D62B87"/>
    <w:rsid w:val="00D62C15"/>
    <w:rsid w:val="00D62C70"/>
    <w:rsid w:val="00D62D46"/>
    <w:rsid w:val="00D62E52"/>
    <w:rsid w:val="00D6300F"/>
    <w:rsid w:val="00D6301F"/>
    <w:rsid w:val="00D6311B"/>
    <w:rsid w:val="00D63159"/>
    <w:rsid w:val="00D6319F"/>
    <w:rsid w:val="00D63262"/>
    <w:rsid w:val="00D636AC"/>
    <w:rsid w:val="00D63794"/>
    <w:rsid w:val="00D63938"/>
    <w:rsid w:val="00D63977"/>
    <w:rsid w:val="00D63A94"/>
    <w:rsid w:val="00D63AF7"/>
    <w:rsid w:val="00D63BCB"/>
    <w:rsid w:val="00D63BD6"/>
    <w:rsid w:val="00D63E2B"/>
    <w:rsid w:val="00D63F6D"/>
    <w:rsid w:val="00D63F95"/>
    <w:rsid w:val="00D63FC1"/>
    <w:rsid w:val="00D63FE6"/>
    <w:rsid w:val="00D63FEA"/>
    <w:rsid w:val="00D64154"/>
    <w:rsid w:val="00D641EA"/>
    <w:rsid w:val="00D64204"/>
    <w:rsid w:val="00D6481C"/>
    <w:rsid w:val="00D64955"/>
    <w:rsid w:val="00D64CE9"/>
    <w:rsid w:val="00D64CF3"/>
    <w:rsid w:val="00D64D91"/>
    <w:rsid w:val="00D64E9D"/>
    <w:rsid w:val="00D64F88"/>
    <w:rsid w:val="00D64FF1"/>
    <w:rsid w:val="00D65180"/>
    <w:rsid w:val="00D65391"/>
    <w:rsid w:val="00D65436"/>
    <w:rsid w:val="00D654C3"/>
    <w:rsid w:val="00D65526"/>
    <w:rsid w:val="00D655EC"/>
    <w:rsid w:val="00D6567C"/>
    <w:rsid w:val="00D659B4"/>
    <w:rsid w:val="00D65A14"/>
    <w:rsid w:val="00D65A33"/>
    <w:rsid w:val="00D65B36"/>
    <w:rsid w:val="00D65B7F"/>
    <w:rsid w:val="00D65BF1"/>
    <w:rsid w:val="00D65C00"/>
    <w:rsid w:val="00D65C1F"/>
    <w:rsid w:val="00D65E31"/>
    <w:rsid w:val="00D65F97"/>
    <w:rsid w:val="00D66075"/>
    <w:rsid w:val="00D6625F"/>
    <w:rsid w:val="00D663B9"/>
    <w:rsid w:val="00D6641E"/>
    <w:rsid w:val="00D66706"/>
    <w:rsid w:val="00D667A5"/>
    <w:rsid w:val="00D66872"/>
    <w:rsid w:val="00D668B9"/>
    <w:rsid w:val="00D669F3"/>
    <w:rsid w:val="00D66A1A"/>
    <w:rsid w:val="00D66C6D"/>
    <w:rsid w:val="00D66CD3"/>
    <w:rsid w:val="00D66DCA"/>
    <w:rsid w:val="00D66EAC"/>
    <w:rsid w:val="00D66F73"/>
    <w:rsid w:val="00D67072"/>
    <w:rsid w:val="00D67308"/>
    <w:rsid w:val="00D67425"/>
    <w:rsid w:val="00D674F2"/>
    <w:rsid w:val="00D675FC"/>
    <w:rsid w:val="00D67741"/>
    <w:rsid w:val="00D67886"/>
    <w:rsid w:val="00D701C4"/>
    <w:rsid w:val="00D702FE"/>
    <w:rsid w:val="00D70375"/>
    <w:rsid w:val="00D703C8"/>
    <w:rsid w:val="00D704A5"/>
    <w:rsid w:val="00D7051D"/>
    <w:rsid w:val="00D7060C"/>
    <w:rsid w:val="00D7070E"/>
    <w:rsid w:val="00D708E4"/>
    <w:rsid w:val="00D70963"/>
    <w:rsid w:val="00D70C9A"/>
    <w:rsid w:val="00D70D09"/>
    <w:rsid w:val="00D70DD0"/>
    <w:rsid w:val="00D70E18"/>
    <w:rsid w:val="00D70E47"/>
    <w:rsid w:val="00D70FAE"/>
    <w:rsid w:val="00D710BB"/>
    <w:rsid w:val="00D71356"/>
    <w:rsid w:val="00D713B6"/>
    <w:rsid w:val="00D713FE"/>
    <w:rsid w:val="00D71464"/>
    <w:rsid w:val="00D715F4"/>
    <w:rsid w:val="00D716B1"/>
    <w:rsid w:val="00D71710"/>
    <w:rsid w:val="00D7183B"/>
    <w:rsid w:val="00D7188F"/>
    <w:rsid w:val="00D71B26"/>
    <w:rsid w:val="00D71BA6"/>
    <w:rsid w:val="00D71CB2"/>
    <w:rsid w:val="00D71CF5"/>
    <w:rsid w:val="00D71D7E"/>
    <w:rsid w:val="00D720E0"/>
    <w:rsid w:val="00D721A0"/>
    <w:rsid w:val="00D722A7"/>
    <w:rsid w:val="00D72582"/>
    <w:rsid w:val="00D72683"/>
    <w:rsid w:val="00D72786"/>
    <w:rsid w:val="00D727AE"/>
    <w:rsid w:val="00D729E9"/>
    <w:rsid w:val="00D72A49"/>
    <w:rsid w:val="00D72AF9"/>
    <w:rsid w:val="00D72B93"/>
    <w:rsid w:val="00D72F9C"/>
    <w:rsid w:val="00D730B7"/>
    <w:rsid w:val="00D7313C"/>
    <w:rsid w:val="00D731A7"/>
    <w:rsid w:val="00D732CF"/>
    <w:rsid w:val="00D7350C"/>
    <w:rsid w:val="00D736D0"/>
    <w:rsid w:val="00D738F0"/>
    <w:rsid w:val="00D73B45"/>
    <w:rsid w:val="00D73C69"/>
    <w:rsid w:val="00D73D74"/>
    <w:rsid w:val="00D73EF2"/>
    <w:rsid w:val="00D74060"/>
    <w:rsid w:val="00D740F9"/>
    <w:rsid w:val="00D741A2"/>
    <w:rsid w:val="00D743E2"/>
    <w:rsid w:val="00D744EA"/>
    <w:rsid w:val="00D746B3"/>
    <w:rsid w:val="00D7470C"/>
    <w:rsid w:val="00D74719"/>
    <w:rsid w:val="00D747A0"/>
    <w:rsid w:val="00D74801"/>
    <w:rsid w:val="00D74876"/>
    <w:rsid w:val="00D74C20"/>
    <w:rsid w:val="00D74E5E"/>
    <w:rsid w:val="00D755C6"/>
    <w:rsid w:val="00D758DD"/>
    <w:rsid w:val="00D75970"/>
    <w:rsid w:val="00D759B5"/>
    <w:rsid w:val="00D759FF"/>
    <w:rsid w:val="00D75A71"/>
    <w:rsid w:val="00D75B21"/>
    <w:rsid w:val="00D75B7F"/>
    <w:rsid w:val="00D75BBB"/>
    <w:rsid w:val="00D75BD8"/>
    <w:rsid w:val="00D75D6A"/>
    <w:rsid w:val="00D75E21"/>
    <w:rsid w:val="00D765A3"/>
    <w:rsid w:val="00D76814"/>
    <w:rsid w:val="00D7681A"/>
    <w:rsid w:val="00D76865"/>
    <w:rsid w:val="00D7697A"/>
    <w:rsid w:val="00D76A52"/>
    <w:rsid w:val="00D76C82"/>
    <w:rsid w:val="00D76CC6"/>
    <w:rsid w:val="00D76DFF"/>
    <w:rsid w:val="00D76E78"/>
    <w:rsid w:val="00D76FC4"/>
    <w:rsid w:val="00D770B6"/>
    <w:rsid w:val="00D7721B"/>
    <w:rsid w:val="00D77482"/>
    <w:rsid w:val="00D774C4"/>
    <w:rsid w:val="00D77A23"/>
    <w:rsid w:val="00D77A78"/>
    <w:rsid w:val="00D77AEC"/>
    <w:rsid w:val="00D77B48"/>
    <w:rsid w:val="00D77C2C"/>
    <w:rsid w:val="00D77CB7"/>
    <w:rsid w:val="00D77D38"/>
    <w:rsid w:val="00D77D9A"/>
    <w:rsid w:val="00D77E98"/>
    <w:rsid w:val="00D77FB6"/>
    <w:rsid w:val="00D802FE"/>
    <w:rsid w:val="00D80487"/>
    <w:rsid w:val="00D8058B"/>
    <w:rsid w:val="00D80645"/>
    <w:rsid w:val="00D806CD"/>
    <w:rsid w:val="00D807E8"/>
    <w:rsid w:val="00D808A0"/>
    <w:rsid w:val="00D808C7"/>
    <w:rsid w:val="00D80E47"/>
    <w:rsid w:val="00D80EB2"/>
    <w:rsid w:val="00D80F20"/>
    <w:rsid w:val="00D8107C"/>
    <w:rsid w:val="00D810CE"/>
    <w:rsid w:val="00D81157"/>
    <w:rsid w:val="00D811AB"/>
    <w:rsid w:val="00D811E9"/>
    <w:rsid w:val="00D8125B"/>
    <w:rsid w:val="00D813EB"/>
    <w:rsid w:val="00D8141C"/>
    <w:rsid w:val="00D814B7"/>
    <w:rsid w:val="00D815E4"/>
    <w:rsid w:val="00D81614"/>
    <w:rsid w:val="00D817F1"/>
    <w:rsid w:val="00D81843"/>
    <w:rsid w:val="00D8193D"/>
    <w:rsid w:val="00D81E3F"/>
    <w:rsid w:val="00D81FDB"/>
    <w:rsid w:val="00D82037"/>
    <w:rsid w:val="00D8211F"/>
    <w:rsid w:val="00D82208"/>
    <w:rsid w:val="00D82285"/>
    <w:rsid w:val="00D822EC"/>
    <w:rsid w:val="00D823CF"/>
    <w:rsid w:val="00D82584"/>
    <w:rsid w:val="00D82621"/>
    <w:rsid w:val="00D82684"/>
    <w:rsid w:val="00D8268D"/>
    <w:rsid w:val="00D8275E"/>
    <w:rsid w:val="00D82933"/>
    <w:rsid w:val="00D829F9"/>
    <w:rsid w:val="00D82B0A"/>
    <w:rsid w:val="00D82B4B"/>
    <w:rsid w:val="00D82C7C"/>
    <w:rsid w:val="00D82E39"/>
    <w:rsid w:val="00D82EF3"/>
    <w:rsid w:val="00D82F05"/>
    <w:rsid w:val="00D83345"/>
    <w:rsid w:val="00D833C3"/>
    <w:rsid w:val="00D833D6"/>
    <w:rsid w:val="00D8352A"/>
    <w:rsid w:val="00D836A2"/>
    <w:rsid w:val="00D8389D"/>
    <w:rsid w:val="00D838E0"/>
    <w:rsid w:val="00D83908"/>
    <w:rsid w:val="00D83A1A"/>
    <w:rsid w:val="00D83A49"/>
    <w:rsid w:val="00D83A9C"/>
    <w:rsid w:val="00D83B5F"/>
    <w:rsid w:val="00D83CAF"/>
    <w:rsid w:val="00D83D4D"/>
    <w:rsid w:val="00D83D56"/>
    <w:rsid w:val="00D83E54"/>
    <w:rsid w:val="00D83FEA"/>
    <w:rsid w:val="00D840A3"/>
    <w:rsid w:val="00D843A0"/>
    <w:rsid w:val="00D8452A"/>
    <w:rsid w:val="00D8462D"/>
    <w:rsid w:val="00D84686"/>
    <w:rsid w:val="00D8477C"/>
    <w:rsid w:val="00D84A09"/>
    <w:rsid w:val="00D84AC3"/>
    <w:rsid w:val="00D84AF2"/>
    <w:rsid w:val="00D84CFF"/>
    <w:rsid w:val="00D84D33"/>
    <w:rsid w:val="00D84DAC"/>
    <w:rsid w:val="00D84DB2"/>
    <w:rsid w:val="00D84E79"/>
    <w:rsid w:val="00D84EF4"/>
    <w:rsid w:val="00D85192"/>
    <w:rsid w:val="00D8524E"/>
    <w:rsid w:val="00D8552C"/>
    <w:rsid w:val="00D855D0"/>
    <w:rsid w:val="00D8573C"/>
    <w:rsid w:val="00D858D1"/>
    <w:rsid w:val="00D858F5"/>
    <w:rsid w:val="00D85964"/>
    <w:rsid w:val="00D85DA1"/>
    <w:rsid w:val="00D85DB9"/>
    <w:rsid w:val="00D85F48"/>
    <w:rsid w:val="00D86311"/>
    <w:rsid w:val="00D86489"/>
    <w:rsid w:val="00D864CF"/>
    <w:rsid w:val="00D865AA"/>
    <w:rsid w:val="00D866E1"/>
    <w:rsid w:val="00D868C5"/>
    <w:rsid w:val="00D86A53"/>
    <w:rsid w:val="00D86ABB"/>
    <w:rsid w:val="00D86B5A"/>
    <w:rsid w:val="00D86BCB"/>
    <w:rsid w:val="00D86C75"/>
    <w:rsid w:val="00D86C83"/>
    <w:rsid w:val="00D86CBC"/>
    <w:rsid w:val="00D870AE"/>
    <w:rsid w:val="00D870FD"/>
    <w:rsid w:val="00D8710E"/>
    <w:rsid w:val="00D8711E"/>
    <w:rsid w:val="00D87232"/>
    <w:rsid w:val="00D8733E"/>
    <w:rsid w:val="00D873E8"/>
    <w:rsid w:val="00D87413"/>
    <w:rsid w:val="00D8747E"/>
    <w:rsid w:val="00D875F8"/>
    <w:rsid w:val="00D8760B"/>
    <w:rsid w:val="00D87920"/>
    <w:rsid w:val="00D87953"/>
    <w:rsid w:val="00D87A72"/>
    <w:rsid w:val="00D87A93"/>
    <w:rsid w:val="00D87B33"/>
    <w:rsid w:val="00D87B99"/>
    <w:rsid w:val="00D87C2F"/>
    <w:rsid w:val="00D901BB"/>
    <w:rsid w:val="00D90503"/>
    <w:rsid w:val="00D905A5"/>
    <w:rsid w:val="00D905AB"/>
    <w:rsid w:val="00D90628"/>
    <w:rsid w:val="00D9069C"/>
    <w:rsid w:val="00D907C5"/>
    <w:rsid w:val="00D9080C"/>
    <w:rsid w:val="00D90D8A"/>
    <w:rsid w:val="00D90ED3"/>
    <w:rsid w:val="00D90FEA"/>
    <w:rsid w:val="00D913A3"/>
    <w:rsid w:val="00D9141B"/>
    <w:rsid w:val="00D917A4"/>
    <w:rsid w:val="00D9183B"/>
    <w:rsid w:val="00D91853"/>
    <w:rsid w:val="00D9194F"/>
    <w:rsid w:val="00D91A74"/>
    <w:rsid w:val="00D91B07"/>
    <w:rsid w:val="00D91B86"/>
    <w:rsid w:val="00D91BA9"/>
    <w:rsid w:val="00D91C82"/>
    <w:rsid w:val="00D91E17"/>
    <w:rsid w:val="00D922D1"/>
    <w:rsid w:val="00D923BA"/>
    <w:rsid w:val="00D9243B"/>
    <w:rsid w:val="00D92447"/>
    <w:rsid w:val="00D9244B"/>
    <w:rsid w:val="00D92508"/>
    <w:rsid w:val="00D92519"/>
    <w:rsid w:val="00D9275D"/>
    <w:rsid w:val="00D92765"/>
    <w:rsid w:val="00D92883"/>
    <w:rsid w:val="00D92AE4"/>
    <w:rsid w:val="00D92B24"/>
    <w:rsid w:val="00D92CF2"/>
    <w:rsid w:val="00D92FB5"/>
    <w:rsid w:val="00D92FE6"/>
    <w:rsid w:val="00D93141"/>
    <w:rsid w:val="00D9314E"/>
    <w:rsid w:val="00D93303"/>
    <w:rsid w:val="00D938A3"/>
    <w:rsid w:val="00D93B8B"/>
    <w:rsid w:val="00D93C8F"/>
    <w:rsid w:val="00D93DA6"/>
    <w:rsid w:val="00D93E35"/>
    <w:rsid w:val="00D9401C"/>
    <w:rsid w:val="00D94029"/>
    <w:rsid w:val="00D942F0"/>
    <w:rsid w:val="00D943B2"/>
    <w:rsid w:val="00D943EA"/>
    <w:rsid w:val="00D94486"/>
    <w:rsid w:val="00D94492"/>
    <w:rsid w:val="00D945B0"/>
    <w:rsid w:val="00D9480D"/>
    <w:rsid w:val="00D9484B"/>
    <w:rsid w:val="00D948B1"/>
    <w:rsid w:val="00D94A7C"/>
    <w:rsid w:val="00D94B2A"/>
    <w:rsid w:val="00D94B58"/>
    <w:rsid w:val="00D94BC4"/>
    <w:rsid w:val="00D94C90"/>
    <w:rsid w:val="00D94D1B"/>
    <w:rsid w:val="00D94DE8"/>
    <w:rsid w:val="00D94EAB"/>
    <w:rsid w:val="00D94F4E"/>
    <w:rsid w:val="00D951F4"/>
    <w:rsid w:val="00D954BE"/>
    <w:rsid w:val="00D95521"/>
    <w:rsid w:val="00D9565A"/>
    <w:rsid w:val="00D95674"/>
    <w:rsid w:val="00D956A6"/>
    <w:rsid w:val="00D95732"/>
    <w:rsid w:val="00D957EE"/>
    <w:rsid w:val="00D95896"/>
    <w:rsid w:val="00D95A00"/>
    <w:rsid w:val="00D95A3C"/>
    <w:rsid w:val="00D95B8D"/>
    <w:rsid w:val="00D95F0A"/>
    <w:rsid w:val="00D95F55"/>
    <w:rsid w:val="00D961A1"/>
    <w:rsid w:val="00D961F2"/>
    <w:rsid w:val="00D9652C"/>
    <w:rsid w:val="00D9664D"/>
    <w:rsid w:val="00D966A5"/>
    <w:rsid w:val="00D9679E"/>
    <w:rsid w:val="00D967AB"/>
    <w:rsid w:val="00D9681C"/>
    <w:rsid w:val="00D96838"/>
    <w:rsid w:val="00D968BD"/>
    <w:rsid w:val="00D96B4F"/>
    <w:rsid w:val="00D96BB6"/>
    <w:rsid w:val="00D96BFF"/>
    <w:rsid w:val="00D96C5C"/>
    <w:rsid w:val="00D96F15"/>
    <w:rsid w:val="00D96F37"/>
    <w:rsid w:val="00D97021"/>
    <w:rsid w:val="00D973A4"/>
    <w:rsid w:val="00D973AF"/>
    <w:rsid w:val="00D97484"/>
    <w:rsid w:val="00D97835"/>
    <w:rsid w:val="00D97882"/>
    <w:rsid w:val="00D978AE"/>
    <w:rsid w:val="00D97A77"/>
    <w:rsid w:val="00D97AE1"/>
    <w:rsid w:val="00D97BA7"/>
    <w:rsid w:val="00D97CA7"/>
    <w:rsid w:val="00D97D53"/>
    <w:rsid w:val="00D97DF8"/>
    <w:rsid w:val="00D97ECE"/>
    <w:rsid w:val="00DA0202"/>
    <w:rsid w:val="00DA0346"/>
    <w:rsid w:val="00DA0416"/>
    <w:rsid w:val="00DA0855"/>
    <w:rsid w:val="00DA0919"/>
    <w:rsid w:val="00DA0AD2"/>
    <w:rsid w:val="00DA0F64"/>
    <w:rsid w:val="00DA104E"/>
    <w:rsid w:val="00DA11E9"/>
    <w:rsid w:val="00DA123F"/>
    <w:rsid w:val="00DA1269"/>
    <w:rsid w:val="00DA133C"/>
    <w:rsid w:val="00DA141E"/>
    <w:rsid w:val="00DA1522"/>
    <w:rsid w:val="00DA15BF"/>
    <w:rsid w:val="00DA16AB"/>
    <w:rsid w:val="00DA16B6"/>
    <w:rsid w:val="00DA16E9"/>
    <w:rsid w:val="00DA16F1"/>
    <w:rsid w:val="00DA1831"/>
    <w:rsid w:val="00DA1940"/>
    <w:rsid w:val="00DA1A44"/>
    <w:rsid w:val="00DA1A66"/>
    <w:rsid w:val="00DA1AFA"/>
    <w:rsid w:val="00DA1D5B"/>
    <w:rsid w:val="00DA1D5C"/>
    <w:rsid w:val="00DA1DBE"/>
    <w:rsid w:val="00DA1F80"/>
    <w:rsid w:val="00DA1F87"/>
    <w:rsid w:val="00DA1FA4"/>
    <w:rsid w:val="00DA20C5"/>
    <w:rsid w:val="00DA22E6"/>
    <w:rsid w:val="00DA235E"/>
    <w:rsid w:val="00DA246A"/>
    <w:rsid w:val="00DA256E"/>
    <w:rsid w:val="00DA2657"/>
    <w:rsid w:val="00DA26FC"/>
    <w:rsid w:val="00DA26FD"/>
    <w:rsid w:val="00DA279F"/>
    <w:rsid w:val="00DA27F4"/>
    <w:rsid w:val="00DA280A"/>
    <w:rsid w:val="00DA2840"/>
    <w:rsid w:val="00DA2939"/>
    <w:rsid w:val="00DA2A3F"/>
    <w:rsid w:val="00DA2D6A"/>
    <w:rsid w:val="00DA2F6C"/>
    <w:rsid w:val="00DA2F91"/>
    <w:rsid w:val="00DA304B"/>
    <w:rsid w:val="00DA30D3"/>
    <w:rsid w:val="00DA313F"/>
    <w:rsid w:val="00DA33BF"/>
    <w:rsid w:val="00DA3522"/>
    <w:rsid w:val="00DA3538"/>
    <w:rsid w:val="00DA376A"/>
    <w:rsid w:val="00DA37EF"/>
    <w:rsid w:val="00DA3A1C"/>
    <w:rsid w:val="00DA3D54"/>
    <w:rsid w:val="00DA3E65"/>
    <w:rsid w:val="00DA418A"/>
    <w:rsid w:val="00DA41E9"/>
    <w:rsid w:val="00DA41FA"/>
    <w:rsid w:val="00DA4460"/>
    <w:rsid w:val="00DA460A"/>
    <w:rsid w:val="00DA4694"/>
    <w:rsid w:val="00DA49BE"/>
    <w:rsid w:val="00DA4EFF"/>
    <w:rsid w:val="00DA513A"/>
    <w:rsid w:val="00DA5197"/>
    <w:rsid w:val="00DA5374"/>
    <w:rsid w:val="00DA541F"/>
    <w:rsid w:val="00DA55C6"/>
    <w:rsid w:val="00DA589A"/>
    <w:rsid w:val="00DA5A18"/>
    <w:rsid w:val="00DA5B4A"/>
    <w:rsid w:val="00DA5BDC"/>
    <w:rsid w:val="00DA5E71"/>
    <w:rsid w:val="00DA5F6B"/>
    <w:rsid w:val="00DA6147"/>
    <w:rsid w:val="00DA61FF"/>
    <w:rsid w:val="00DA634B"/>
    <w:rsid w:val="00DA63B0"/>
    <w:rsid w:val="00DA64EB"/>
    <w:rsid w:val="00DA66CA"/>
    <w:rsid w:val="00DA67D3"/>
    <w:rsid w:val="00DA6997"/>
    <w:rsid w:val="00DA6AC9"/>
    <w:rsid w:val="00DA6ACD"/>
    <w:rsid w:val="00DA6BBF"/>
    <w:rsid w:val="00DA6BCE"/>
    <w:rsid w:val="00DA6E1E"/>
    <w:rsid w:val="00DA6EC9"/>
    <w:rsid w:val="00DA6F49"/>
    <w:rsid w:val="00DA71AC"/>
    <w:rsid w:val="00DA7256"/>
    <w:rsid w:val="00DA72D1"/>
    <w:rsid w:val="00DA73CE"/>
    <w:rsid w:val="00DA75F1"/>
    <w:rsid w:val="00DA7684"/>
    <w:rsid w:val="00DA7699"/>
    <w:rsid w:val="00DA76E5"/>
    <w:rsid w:val="00DA771A"/>
    <w:rsid w:val="00DA7812"/>
    <w:rsid w:val="00DA7AAD"/>
    <w:rsid w:val="00DA7C07"/>
    <w:rsid w:val="00DA7C0A"/>
    <w:rsid w:val="00DA7C27"/>
    <w:rsid w:val="00DA7EAE"/>
    <w:rsid w:val="00DA7FAC"/>
    <w:rsid w:val="00DB007B"/>
    <w:rsid w:val="00DB00EB"/>
    <w:rsid w:val="00DB0292"/>
    <w:rsid w:val="00DB036D"/>
    <w:rsid w:val="00DB039A"/>
    <w:rsid w:val="00DB0408"/>
    <w:rsid w:val="00DB0428"/>
    <w:rsid w:val="00DB044C"/>
    <w:rsid w:val="00DB04DC"/>
    <w:rsid w:val="00DB063E"/>
    <w:rsid w:val="00DB0653"/>
    <w:rsid w:val="00DB08EB"/>
    <w:rsid w:val="00DB0B1A"/>
    <w:rsid w:val="00DB0B64"/>
    <w:rsid w:val="00DB0B95"/>
    <w:rsid w:val="00DB0BE9"/>
    <w:rsid w:val="00DB0D77"/>
    <w:rsid w:val="00DB0E97"/>
    <w:rsid w:val="00DB0F69"/>
    <w:rsid w:val="00DB1008"/>
    <w:rsid w:val="00DB105A"/>
    <w:rsid w:val="00DB111E"/>
    <w:rsid w:val="00DB11ED"/>
    <w:rsid w:val="00DB1262"/>
    <w:rsid w:val="00DB144C"/>
    <w:rsid w:val="00DB14EC"/>
    <w:rsid w:val="00DB14F4"/>
    <w:rsid w:val="00DB153F"/>
    <w:rsid w:val="00DB162D"/>
    <w:rsid w:val="00DB16B8"/>
    <w:rsid w:val="00DB17CA"/>
    <w:rsid w:val="00DB17DC"/>
    <w:rsid w:val="00DB1831"/>
    <w:rsid w:val="00DB1997"/>
    <w:rsid w:val="00DB1A50"/>
    <w:rsid w:val="00DB1A54"/>
    <w:rsid w:val="00DB1A68"/>
    <w:rsid w:val="00DB1C8F"/>
    <w:rsid w:val="00DB1DB7"/>
    <w:rsid w:val="00DB2036"/>
    <w:rsid w:val="00DB20C1"/>
    <w:rsid w:val="00DB210F"/>
    <w:rsid w:val="00DB247A"/>
    <w:rsid w:val="00DB24EB"/>
    <w:rsid w:val="00DB265E"/>
    <w:rsid w:val="00DB2706"/>
    <w:rsid w:val="00DB2863"/>
    <w:rsid w:val="00DB2983"/>
    <w:rsid w:val="00DB2C38"/>
    <w:rsid w:val="00DB2C8D"/>
    <w:rsid w:val="00DB3052"/>
    <w:rsid w:val="00DB30E7"/>
    <w:rsid w:val="00DB3190"/>
    <w:rsid w:val="00DB31B6"/>
    <w:rsid w:val="00DB325C"/>
    <w:rsid w:val="00DB326B"/>
    <w:rsid w:val="00DB33BA"/>
    <w:rsid w:val="00DB341F"/>
    <w:rsid w:val="00DB387C"/>
    <w:rsid w:val="00DB38C0"/>
    <w:rsid w:val="00DB3B47"/>
    <w:rsid w:val="00DB3D0C"/>
    <w:rsid w:val="00DB3D8E"/>
    <w:rsid w:val="00DB3DA0"/>
    <w:rsid w:val="00DB3E5D"/>
    <w:rsid w:val="00DB3F1B"/>
    <w:rsid w:val="00DB4140"/>
    <w:rsid w:val="00DB43A8"/>
    <w:rsid w:val="00DB44FF"/>
    <w:rsid w:val="00DB4528"/>
    <w:rsid w:val="00DB45A3"/>
    <w:rsid w:val="00DB46A9"/>
    <w:rsid w:val="00DB4859"/>
    <w:rsid w:val="00DB487B"/>
    <w:rsid w:val="00DB48D5"/>
    <w:rsid w:val="00DB48FD"/>
    <w:rsid w:val="00DB4AD4"/>
    <w:rsid w:val="00DB4B28"/>
    <w:rsid w:val="00DB4CE4"/>
    <w:rsid w:val="00DB4D81"/>
    <w:rsid w:val="00DB4D84"/>
    <w:rsid w:val="00DB4DA4"/>
    <w:rsid w:val="00DB4DA6"/>
    <w:rsid w:val="00DB4E58"/>
    <w:rsid w:val="00DB4EBA"/>
    <w:rsid w:val="00DB4F5D"/>
    <w:rsid w:val="00DB5092"/>
    <w:rsid w:val="00DB50A1"/>
    <w:rsid w:val="00DB51C3"/>
    <w:rsid w:val="00DB51EB"/>
    <w:rsid w:val="00DB539E"/>
    <w:rsid w:val="00DB558F"/>
    <w:rsid w:val="00DB55F7"/>
    <w:rsid w:val="00DB567A"/>
    <w:rsid w:val="00DB56F8"/>
    <w:rsid w:val="00DB571E"/>
    <w:rsid w:val="00DB5809"/>
    <w:rsid w:val="00DB5841"/>
    <w:rsid w:val="00DB5889"/>
    <w:rsid w:val="00DB5979"/>
    <w:rsid w:val="00DB5A2F"/>
    <w:rsid w:val="00DB5B34"/>
    <w:rsid w:val="00DB5C74"/>
    <w:rsid w:val="00DB5D6B"/>
    <w:rsid w:val="00DB5D9D"/>
    <w:rsid w:val="00DB5E03"/>
    <w:rsid w:val="00DB60A0"/>
    <w:rsid w:val="00DB60EB"/>
    <w:rsid w:val="00DB6126"/>
    <w:rsid w:val="00DB6136"/>
    <w:rsid w:val="00DB6152"/>
    <w:rsid w:val="00DB6243"/>
    <w:rsid w:val="00DB6304"/>
    <w:rsid w:val="00DB6368"/>
    <w:rsid w:val="00DB642D"/>
    <w:rsid w:val="00DB643D"/>
    <w:rsid w:val="00DB6508"/>
    <w:rsid w:val="00DB65CC"/>
    <w:rsid w:val="00DB65D1"/>
    <w:rsid w:val="00DB66BB"/>
    <w:rsid w:val="00DB6774"/>
    <w:rsid w:val="00DB6805"/>
    <w:rsid w:val="00DB6C09"/>
    <w:rsid w:val="00DB6D0A"/>
    <w:rsid w:val="00DB6E73"/>
    <w:rsid w:val="00DB6F22"/>
    <w:rsid w:val="00DB6F43"/>
    <w:rsid w:val="00DB6FE8"/>
    <w:rsid w:val="00DB71A7"/>
    <w:rsid w:val="00DB71B3"/>
    <w:rsid w:val="00DB7261"/>
    <w:rsid w:val="00DB734D"/>
    <w:rsid w:val="00DB7736"/>
    <w:rsid w:val="00DB77DC"/>
    <w:rsid w:val="00DB78FC"/>
    <w:rsid w:val="00DB7972"/>
    <w:rsid w:val="00DB7A09"/>
    <w:rsid w:val="00DB7BC5"/>
    <w:rsid w:val="00DB7C0F"/>
    <w:rsid w:val="00DB7C64"/>
    <w:rsid w:val="00DB7CDE"/>
    <w:rsid w:val="00DB7F4D"/>
    <w:rsid w:val="00DB7F85"/>
    <w:rsid w:val="00DB7FAE"/>
    <w:rsid w:val="00DB7FB5"/>
    <w:rsid w:val="00DC01EE"/>
    <w:rsid w:val="00DC024F"/>
    <w:rsid w:val="00DC0A44"/>
    <w:rsid w:val="00DC0A98"/>
    <w:rsid w:val="00DC0B7F"/>
    <w:rsid w:val="00DC0B88"/>
    <w:rsid w:val="00DC0BF3"/>
    <w:rsid w:val="00DC0D09"/>
    <w:rsid w:val="00DC0D48"/>
    <w:rsid w:val="00DC0DFE"/>
    <w:rsid w:val="00DC0ED2"/>
    <w:rsid w:val="00DC0F93"/>
    <w:rsid w:val="00DC0FD3"/>
    <w:rsid w:val="00DC1031"/>
    <w:rsid w:val="00DC1098"/>
    <w:rsid w:val="00DC10E1"/>
    <w:rsid w:val="00DC119A"/>
    <w:rsid w:val="00DC1216"/>
    <w:rsid w:val="00DC1257"/>
    <w:rsid w:val="00DC142A"/>
    <w:rsid w:val="00DC14DD"/>
    <w:rsid w:val="00DC1516"/>
    <w:rsid w:val="00DC156F"/>
    <w:rsid w:val="00DC181F"/>
    <w:rsid w:val="00DC1855"/>
    <w:rsid w:val="00DC185B"/>
    <w:rsid w:val="00DC18E6"/>
    <w:rsid w:val="00DC1AD6"/>
    <w:rsid w:val="00DC1BD8"/>
    <w:rsid w:val="00DC1C1C"/>
    <w:rsid w:val="00DC1D12"/>
    <w:rsid w:val="00DC1D20"/>
    <w:rsid w:val="00DC1E70"/>
    <w:rsid w:val="00DC1E90"/>
    <w:rsid w:val="00DC1F04"/>
    <w:rsid w:val="00DC2042"/>
    <w:rsid w:val="00DC2150"/>
    <w:rsid w:val="00DC21FC"/>
    <w:rsid w:val="00DC254B"/>
    <w:rsid w:val="00DC2777"/>
    <w:rsid w:val="00DC27DF"/>
    <w:rsid w:val="00DC288D"/>
    <w:rsid w:val="00DC29C1"/>
    <w:rsid w:val="00DC2A28"/>
    <w:rsid w:val="00DC2AA7"/>
    <w:rsid w:val="00DC2C01"/>
    <w:rsid w:val="00DC2D8E"/>
    <w:rsid w:val="00DC2D98"/>
    <w:rsid w:val="00DC2E13"/>
    <w:rsid w:val="00DC3072"/>
    <w:rsid w:val="00DC321D"/>
    <w:rsid w:val="00DC3228"/>
    <w:rsid w:val="00DC342C"/>
    <w:rsid w:val="00DC35D3"/>
    <w:rsid w:val="00DC389C"/>
    <w:rsid w:val="00DC3909"/>
    <w:rsid w:val="00DC3A0F"/>
    <w:rsid w:val="00DC3A4D"/>
    <w:rsid w:val="00DC3AA1"/>
    <w:rsid w:val="00DC3C88"/>
    <w:rsid w:val="00DC3D7E"/>
    <w:rsid w:val="00DC3DC0"/>
    <w:rsid w:val="00DC3E45"/>
    <w:rsid w:val="00DC3ED9"/>
    <w:rsid w:val="00DC3F3C"/>
    <w:rsid w:val="00DC405F"/>
    <w:rsid w:val="00DC42E5"/>
    <w:rsid w:val="00DC431E"/>
    <w:rsid w:val="00DC4415"/>
    <w:rsid w:val="00DC4469"/>
    <w:rsid w:val="00DC4475"/>
    <w:rsid w:val="00DC4494"/>
    <w:rsid w:val="00DC476A"/>
    <w:rsid w:val="00DC482E"/>
    <w:rsid w:val="00DC48E1"/>
    <w:rsid w:val="00DC4953"/>
    <w:rsid w:val="00DC4963"/>
    <w:rsid w:val="00DC4AE3"/>
    <w:rsid w:val="00DC4AFE"/>
    <w:rsid w:val="00DC4E1F"/>
    <w:rsid w:val="00DC4E21"/>
    <w:rsid w:val="00DC4F55"/>
    <w:rsid w:val="00DC4F82"/>
    <w:rsid w:val="00DC5063"/>
    <w:rsid w:val="00DC50D0"/>
    <w:rsid w:val="00DC5378"/>
    <w:rsid w:val="00DC53D2"/>
    <w:rsid w:val="00DC5597"/>
    <w:rsid w:val="00DC55E7"/>
    <w:rsid w:val="00DC57EF"/>
    <w:rsid w:val="00DC5878"/>
    <w:rsid w:val="00DC595F"/>
    <w:rsid w:val="00DC5A4F"/>
    <w:rsid w:val="00DC5AE4"/>
    <w:rsid w:val="00DC5B2B"/>
    <w:rsid w:val="00DC5BF2"/>
    <w:rsid w:val="00DC5C6F"/>
    <w:rsid w:val="00DC5E87"/>
    <w:rsid w:val="00DC5FBB"/>
    <w:rsid w:val="00DC6121"/>
    <w:rsid w:val="00DC627C"/>
    <w:rsid w:val="00DC62C6"/>
    <w:rsid w:val="00DC636C"/>
    <w:rsid w:val="00DC6645"/>
    <w:rsid w:val="00DC677E"/>
    <w:rsid w:val="00DC68D0"/>
    <w:rsid w:val="00DC68FC"/>
    <w:rsid w:val="00DC6B28"/>
    <w:rsid w:val="00DC6B88"/>
    <w:rsid w:val="00DC6BF2"/>
    <w:rsid w:val="00DC6D92"/>
    <w:rsid w:val="00DC7055"/>
    <w:rsid w:val="00DC7118"/>
    <w:rsid w:val="00DC7143"/>
    <w:rsid w:val="00DC7167"/>
    <w:rsid w:val="00DC7265"/>
    <w:rsid w:val="00DC7288"/>
    <w:rsid w:val="00DC7313"/>
    <w:rsid w:val="00DC73A9"/>
    <w:rsid w:val="00DC7615"/>
    <w:rsid w:val="00DC7886"/>
    <w:rsid w:val="00DC792F"/>
    <w:rsid w:val="00DC79FD"/>
    <w:rsid w:val="00DC7AF6"/>
    <w:rsid w:val="00DC7B22"/>
    <w:rsid w:val="00DC7CD9"/>
    <w:rsid w:val="00DC7F5E"/>
    <w:rsid w:val="00DC7F67"/>
    <w:rsid w:val="00DD01F2"/>
    <w:rsid w:val="00DD043B"/>
    <w:rsid w:val="00DD04D3"/>
    <w:rsid w:val="00DD0769"/>
    <w:rsid w:val="00DD07A1"/>
    <w:rsid w:val="00DD07A7"/>
    <w:rsid w:val="00DD0800"/>
    <w:rsid w:val="00DD0840"/>
    <w:rsid w:val="00DD0858"/>
    <w:rsid w:val="00DD086C"/>
    <w:rsid w:val="00DD0A67"/>
    <w:rsid w:val="00DD0E18"/>
    <w:rsid w:val="00DD0EBB"/>
    <w:rsid w:val="00DD0F19"/>
    <w:rsid w:val="00DD0F27"/>
    <w:rsid w:val="00DD0F40"/>
    <w:rsid w:val="00DD10FD"/>
    <w:rsid w:val="00DD12B2"/>
    <w:rsid w:val="00DD136D"/>
    <w:rsid w:val="00DD1386"/>
    <w:rsid w:val="00DD13BF"/>
    <w:rsid w:val="00DD13CE"/>
    <w:rsid w:val="00DD1402"/>
    <w:rsid w:val="00DD1475"/>
    <w:rsid w:val="00DD14FF"/>
    <w:rsid w:val="00DD15AF"/>
    <w:rsid w:val="00DD1716"/>
    <w:rsid w:val="00DD1AE8"/>
    <w:rsid w:val="00DD1B3A"/>
    <w:rsid w:val="00DD1BDD"/>
    <w:rsid w:val="00DD2308"/>
    <w:rsid w:val="00DD25C4"/>
    <w:rsid w:val="00DD26E1"/>
    <w:rsid w:val="00DD2B57"/>
    <w:rsid w:val="00DD2BEF"/>
    <w:rsid w:val="00DD2D6A"/>
    <w:rsid w:val="00DD2DF3"/>
    <w:rsid w:val="00DD2E97"/>
    <w:rsid w:val="00DD30CC"/>
    <w:rsid w:val="00DD30DE"/>
    <w:rsid w:val="00DD310A"/>
    <w:rsid w:val="00DD318D"/>
    <w:rsid w:val="00DD32EE"/>
    <w:rsid w:val="00DD3589"/>
    <w:rsid w:val="00DD373D"/>
    <w:rsid w:val="00DD377F"/>
    <w:rsid w:val="00DD392C"/>
    <w:rsid w:val="00DD3A5F"/>
    <w:rsid w:val="00DD3AD6"/>
    <w:rsid w:val="00DD3BF5"/>
    <w:rsid w:val="00DD3DF9"/>
    <w:rsid w:val="00DD3E70"/>
    <w:rsid w:val="00DD40A6"/>
    <w:rsid w:val="00DD4192"/>
    <w:rsid w:val="00DD4208"/>
    <w:rsid w:val="00DD43DF"/>
    <w:rsid w:val="00DD48EE"/>
    <w:rsid w:val="00DD492A"/>
    <w:rsid w:val="00DD4944"/>
    <w:rsid w:val="00DD4A98"/>
    <w:rsid w:val="00DD4B93"/>
    <w:rsid w:val="00DD4C62"/>
    <w:rsid w:val="00DD4C64"/>
    <w:rsid w:val="00DD4DDD"/>
    <w:rsid w:val="00DD4DFC"/>
    <w:rsid w:val="00DD4FC1"/>
    <w:rsid w:val="00DD5274"/>
    <w:rsid w:val="00DD52F5"/>
    <w:rsid w:val="00DD55D2"/>
    <w:rsid w:val="00DD5656"/>
    <w:rsid w:val="00DD591A"/>
    <w:rsid w:val="00DD5930"/>
    <w:rsid w:val="00DD5B62"/>
    <w:rsid w:val="00DD5B65"/>
    <w:rsid w:val="00DD5C0D"/>
    <w:rsid w:val="00DD5CF1"/>
    <w:rsid w:val="00DD5D76"/>
    <w:rsid w:val="00DD5D7C"/>
    <w:rsid w:val="00DD5DB5"/>
    <w:rsid w:val="00DD5E15"/>
    <w:rsid w:val="00DD5F40"/>
    <w:rsid w:val="00DD5FAF"/>
    <w:rsid w:val="00DD60BA"/>
    <w:rsid w:val="00DD619A"/>
    <w:rsid w:val="00DD656E"/>
    <w:rsid w:val="00DD666D"/>
    <w:rsid w:val="00DD68DA"/>
    <w:rsid w:val="00DD69CF"/>
    <w:rsid w:val="00DD6AD3"/>
    <w:rsid w:val="00DD6DB7"/>
    <w:rsid w:val="00DD6F26"/>
    <w:rsid w:val="00DD6F9E"/>
    <w:rsid w:val="00DD6FC4"/>
    <w:rsid w:val="00DD7508"/>
    <w:rsid w:val="00DD7549"/>
    <w:rsid w:val="00DD76C1"/>
    <w:rsid w:val="00DD76C4"/>
    <w:rsid w:val="00DD7845"/>
    <w:rsid w:val="00DD78B1"/>
    <w:rsid w:val="00DD790C"/>
    <w:rsid w:val="00DD7AFB"/>
    <w:rsid w:val="00DD7C24"/>
    <w:rsid w:val="00DD7D53"/>
    <w:rsid w:val="00DD7EA6"/>
    <w:rsid w:val="00DD7EFA"/>
    <w:rsid w:val="00DE00B4"/>
    <w:rsid w:val="00DE01E3"/>
    <w:rsid w:val="00DE02CA"/>
    <w:rsid w:val="00DE0829"/>
    <w:rsid w:val="00DE08A0"/>
    <w:rsid w:val="00DE08BE"/>
    <w:rsid w:val="00DE0ADE"/>
    <w:rsid w:val="00DE0B3F"/>
    <w:rsid w:val="00DE0CEA"/>
    <w:rsid w:val="00DE0E2E"/>
    <w:rsid w:val="00DE0E77"/>
    <w:rsid w:val="00DE0F10"/>
    <w:rsid w:val="00DE0F4A"/>
    <w:rsid w:val="00DE104B"/>
    <w:rsid w:val="00DE112A"/>
    <w:rsid w:val="00DE11C3"/>
    <w:rsid w:val="00DE134A"/>
    <w:rsid w:val="00DE159C"/>
    <w:rsid w:val="00DE188E"/>
    <w:rsid w:val="00DE18A0"/>
    <w:rsid w:val="00DE1A64"/>
    <w:rsid w:val="00DE1A93"/>
    <w:rsid w:val="00DE1B54"/>
    <w:rsid w:val="00DE1BD3"/>
    <w:rsid w:val="00DE1ECD"/>
    <w:rsid w:val="00DE2061"/>
    <w:rsid w:val="00DE22D6"/>
    <w:rsid w:val="00DE23D9"/>
    <w:rsid w:val="00DE23E0"/>
    <w:rsid w:val="00DE242B"/>
    <w:rsid w:val="00DE24C7"/>
    <w:rsid w:val="00DE254D"/>
    <w:rsid w:val="00DE2768"/>
    <w:rsid w:val="00DE27D5"/>
    <w:rsid w:val="00DE2B28"/>
    <w:rsid w:val="00DE2B4B"/>
    <w:rsid w:val="00DE2C9A"/>
    <w:rsid w:val="00DE2D16"/>
    <w:rsid w:val="00DE2DE6"/>
    <w:rsid w:val="00DE2E38"/>
    <w:rsid w:val="00DE2FBE"/>
    <w:rsid w:val="00DE2FC2"/>
    <w:rsid w:val="00DE3236"/>
    <w:rsid w:val="00DE3556"/>
    <w:rsid w:val="00DE3653"/>
    <w:rsid w:val="00DE3685"/>
    <w:rsid w:val="00DE374F"/>
    <w:rsid w:val="00DE37B4"/>
    <w:rsid w:val="00DE37D0"/>
    <w:rsid w:val="00DE3865"/>
    <w:rsid w:val="00DE38E2"/>
    <w:rsid w:val="00DE39CF"/>
    <w:rsid w:val="00DE3A34"/>
    <w:rsid w:val="00DE3C00"/>
    <w:rsid w:val="00DE3C64"/>
    <w:rsid w:val="00DE3D08"/>
    <w:rsid w:val="00DE3EE9"/>
    <w:rsid w:val="00DE4060"/>
    <w:rsid w:val="00DE41A6"/>
    <w:rsid w:val="00DE42B2"/>
    <w:rsid w:val="00DE4502"/>
    <w:rsid w:val="00DE45D8"/>
    <w:rsid w:val="00DE482D"/>
    <w:rsid w:val="00DE48AC"/>
    <w:rsid w:val="00DE48D3"/>
    <w:rsid w:val="00DE49AD"/>
    <w:rsid w:val="00DE4A4B"/>
    <w:rsid w:val="00DE4BE7"/>
    <w:rsid w:val="00DE4C0B"/>
    <w:rsid w:val="00DE4D13"/>
    <w:rsid w:val="00DE4DE4"/>
    <w:rsid w:val="00DE4E0D"/>
    <w:rsid w:val="00DE4ED4"/>
    <w:rsid w:val="00DE5018"/>
    <w:rsid w:val="00DE50C3"/>
    <w:rsid w:val="00DE5355"/>
    <w:rsid w:val="00DE5404"/>
    <w:rsid w:val="00DE5456"/>
    <w:rsid w:val="00DE5467"/>
    <w:rsid w:val="00DE571E"/>
    <w:rsid w:val="00DE5857"/>
    <w:rsid w:val="00DE58D8"/>
    <w:rsid w:val="00DE59C6"/>
    <w:rsid w:val="00DE59F1"/>
    <w:rsid w:val="00DE5A3D"/>
    <w:rsid w:val="00DE5BF7"/>
    <w:rsid w:val="00DE5C31"/>
    <w:rsid w:val="00DE5F09"/>
    <w:rsid w:val="00DE5FCD"/>
    <w:rsid w:val="00DE6461"/>
    <w:rsid w:val="00DE6572"/>
    <w:rsid w:val="00DE66F1"/>
    <w:rsid w:val="00DE68B7"/>
    <w:rsid w:val="00DE6B95"/>
    <w:rsid w:val="00DE6C55"/>
    <w:rsid w:val="00DE6C96"/>
    <w:rsid w:val="00DE6FAA"/>
    <w:rsid w:val="00DE71CF"/>
    <w:rsid w:val="00DE728A"/>
    <w:rsid w:val="00DE7703"/>
    <w:rsid w:val="00DE7957"/>
    <w:rsid w:val="00DE79EB"/>
    <w:rsid w:val="00DE7A6E"/>
    <w:rsid w:val="00DE7ACE"/>
    <w:rsid w:val="00DE7BBF"/>
    <w:rsid w:val="00DF0269"/>
    <w:rsid w:val="00DF047A"/>
    <w:rsid w:val="00DF067E"/>
    <w:rsid w:val="00DF06FC"/>
    <w:rsid w:val="00DF0745"/>
    <w:rsid w:val="00DF0886"/>
    <w:rsid w:val="00DF0A51"/>
    <w:rsid w:val="00DF0AF2"/>
    <w:rsid w:val="00DF0D35"/>
    <w:rsid w:val="00DF1074"/>
    <w:rsid w:val="00DF147F"/>
    <w:rsid w:val="00DF1531"/>
    <w:rsid w:val="00DF1823"/>
    <w:rsid w:val="00DF19CA"/>
    <w:rsid w:val="00DF1A11"/>
    <w:rsid w:val="00DF1ABC"/>
    <w:rsid w:val="00DF1B9D"/>
    <w:rsid w:val="00DF1C08"/>
    <w:rsid w:val="00DF1CD6"/>
    <w:rsid w:val="00DF1D8F"/>
    <w:rsid w:val="00DF1E1C"/>
    <w:rsid w:val="00DF1EBC"/>
    <w:rsid w:val="00DF1EE7"/>
    <w:rsid w:val="00DF1F4B"/>
    <w:rsid w:val="00DF2031"/>
    <w:rsid w:val="00DF20CF"/>
    <w:rsid w:val="00DF2156"/>
    <w:rsid w:val="00DF221D"/>
    <w:rsid w:val="00DF22E9"/>
    <w:rsid w:val="00DF2314"/>
    <w:rsid w:val="00DF234D"/>
    <w:rsid w:val="00DF235F"/>
    <w:rsid w:val="00DF2379"/>
    <w:rsid w:val="00DF24EA"/>
    <w:rsid w:val="00DF267D"/>
    <w:rsid w:val="00DF269B"/>
    <w:rsid w:val="00DF281D"/>
    <w:rsid w:val="00DF28EC"/>
    <w:rsid w:val="00DF2B4D"/>
    <w:rsid w:val="00DF2C64"/>
    <w:rsid w:val="00DF2CB0"/>
    <w:rsid w:val="00DF2DC6"/>
    <w:rsid w:val="00DF2E12"/>
    <w:rsid w:val="00DF2E42"/>
    <w:rsid w:val="00DF30EC"/>
    <w:rsid w:val="00DF30F6"/>
    <w:rsid w:val="00DF32B8"/>
    <w:rsid w:val="00DF339A"/>
    <w:rsid w:val="00DF356F"/>
    <w:rsid w:val="00DF35DB"/>
    <w:rsid w:val="00DF3837"/>
    <w:rsid w:val="00DF38ED"/>
    <w:rsid w:val="00DF3983"/>
    <w:rsid w:val="00DF3AE3"/>
    <w:rsid w:val="00DF3C59"/>
    <w:rsid w:val="00DF3CC9"/>
    <w:rsid w:val="00DF3EE4"/>
    <w:rsid w:val="00DF3F01"/>
    <w:rsid w:val="00DF3F08"/>
    <w:rsid w:val="00DF4001"/>
    <w:rsid w:val="00DF43A5"/>
    <w:rsid w:val="00DF43BC"/>
    <w:rsid w:val="00DF4466"/>
    <w:rsid w:val="00DF46D5"/>
    <w:rsid w:val="00DF47DA"/>
    <w:rsid w:val="00DF47FE"/>
    <w:rsid w:val="00DF486D"/>
    <w:rsid w:val="00DF4879"/>
    <w:rsid w:val="00DF48C3"/>
    <w:rsid w:val="00DF49DB"/>
    <w:rsid w:val="00DF4A67"/>
    <w:rsid w:val="00DF4B79"/>
    <w:rsid w:val="00DF4BB8"/>
    <w:rsid w:val="00DF4C81"/>
    <w:rsid w:val="00DF509C"/>
    <w:rsid w:val="00DF50B7"/>
    <w:rsid w:val="00DF514A"/>
    <w:rsid w:val="00DF51F0"/>
    <w:rsid w:val="00DF5205"/>
    <w:rsid w:val="00DF5225"/>
    <w:rsid w:val="00DF5359"/>
    <w:rsid w:val="00DF5367"/>
    <w:rsid w:val="00DF5376"/>
    <w:rsid w:val="00DF557D"/>
    <w:rsid w:val="00DF56BA"/>
    <w:rsid w:val="00DF5775"/>
    <w:rsid w:val="00DF57EA"/>
    <w:rsid w:val="00DF5A95"/>
    <w:rsid w:val="00DF5AD6"/>
    <w:rsid w:val="00DF5D2C"/>
    <w:rsid w:val="00DF5DFD"/>
    <w:rsid w:val="00DF60D5"/>
    <w:rsid w:val="00DF64D9"/>
    <w:rsid w:val="00DF6690"/>
    <w:rsid w:val="00DF678F"/>
    <w:rsid w:val="00DF6804"/>
    <w:rsid w:val="00DF68A3"/>
    <w:rsid w:val="00DF68E2"/>
    <w:rsid w:val="00DF69A0"/>
    <w:rsid w:val="00DF6C0E"/>
    <w:rsid w:val="00DF6EC2"/>
    <w:rsid w:val="00DF6EEE"/>
    <w:rsid w:val="00DF72DE"/>
    <w:rsid w:val="00DF73FF"/>
    <w:rsid w:val="00DF7791"/>
    <w:rsid w:val="00DF77F3"/>
    <w:rsid w:val="00DF79BB"/>
    <w:rsid w:val="00DF7A1E"/>
    <w:rsid w:val="00DF7B6E"/>
    <w:rsid w:val="00DF7CE8"/>
    <w:rsid w:val="00DF7F45"/>
    <w:rsid w:val="00DF7F54"/>
    <w:rsid w:val="00DF7FBA"/>
    <w:rsid w:val="00E000BE"/>
    <w:rsid w:val="00E000FD"/>
    <w:rsid w:val="00E001B3"/>
    <w:rsid w:val="00E001F9"/>
    <w:rsid w:val="00E00230"/>
    <w:rsid w:val="00E007E6"/>
    <w:rsid w:val="00E007FC"/>
    <w:rsid w:val="00E00A7E"/>
    <w:rsid w:val="00E00B55"/>
    <w:rsid w:val="00E00CBF"/>
    <w:rsid w:val="00E00D55"/>
    <w:rsid w:val="00E00D77"/>
    <w:rsid w:val="00E00E69"/>
    <w:rsid w:val="00E00F83"/>
    <w:rsid w:val="00E01029"/>
    <w:rsid w:val="00E011D8"/>
    <w:rsid w:val="00E011F3"/>
    <w:rsid w:val="00E0126F"/>
    <w:rsid w:val="00E012A8"/>
    <w:rsid w:val="00E014BB"/>
    <w:rsid w:val="00E015C1"/>
    <w:rsid w:val="00E0163A"/>
    <w:rsid w:val="00E01841"/>
    <w:rsid w:val="00E018F2"/>
    <w:rsid w:val="00E01911"/>
    <w:rsid w:val="00E01960"/>
    <w:rsid w:val="00E019C7"/>
    <w:rsid w:val="00E01A34"/>
    <w:rsid w:val="00E01AE6"/>
    <w:rsid w:val="00E01B25"/>
    <w:rsid w:val="00E01D7E"/>
    <w:rsid w:val="00E02025"/>
    <w:rsid w:val="00E0219F"/>
    <w:rsid w:val="00E022D0"/>
    <w:rsid w:val="00E02440"/>
    <w:rsid w:val="00E0269F"/>
    <w:rsid w:val="00E0273C"/>
    <w:rsid w:val="00E0299C"/>
    <w:rsid w:val="00E0299F"/>
    <w:rsid w:val="00E02A0D"/>
    <w:rsid w:val="00E02AE1"/>
    <w:rsid w:val="00E02BB0"/>
    <w:rsid w:val="00E02C0B"/>
    <w:rsid w:val="00E02C19"/>
    <w:rsid w:val="00E02D03"/>
    <w:rsid w:val="00E02DB5"/>
    <w:rsid w:val="00E02DBA"/>
    <w:rsid w:val="00E02DF1"/>
    <w:rsid w:val="00E02EBC"/>
    <w:rsid w:val="00E02F3F"/>
    <w:rsid w:val="00E030ED"/>
    <w:rsid w:val="00E0310B"/>
    <w:rsid w:val="00E03216"/>
    <w:rsid w:val="00E0322D"/>
    <w:rsid w:val="00E0329B"/>
    <w:rsid w:val="00E0352A"/>
    <w:rsid w:val="00E0358D"/>
    <w:rsid w:val="00E037E7"/>
    <w:rsid w:val="00E03AE0"/>
    <w:rsid w:val="00E03BFA"/>
    <w:rsid w:val="00E03C9E"/>
    <w:rsid w:val="00E03CB5"/>
    <w:rsid w:val="00E03DDB"/>
    <w:rsid w:val="00E04175"/>
    <w:rsid w:val="00E04323"/>
    <w:rsid w:val="00E04380"/>
    <w:rsid w:val="00E043DE"/>
    <w:rsid w:val="00E0450C"/>
    <w:rsid w:val="00E04612"/>
    <w:rsid w:val="00E046E7"/>
    <w:rsid w:val="00E0482C"/>
    <w:rsid w:val="00E04947"/>
    <w:rsid w:val="00E04A81"/>
    <w:rsid w:val="00E04AC6"/>
    <w:rsid w:val="00E04C3C"/>
    <w:rsid w:val="00E04D42"/>
    <w:rsid w:val="00E04D90"/>
    <w:rsid w:val="00E04DCD"/>
    <w:rsid w:val="00E04EF8"/>
    <w:rsid w:val="00E05049"/>
    <w:rsid w:val="00E050EB"/>
    <w:rsid w:val="00E05264"/>
    <w:rsid w:val="00E05446"/>
    <w:rsid w:val="00E0556B"/>
    <w:rsid w:val="00E056A2"/>
    <w:rsid w:val="00E05705"/>
    <w:rsid w:val="00E05807"/>
    <w:rsid w:val="00E058DA"/>
    <w:rsid w:val="00E05AAC"/>
    <w:rsid w:val="00E05AC5"/>
    <w:rsid w:val="00E05B37"/>
    <w:rsid w:val="00E05BC2"/>
    <w:rsid w:val="00E05BCA"/>
    <w:rsid w:val="00E05C4B"/>
    <w:rsid w:val="00E05C75"/>
    <w:rsid w:val="00E05CDC"/>
    <w:rsid w:val="00E05CEC"/>
    <w:rsid w:val="00E05DD6"/>
    <w:rsid w:val="00E05DE8"/>
    <w:rsid w:val="00E05FEE"/>
    <w:rsid w:val="00E061A1"/>
    <w:rsid w:val="00E0625A"/>
    <w:rsid w:val="00E06291"/>
    <w:rsid w:val="00E06322"/>
    <w:rsid w:val="00E063D2"/>
    <w:rsid w:val="00E066D7"/>
    <w:rsid w:val="00E068DE"/>
    <w:rsid w:val="00E06BCB"/>
    <w:rsid w:val="00E06BE1"/>
    <w:rsid w:val="00E06BF8"/>
    <w:rsid w:val="00E06D23"/>
    <w:rsid w:val="00E06DA9"/>
    <w:rsid w:val="00E06F22"/>
    <w:rsid w:val="00E0700C"/>
    <w:rsid w:val="00E070A2"/>
    <w:rsid w:val="00E071D6"/>
    <w:rsid w:val="00E0739E"/>
    <w:rsid w:val="00E07518"/>
    <w:rsid w:val="00E0763B"/>
    <w:rsid w:val="00E077CA"/>
    <w:rsid w:val="00E0788F"/>
    <w:rsid w:val="00E078F2"/>
    <w:rsid w:val="00E0794C"/>
    <w:rsid w:val="00E079E4"/>
    <w:rsid w:val="00E07A75"/>
    <w:rsid w:val="00E07D3E"/>
    <w:rsid w:val="00E07FFB"/>
    <w:rsid w:val="00E1010B"/>
    <w:rsid w:val="00E101D4"/>
    <w:rsid w:val="00E10201"/>
    <w:rsid w:val="00E10243"/>
    <w:rsid w:val="00E102C4"/>
    <w:rsid w:val="00E10379"/>
    <w:rsid w:val="00E103BA"/>
    <w:rsid w:val="00E1047D"/>
    <w:rsid w:val="00E104A2"/>
    <w:rsid w:val="00E10607"/>
    <w:rsid w:val="00E10834"/>
    <w:rsid w:val="00E10B0E"/>
    <w:rsid w:val="00E10B70"/>
    <w:rsid w:val="00E11073"/>
    <w:rsid w:val="00E114EA"/>
    <w:rsid w:val="00E116C5"/>
    <w:rsid w:val="00E117A7"/>
    <w:rsid w:val="00E117B0"/>
    <w:rsid w:val="00E11802"/>
    <w:rsid w:val="00E11895"/>
    <w:rsid w:val="00E1195F"/>
    <w:rsid w:val="00E11B78"/>
    <w:rsid w:val="00E11B9B"/>
    <w:rsid w:val="00E11BB8"/>
    <w:rsid w:val="00E11BC4"/>
    <w:rsid w:val="00E11C1C"/>
    <w:rsid w:val="00E11CB0"/>
    <w:rsid w:val="00E11D80"/>
    <w:rsid w:val="00E11FE4"/>
    <w:rsid w:val="00E1214F"/>
    <w:rsid w:val="00E12171"/>
    <w:rsid w:val="00E12230"/>
    <w:rsid w:val="00E12233"/>
    <w:rsid w:val="00E122B0"/>
    <w:rsid w:val="00E12330"/>
    <w:rsid w:val="00E12334"/>
    <w:rsid w:val="00E124D7"/>
    <w:rsid w:val="00E12551"/>
    <w:rsid w:val="00E12736"/>
    <w:rsid w:val="00E12859"/>
    <w:rsid w:val="00E128D5"/>
    <w:rsid w:val="00E12A7B"/>
    <w:rsid w:val="00E12A84"/>
    <w:rsid w:val="00E12E33"/>
    <w:rsid w:val="00E12E44"/>
    <w:rsid w:val="00E12E8E"/>
    <w:rsid w:val="00E132FF"/>
    <w:rsid w:val="00E1334F"/>
    <w:rsid w:val="00E133C5"/>
    <w:rsid w:val="00E133D1"/>
    <w:rsid w:val="00E13657"/>
    <w:rsid w:val="00E1369B"/>
    <w:rsid w:val="00E139C9"/>
    <w:rsid w:val="00E13B47"/>
    <w:rsid w:val="00E13CC1"/>
    <w:rsid w:val="00E13EB4"/>
    <w:rsid w:val="00E13F1F"/>
    <w:rsid w:val="00E141F6"/>
    <w:rsid w:val="00E14374"/>
    <w:rsid w:val="00E143A7"/>
    <w:rsid w:val="00E144C3"/>
    <w:rsid w:val="00E145CF"/>
    <w:rsid w:val="00E14634"/>
    <w:rsid w:val="00E1470D"/>
    <w:rsid w:val="00E1496A"/>
    <w:rsid w:val="00E14A22"/>
    <w:rsid w:val="00E14A57"/>
    <w:rsid w:val="00E14CE5"/>
    <w:rsid w:val="00E14EA4"/>
    <w:rsid w:val="00E150DE"/>
    <w:rsid w:val="00E15392"/>
    <w:rsid w:val="00E153BC"/>
    <w:rsid w:val="00E156A6"/>
    <w:rsid w:val="00E1578A"/>
    <w:rsid w:val="00E157B6"/>
    <w:rsid w:val="00E157FE"/>
    <w:rsid w:val="00E158A8"/>
    <w:rsid w:val="00E159B9"/>
    <w:rsid w:val="00E15A2F"/>
    <w:rsid w:val="00E15AD2"/>
    <w:rsid w:val="00E15AE0"/>
    <w:rsid w:val="00E15B97"/>
    <w:rsid w:val="00E15E6E"/>
    <w:rsid w:val="00E16140"/>
    <w:rsid w:val="00E1625A"/>
    <w:rsid w:val="00E16292"/>
    <w:rsid w:val="00E163EE"/>
    <w:rsid w:val="00E1658E"/>
    <w:rsid w:val="00E16690"/>
    <w:rsid w:val="00E166B8"/>
    <w:rsid w:val="00E169DB"/>
    <w:rsid w:val="00E169EE"/>
    <w:rsid w:val="00E16ACD"/>
    <w:rsid w:val="00E16BC9"/>
    <w:rsid w:val="00E16BF0"/>
    <w:rsid w:val="00E16CE2"/>
    <w:rsid w:val="00E16E8E"/>
    <w:rsid w:val="00E16E98"/>
    <w:rsid w:val="00E17693"/>
    <w:rsid w:val="00E17773"/>
    <w:rsid w:val="00E177F9"/>
    <w:rsid w:val="00E179A9"/>
    <w:rsid w:val="00E17A8D"/>
    <w:rsid w:val="00E17AE6"/>
    <w:rsid w:val="00E17BA4"/>
    <w:rsid w:val="00E17C62"/>
    <w:rsid w:val="00E17D4C"/>
    <w:rsid w:val="00E17D53"/>
    <w:rsid w:val="00E17EA6"/>
    <w:rsid w:val="00E2014C"/>
    <w:rsid w:val="00E2016F"/>
    <w:rsid w:val="00E20271"/>
    <w:rsid w:val="00E203C7"/>
    <w:rsid w:val="00E2065D"/>
    <w:rsid w:val="00E20924"/>
    <w:rsid w:val="00E2092D"/>
    <w:rsid w:val="00E20AE3"/>
    <w:rsid w:val="00E20BA8"/>
    <w:rsid w:val="00E20D8F"/>
    <w:rsid w:val="00E20E02"/>
    <w:rsid w:val="00E20E84"/>
    <w:rsid w:val="00E20EF5"/>
    <w:rsid w:val="00E20FF3"/>
    <w:rsid w:val="00E211A7"/>
    <w:rsid w:val="00E211C5"/>
    <w:rsid w:val="00E211F1"/>
    <w:rsid w:val="00E21281"/>
    <w:rsid w:val="00E21495"/>
    <w:rsid w:val="00E217D0"/>
    <w:rsid w:val="00E21862"/>
    <w:rsid w:val="00E2190F"/>
    <w:rsid w:val="00E21AA9"/>
    <w:rsid w:val="00E21AB9"/>
    <w:rsid w:val="00E21C10"/>
    <w:rsid w:val="00E21C35"/>
    <w:rsid w:val="00E21D65"/>
    <w:rsid w:val="00E21DB7"/>
    <w:rsid w:val="00E21F6E"/>
    <w:rsid w:val="00E22003"/>
    <w:rsid w:val="00E22027"/>
    <w:rsid w:val="00E2206D"/>
    <w:rsid w:val="00E220D8"/>
    <w:rsid w:val="00E221FC"/>
    <w:rsid w:val="00E22201"/>
    <w:rsid w:val="00E222CD"/>
    <w:rsid w:val="00E2241D"/>
    <w:rsid w:val="00E22580"/>
    <w:rsid w:val="00E225E6"/>
    <w:rsid w:val="00E22785"/>
    <w:rsid w:val="00E227AE"/>
    <w:rsid w:val="00E2290A"/>
    <w:rsid w:val="00E22942"/>
    <w:rsid w:val="00E22BED"/>
    <w:rsid w:val="00E22C20"/>
    <w:rsid w:val="00E22C86"/>
    <w:rsid w:val="00E22CA0"/>
    <w:rsid w:val="00E22CA5"/>
    <w:rsid w:val="00E22CB6"/>
    <w:rsid w:val="00E22EBF"/>
    <w:rsid w:val="00E22F03"/>
    <w:rsid w:val="00E22FC1"/>
    <w:rsid w:val="00E230C0"/>
    <w:rsid w:val="00E232A2"/>
    <w:rsid w:val="00E234C7"/>
    <w:rsid w:val="00E234EE"/>
    <w:rsid w:val="00E236B0"/>
    <w:rsid w:val="00E237BD"/>
    <w:rsid w:val="00E237DE"/>
    <w:rsid w:val="00E23803"/>
    <w:rsid w:val="00E23828"/>
    <w:rsid w:val="00E23841"/>
    <w:rsid w:val="00E238FC"/>
    <w:rsid w:val="00E239E5"/>
    <w:rsid w:val="00E23A9A"/>
    <w:rsid w:val="00E23AB5"/>
    <w:rsid w:val="00E23B6F"/>
    <w:rsid w:val="00E23CE7"/>
    <w:rsid w:val="00E23E01"/>
    <w:rsid w:val="00E240F3"/>
    <w:rsid w:val="00E241A8"/>
    <w:rsid w:val="00E24340"/>
    <w:rsid w:val="00E24391"/>
    <w:rsid w:val="00E24507"/>
    <w:rsid w:val="00E245E5"/>
    <w:rsid w:val="00E24892"/>
    <w:rsid w:val="00E24949"/>
    <w:rsid w:val="00E249A4"/>
    <w:rsid w:val="00E24B14"/>
    <w:rsid w:val="00E24C79"/>
    <w:rsid w:val="00E24E2D"/>
    <w:rsid w:val="00E24E87"/>
    <w:rsid w:val="00E24F9F"/>
    <w:rsid w:val="00E2503E"/>
    <w:rsid w:val="00E25081"/>
    <w:rsid w:val="00E250F2"/>
    <w:rsid w:val="00E2510E"/>
    <w:rsid w:val="00E251AC"/>
    <w:rsid w:val="00E251B9"/>
    <w:rsid w:val="00E251E2"/>
    <w:rsid w:val="00E253D0"/>
    <w:rsid w:val="00E25624"/>
    <w:rsid w:val="00E2580B"/>
    <w:rsid w:val="00E25831"/>
    <w:rsid w:val="00E25920"/>
    <w:rsid w:val="00E25B5F"/>
    <w:rsid w:val="00E25C66"/>
    <w:rsid w:val="00E25C96"/>
    <w:rsid w:val="00E25D15"/>
    <w:rsid w:val="00E25D2C"/>
    <w:rsid w:val="00E25D44"/>
    <w:rsid w:val="00E25E24"/>
    <w:rsid w:val="00E25E7E"/>
    <w:rsid w:val="00E25EDC"/>
    <w:rsid w:val="00E25F1A"/>
    <w:rsid w:val="00E25F87"/>
    <w:rsid w:val="00E2605D"/>
    <w:rsid w:val="00E26168"/>
    <w:rsid w:val="00E261B7"/>
    <w:rsid w:val="00E2627B"/>
    <w:rsid w:val="00E26427"/>
    <w:rsid w:val="00E26456"/>
    <w:rsid w:val="00E264FE"/>
    <w:rsid w:val="00E2656A"/>
    <w:rsid w:val="00E2658B"/>
    <w:rsid w:val="00E265E7"/>
    <w:rsid w:val="00E26716"/>
    <w:rsid w:val="00E26722"/>
    <w:rsid w:val="00E268BA"/>
    <w:rsid w:val="00E26A65"/>
    <w:rsid w:val="00E26B98"/>
    <w:rsid w:val="00E26C98"/>
    <w:rsid w:val="00E26CDE"/>
    <w:rsid w:val="00E26DF4"/>
    <w:rsid w:val="00E26F8F"/>
    <w:rsid w:val="00E26FBA"/>
    <w:rsid w:val="00E270D6"/>
    <w:rsid w:val="00E272A9"/>
    <w:rsid w:val="00E273DB"/>
    <w:rsid w:val="00E273DE"/>
    <w:rsid w:val="00E275FE"/>
    <w:rsid w:val="00E276E5"/>
    <w:rsid w:val="00E2776C"/>
    <w:rsid w:val="00E27842"/>
    <w:rsid w:val="00E27A85"/>
    <w:rsid w:val="00E27B04"/>
    <w:rsid w:val="00E27BAD"/>
    <w:rsid w:val="00E27CFB"/>
    <w:rsid w:val="00E27D1E"/>
    <w:rsid w:val="00E27F1F"/>
    <w:rsid w:val="00E27FB4"/>
    <w:rsid w:val="00E300F8"/>
    <w:rsid w:val="00E3011C"/>
    <w:rsid w:val="00E30122"/>
    <w:rsid w:val="00E30253"/>
    <w:rsid w:val="00E302BC"/>
    <w:rsid w:val="00E302BF"/>
    <w:rsid w:val="00E30457"/>
    <w:rsid w:val="00E305AD"/>
    <w:rsid w:val="00E30674"/>
    <w:rsid w:val="00E30688"/>
    <w:rsid w:val="00E3081D"/>
    <w:rsid w:val="00E30863"/>
    <w:rsid w:val="00E30922"/>
    <w:rsid w:val="00E31019"/>
    <w:rsid w:val="00E31233"/>
    <w:rsid w:val="00E312A8"/>
    <w:rsid w:val="00E312F0"/>
    <w:rsid w:val="00E31351"/>
    <w:rsid w:val="00E31452"/>
    <w:rsid w:val="00E31482"/>
    <w:rsid w:val="00E31501"/>
    <w:rsid w:val="00E31544"/>
    <w:rsid w:val="00E31749"/>
    <w:rsid w:val="00E31819"/>
    <w:rsid w:val="00E3191D"/>
    <w:rsid w:val="00E31BF7"/>
    <w:rsid w:val="00E31D0B"/>
    <w:rsid w:val="00E31D5B"/>
    <w:rsid w:val="00E31DCC"/>
    <w:rsid w:val="00E31FA8"/>
    <w:rsid w:val="00E31FFD"/>
    <w:rsid w:val="00E3257A"/>
    <w:rsid w:val="00E3267A"/>
    <w:rsid w:val="00E32783"/>
    <w:rsid w:val="00E32803"/>
    <w:rsid w:val="00E3284B"/>
    <w:rsid w:val="00E32851"/>
    <w:rsid w:val="00E32908"/>
    <w:rsid w:val="00E3291F"/>
    <w:rsid w:val="00E32971"/>
    <w:rsid w:val="00E3299A"/>
    <w:rsid w:val="00E329DF"/>
    <w:rsid w:val="00E32A95"/>
    <w:rsid w:val="00E32AA2"/>
    <w:rsid w:val="00E32D38"/>
    <w:rsid w:val="00E33068"/>
    <w:rsid w:val="00E336B4"/>
    <w:rsid w:val="00E33844"/>
    <w:rsid w:val="00E338A0"/>
    <w:rsid w:val="00E338F6"/>
    <w:rsid w:val="00E339F6"/>
    <w:rsid w:val="00E33AF3"/>
    <w:rsid w:val="00E33C0D"/>
    <w:rsid w:val="00E33E7E"/>
    <w:rsid w:val="00E33EFE"/>
    <w:rsid w:val="00E33FEB"/>
    <w:rsid w:val="00E34064"/>
    <w:rsid w:val="00E340A0"/>
    <w:rsid w:val="00E342B0"/>
    <w:rsid w:val="00E343AB"/>
    <w:rsid w:val="00E343FB"/>
    <w:rsid w:val="00E3462C"/>
    <w:rsid w:val="00E3468C"/>
    <w:rsid w:val="00E34784"/>
    <w:rsid w:val="00E3483C"/>
    <w:rsid w:val="00E34977"/>
    <w:rsid w:val="00E34A2D"/>
    <w:rsid w:val="00E34AFD"/>
    <w:rsid w:val="00E34BD2"/>
    <w:rsid w:val="00E34D5E"/>
    <w:rsid w:val="00E34ED0"/>
    <w:rsid w:val="00E34EE1"/>
    <w:rsid w:val="00E34F07"/>
    <w:rsid w:val="00E350D4"/>
    <w:rsid w:val="00E3519D"/>
    <w:rsid w:val="00E3541A"/>
    <w:rsid w:val="00E3544A"/>
    <w:rsid w:val="00E3545C"/>
    <w:rsid w:val="00E35469"/>
    <w:rsid w:val="00E357DF"/>
    <w:rsid w:val="00E35869"/>
    <w:rsid w:val="00E358A4"/>
    <w:rsid w:val="00E358EF"/>
    <w:rsid w:val="00E35B80"/>
    <w:rsid w:val="00E35BDD"/>
    <w:rsid w:val="00E35BF3"/>
    <w:rsid w:val="00E35D16"/>
    <w:rsid w:val="00E35D64"/>
    <w:rsid w:val="00E35F32"/>
    <w:rsid w:val="00E35F63"/>
    <w:rsid w:val="00E3606E"/>
    <w:rsid w:val="00E3628E"/>
    <w:rsid w:val="00E362BD"/>
    <w:rsid w:val="00E363A2"/>
    <w:rsid w:val="00E36776"/>
    <w:rsid w:val="00E36883"/>
    <w:rsid w:val="00E36A79"/>
    <w:rsid w:val="00E36AB5"/>
    <w:rsid w:val="00E36C0D"/>
    <w:rsid w:val="00E36C69"/>
    <w:rsid w:val="00E36C91"/>
    <w:rsid w:val="00E36DDF"/>
    <w:rsid w:val="00E36E25"/>
    <w:rsid w:val="00E36E3C"/>
    <w:rsid w:val="00E36E49"/>
    <w:rsid w:val="00E36E4A"/>
    <w:rsid w:val="00E36EB6"/>
    <w:rsid w:val="00E36F46"/>
    <w:rsid w:val="00E3713A"/>
    <w:rsid w:val="00E371F3"/>
    <w:rsid w:val="00E37207"/>
    <w:rsid w:val="00E3721E"/>
    <w:rsid w:val="00E373AB"/>
    <w:rsid w:val="00E374A8"/>
    <w:rsid w:val="00E375D6"/>
    <w:rsid w:val="00E375E1"/>
    <w:rsid w:val="00E377C9"/>
    <w:rsid w:val="00E3781A"/>
    <w:rsid w:val="00E37875"/>
    <w:rsid w:val="00E37944"/>
    <w:rsid w:val="00E37991"/>
    <w:rsid w:val="00E37B15"/>
    <w:rsid w:val="00E37C5B"/>
    <w:rsid w:val="00E37CCA"/>
    <w:rsid w:val="00E37DBD"/>
    <w:rsid w:val="00E37F25"/>
    <w:rsid w:val="00E37FB6"/>
    <w:rsid w:val="00E40096"/>
    <w:rsid w:val="00E40104"/>
    <w:rsid w:val="00E40111"/>
    <w:rsid w:val="00E4025F"/>
    <w:rsid w:val="00E403A5"/>
    <w:rsid w:val="00E4047F"/>
    <w:rsid w:val="00E4081F"/>
    <w:rsid w:val="00E40B60"/>
    <w:rsid w:val="00E40C00"/>
    <w:rsid w:val="00E40C90"/>
    <w:rsid w:val="00E40E49"/>
    <w:rsid w:val="00E410D5"/>
    <w:rsid w:val="00E41121"/>
    <w:rsid w:val="00E411D1"/>
    <w:rsid w:val="00E41234"/>
    <w:rsid w:val="00E412D0"/>
    <w:rsid w:val="00E4135A"/>
    <w:rsid w:val="00E4156F"/>
    <w:rsid w:val="00E416D2"/>
    <w:rsid w:val="00E4171A"/>
    <w:rsid w:val="00E418BE"/>
    <w:rsid w:val="00E418DD"/>
    <w:rsid w:val="00E418FC"/>
    <w:rsid w:val="00E41DDB"/>
    <w:rsid w:val="00E41E5B"/>
    <w:rsid w:val="00E41EC1"/>
    <w:rsid w:val="00E4209C"/>
    <w:rsid w:val="00E421C9"/>
    <w:rsid w:val="00E42255"/>
    <w:rsid w:val="00E4237C"/>
    <w:rsid w:val="00E42509"/>
    <w:rsid w:val="00E426A6"/>
    <w:rsid w:val="00E42737"/>
    <w:rsid w:val="00E4278D"/>
    <w:rsid w:val="00E42856"/>
    <w:rsid w:val="00E42A4C"/>
    <w:rsid w:val="00E42B3C"/>
    <w:rsid w:val="00E42B4C"/>
    <w:rsid w:val="00E42C54"/>
    <w:rsid w:val="00E42DBB"/>
    <w:rsid w:val="00E42E4D"/>
    <w:rsid w:val="00E43059"/>
    <w:rsid w:val="00E43266"/>
    <w:rsid w:val="00E4326A"/>
    <w:rsid w:val="00E4326F"/>
    <w:rsid w:val="00E4334C"/>
    <w:rsid w:val="00E43367"/>
    <w:rsid w:val="00E433F6"/>
    <w:rsid w:val="00E4348B"/>
    <w:rsid w:val="00E43543"/>
    <w:rsid w:val="00E43544"/>
    <w:rsid w:val="00E43618"/>
    <w:rsid w:val="00E4363B"/>
    <w:rsid w:val="00E436CC"/>
    <w:rsid w:val="00E43976"/>
    <w:rsid w:val="00E43A3C"/>
    <w:rsid w:val="00E43BEE"/>
    <w:rsid w:val="00E43C08"/>
    <w:rsid w:val="00E43C20"/>
    <w:rsid w:val="00E43D11"/>
    <w:rsid w:val="00E43D5B"/>
    <w:rsid w:val="00E43E33"/>
    <w:rsid w:val="00E43F37"/>
    <w:rsid w:val="00E44261"/>
    <w:rsid w:val="00E4432C"/>
    <w:rsid w:val="00E44782"/>
    <w:rsid w:val="00E44959"/>
    <w:rsid w:val="00E44B3F"/>
    <w:rsid w:val="00E44B57"/>
    <w:rsid w:val="00E44BB3"/>
    <w:rsid w:val="00E44C12"/>
    <w:rsid w:val="00E44CFE"/>
    <w:rsid w:val="00E44E33"/>
    <w:rsid w:val="00E45137"/>
    <w:rsid w:val="00E45271"/>
    <w:rsid w:val="00E4535B"/>
    <w:rsid w:val="00E45393"/>
    <w:rsid w:val="00E45486"/>
    <w:rsid w:val="00E45548"/>
    <w:rsid w:val="00E45594"/>
    <w:rsid w:val="00E45890"/>
    <w:rsid w:val="00E45904"/>
    <w:rsid w:val="00E45A1B"/>
    <w:rsid w:val="00E45BA2"/>
    <w:rsid w:val="00E45CCF"/>
    <w:rsid w:val="00E45F01"/>
    <w:rsid w:val="00E46145"/>
    <w:rsid w:val="00E4620B"/>
    <w:rsid w:val="00E464AB"/>
    <w:rsid w:val="00E46517"/>
    <w:rsid w:val="00E46562"/>
    <w:rsid w:val="00E46577"/>
    <w:rsid w:val="00E46755"/>
    <w:rsid w:val="00E468E3"/>
    <w:rsid w:val="00E46A8C"/>
    <w:rsid w:val="00E46C02"/>
    <w:rsid w:val="00E46CAA"/>
    <w:rsid w:val="00E46D2D"/>
    <w:rsid w:val="00E47040"/>
    <w:rsid w:val="00E47070"/>
    <w:rsid w:val="00E472E2"/>
    <w:rsid w:val="00E47372"/>
    <w:rsid w:val="00E474AC"/>
    <w:rsid w:val="00E475C8"/>
    <w:rsid w:val="00E476DC"/>
    <w:rsid w:val="00E478FD"/>
    <w:rsid w:val="00E47BCE"/>
    <w:rsid w:val="00E47E24"/>
    <w:rsid w:val="00E47E5A"/>
    <w:rsid w:val="00E501BF"/>
    <w:rsid w:val="00E502EF"/>
    <w:rsid w:val="00E5037F"/>
    <w:rsid w:val="00E504F1"/>
    <w:rsid w:val="00E50581"/>
    <w:rsid w:val="00E505F3"/>
    <w:rsid w:val="00E50724"/>
    <w:rsid w:val="00E50812"/>
    <w:rsid w:val="00E50B11"/>
    <w:rsid w:val="00E50CB3"/>
    <w:rsid w:val="00E50E0F"/>
    <w:rsid w:val="00E50E2C"/>
    <w:rsid w:val="00E50F0C"/>
    <w:rsid w:val="00E50F34"/>
    <w:rsid w:val="00E50F6D"/>
    <w:rsid w:val="00E50F97"/>
    <w:rsid w:val="00E512C2"/>
    <w:rsid w:val="00E513E6"/>
    <w:rsid w:val="00E51446"/>
    <w:rsid w:val="00E514E3"/>
    <w:rsid w:val="00E5154E"/>
    <w:rsid w:val="00E51672"/>
    <w:rsid w:val="00E51684"/>
    <w:rsid w:val="00E5169D"/>
    <w:rsid w:val="00E51741"/>
    <w:rsid w:val="00E51946"/>
    <w:rsid w:val="00E51B11"/>
    <w:rsid w:val="00E51C04"/>
    <w:rsid w:val="00E51CDC"/>
    <w:rsid w:val="00E51FC0"/>
    <w:rsid w:val="00E5206D"/>
    <w:rsid w:val="00E5222A"/>
    <w:rsid w:val="00E523EB"/>
    <w:rsid w:val="00E5254F"/>
    <w:rsid w:val="00E5272D"/>
    <w:rsid w:val="00E527BA"/>
    <w:rsid w:val="00E5282E"/>
    <w:rsid w:val="00E5289C"/>
    <w:rsid w:val="00E5298D"/>
    <w:rsid w:val="00E52C25"/>
    <w:rsid w:val="00E52EF6"/>
    <w:rsid w:val="00E5301C"/>
    <w:rsid w:val="00E530C6"/>
    <w:rsid w:val="00E5322A"/>
    <w:rsid w:val="00E5339F"/>
    <w:rsid w:val="00E53434"/>
    <w:rsid w:val="00E53601"/>
    <w:rsid w:val="00E5377C"/>
    <w:rsid w:val="00E53B25"/>
    <w:rsid w:val="00E53CF8"/>
    <w:rsid w:val="00E53D23"/>
    <w:rsid w:val="00E53D37"/>
    <w:rsid w:val="00E53D80"/>
    <w:rsid w:val="00E53F5D"/>
    <w:rsid w:val="00E53F84"/>
    <w:rsid w:val="00E53F8C"/>
    <w:rsid w:val="00E54126"/>
    <w:rsid w:val="00E54220"/>
    <w:rsid w:val="00E5427E"/>
    <w:rsid w:val="00E544DB"/>
    <w:rsid w:val="00E5473E"/>
    <w:rsid w:val="00E549EC"/>
    <w:rsid w:val="00E54B1B"/>
    <w:rsid w:val="00E54B76"/>
    <w:rsid w:val="00E54BDD"/>
    <w:rsid w:val="00E54C23"/>
    <w:rsid w:val="00E54CC2"/>
    <w:rsid w:val="00E54DBA"/>
    <w:rsid w:val="00E54EB7"/>
    <w:rsid w:val="00E5504D"/>
    <w:rsid w:val="00E5533F"/>
    <w:rsid w:val="00E55494"/>
    <w:rsid w:val="00E55783"/>
    <w:rsid w:val="00E5582A"/>
    <w:rsid w:val="00E55ABE"/>
    <w:rsid w:val="00E55B06"/>
    <w:rsid w:val="00E55C27"/>
    <w:rsid w:val="00E55E8D"/>
    <w:rsid w:val="00E55EB5"/>
    <w:rsid w:val="00E55EBE"/>
    <w:rsid w:val="00E55EE9"/>
    <w:rsid w:val="00E55F46"/>
    <w:rsid w:val="00E55FC0"/>
    <w:rsid w:val="00E562E2"/>
    <w:rsid w:val="00E56322"/>
    <w:rsid w:val="00E56457"/>
    <w:rsid w:val="00E56589"/>
    <w:rsid w:val="00E566C3"/>
    <w:rsid w:val="00E567FF"/>
    <w:rsid w:val="00E56809"/>
    <w:rsid w:val="00E56AB6"/>
    <w:rsid w:val="00E56AE0"/>
    <w:rsid w:val="00E56B18"/>
    <w:rsid w:val="00E56DB1"/>
    <w:rsid w:val="00E56E05"/>
    <w:rsid w:val="00E56EC0"/>
    <w:rsid w:val="00E57055"/>
    <w:rsid w:val="00E570E9"/>
    <w:rsid w:val="00E575A8"/>
    <w:rsid w:val="00E57656"/>
    <w:rsid w:val="00E5766C"/>
    <w:rsid w:val="00E57680"/>
    <w:rsid w:val="00E57701"/>
    <w:rsid w:val="00E5782B"/>
    <w:rsid w:val="00E578C1"/>
    <w:rsid w:val="00E579CE"/>
    <w:rsid w:val="00E579DD"/>
    <w:rsid w:val="00E57C45"/>
    <w:rsid w:val="00E57E22"/>
    <w:rsid w:val="00E57E29"/>
    <w:rsid w:val="00E57ED9"/>
    <w:rsid w:val="00E57F87"/>
    <w:rsid w:val="00E6012F"/>
    <w:rsid w:val="00E602EA"/>
    <w:rsid w:val="00E60336"/>
    <w:rsid w:val="00E605F2"/>
    <w:rsid w:val="00E606EC"/>
    <w:rsid w:val="00E608A2"/>
    <w:rsid w:val="00E60982"/>
    <w:rsid w:val="00E60B26"/>
    <w:rsid w:val="00E60BC1"/>
    <w:rsid w:val="00E60D94"/>
    <w:rsid w:val="00E60E07"/>
    <w:rsid w:val="00E6104B"/>
    <w:rsid w:val="00E61092"/>
    <w:rsid w:val="00E6109D"/>
    <w:rsid w:val="00E61298"/>
    <w:rsid w:val="00E61329"/>
    <w:rsid w:val="00E6133B"/>
    <w:rsid w:val="00E613D0"/>
    <w:rsid w:val="00E6155A"/>
    <w:rsid w:val="00E61753"/>
    <w:rsid w:val="00E617B1"/>
    <w:rsid w:val="00E61851"/>
    <w:rsid w:val="00E618EB"/>
    <w:rsid w:val="00E61A71"/>
    <w:rsid w:val="00E61A83"/>
    <w:rsid w:val="00E61C29"/>
    <w:rsid w:val="00E61CD1"/>
    <w:rsid w:val="00E61D53"/>
    <w:rsid w:val="00E61DB5"/>
    <w:rsid w:val="00E61DC6"/>
    <w:rsid w:val="00E61E43"/>
    <w:rsid w:val="00E62026"/>
    <w:rsid w:val="00E6207B"/>
    <w:rsid w:val="00E62174"/>
    <w:rsid w:val="00E6219E"/>
    <w:rsid w:val="00E621A0"/>
    <w:rsid w:val="00E62311"/>
    <w:rsid w:val="00E62374"/>
    <w:rsid w:val="00E624F8"/>
    <w:rsid w:val="00E626A2"/>
    <w:rsid w:val="00E627B4"/>
    <w:rsid w:val="00E62828"/>
    <w:rsid w:val="00E628B8"/>
    <w:rsid w:val="00E62A0E"/>
    <w:rsid w:val="00E62C62"/>
    <w:rsid w:val="00E62CBF"/>
    <w:rsid w:val="00E62D82"/>
    <w:rsid w:val="00E6306B"/>
    <w:rsid w:val="00E6316A"/>
    <w:rsid w:val="00E6318F"/>
    <w:rsid w:val="00E63383"/>
    <w:rsid w:val="00E6358C"/>
    <w:rsid w:val="00E6363D"/>
    <w:rsid w:val="00E6373B"/>
    <w:rsid w:val="00E6375E"/>
    <w:rsid w:val="00E637DA"/>
    <w:rsid w:val="00E637DE"/>
    <w:rsid w:val="00E63862"/>
    <w:rsid w:val="00E63942"/>
    <w:rsid w:val="00E639A2"/>
    <w:rsid w:val="00E63A03"/>
    <w:rsid w:val="00E63AE1"/>
    <w:rsid w:val="00E63CB4"/>
    <w:rsid w:val="00E63F83"/>
    <w:rsid w:val="00E6404B"/>
    <w:rsid w:val="00E640DE"/>
    <w:rsid w:val="00E64143"/>
    <w:rsid w:val="00E641BE"/>
    <w:rsid w:val="00E6420D"/>
    <w:rsid w:val="00E6423C"/>
    <w:rsid w:val="00E64247"/>
    <w:rsid w:val="00E64461"/>
    <w:rsid w:val="00E6447C"/>
    <w:rsid w:val="00E6452B"/>
    <w:rsid w:val="00E645B3"/>
    <w:rsid w:val="00E646BE"/>
    <w:rsid w:val="00E64741"/>
    <w:rsid w:val="00E647BD"/>
    <w:rsid w:val="00E648CF"/>
    <w:rsid w:val="00E649C9"/>
    <w:rsid w:val="00E64A41"/>
    <w:rsid w:val="00E64A81"/>
    <w:rsid w:val="00E64C89"/>
    <w:rsid w:val="00E64CA4"/>
    <w:rsid w:val="00E64CBD"/>
    <w:rsid w:val="00E64DF5"/>
    <w:rsid w:val="00E64E9B"/>
    <w:rsid w:val="00E65071"/>
    <w:rsid w:val="00E65179"/>
    <w:rsid w:val="00E654C1"/>
    <w:rsid w:val="00E654EF"/>
    <w:rsid w:val="00E655C3"/>
    <w:rsid w:val="00E655CE"/>
    <w:rsid w:val="00E655DC"/>
    <w:rsid w:val="00E655F3"/>
    <w:rsid w:val="00E658C1"/>
    <w:rsid w:val="00E65AFF"/>
    <w:rsid w:val="00E65D97"/>
    <w:rsid w:val="00E65DB2"/>
    <w:rsid w:val="00E65FD1"/>
    <w:rsid w:val="00E66027"/>
    <w:rsid w:val="00E6605C"/>
    <w:rsid w:val="00E6611B"/>
    <w:rsid w:val="00E6619A"/>
    <w:rsid w:val="00E662E5"/>
    <w:rsid w:val="00E66360"/>
    <w:rsid w:val="00E663BF"/>
    <w:rsid w:val="00E664ED"/>
    <w:rsid w:val="00E66745"/>
    <w:rsid w:val="00E66773"/>
    <w:rsid w:val="00E66934"/>
    <w:rsid w:val="00E669AC"/>
    <w:rsid w:val="00E66AEC"/>
    <w:rsid w:val="00E66B76"/>
    <w:rsid w:val="00E66C9E"/>
    <w:rsid w:val="00E66D93"/>
    <w:rsid w:val="00E66E62"/>
    <w:rsid w:val="00E66ED1"/>
    <w:rsid w:val="00E66F55"/>
    <w:rsid w:val="00E67048"/>
    <w:rsid w:val="00E671AE"/>
    <w:rsid w:val="00E672BD"/>
    <w:rsid w:val="00E6730E"/>
    <w:rsid w:val="00E67515"/>
    <w:rsid w:val="00E675AF"/>
    <w:rsid w:val="00E675BB"/>
    <w:rsid w:val="00E675D2"/>
    <w:rsid w:val="00E675F5"/>
    <w:rsid w:val="00E676CD"/>
    <w:rsid w:val="00E676E3"/>
    <w:rsid w:val="00E677B7"/>
    <w:rsid w:val="00E677DE"/>
    <w:rsid w:val="00E6782D"/>
    <w:rsid w:val="00E67A6D"/>
    <w:rsid w:val="00E67BC9"/>
    <w:rsid w:val="00E67D63"/>
    <w:rsid w:val="00E67DBA"/>
    <w:rsid w:val="00E67DE4"/>
    <w:rsid w:val="00E67EF7"/>
    <w:rsid w:val="00E67F26"/>
    <w:rsid w:val="00E70140"/>
    <w:rsid w:val="00E70280"/>
    <w:rsid w:val="00E7060C"/>
    <w:rsid w:val="00E70AE1"/>
    <w:rsid w:val="00E70C08"/>
    <w:rsid w:val="00E70C7D"/>
    <w:rsid w:val="00E70CCB"/>
    <w:rsid w:val="00E70CF0"/>
    <w:rsid w:val="00E70D07"/>
    <w:rsid w:val="00E70E5D"/>
    <w:rsid w:val="00E70F57"/>
    <w:rsid w:val="00E70FE6"/>
    <w:rsid w:val="00E71097"/>
    <w:rsid w:val="00E71326"/>
    <w:rsid w:val="00E713E1"/>
    <w:rsid w:val="00E713ED"/>
    <w:rsid w:val="00E713F3"/>
    <w:rsid w:val="00E7161D"/>
    <w:rsid w:val="00E717FF"/>
    <w:rsid w:val="00E71894"/>
    <w:rsid w:val="00E7199F"/>
    <w:rsid w:val="00E719B3"/>
    <w:rsid w:val="00E71C21"/>
    <w:rsid w:val="00E71D42"/>
    <w:rsid w:val="00E72000"/>
    <w:rsid w:val="00E721B1"/>
    <w:rsid w:val="00E72240"/>
    <w:rsid w:val="00E722B6"/>
    <w:rsid w:val="00E722ED"/>
    <w:rsid w:val="00E722FD"/>
    <w:rsid w:val="00E72411"/>
    <w:rsid w:val="00E72534"/>
    <w:rsid w:val="00E72535"/>
    <w:rsid w:val="00E7257B"/>
    <w:rsid w:val="00E72828"/>
    <w:rsid w:val="00E72A05"/>
    <w:rsid w:val="00E72A5A"/>
    <w:rsid w:val="00E72BF1"/>
    <w:rsid w:val="00E7308C"/>
    <w:rsid w:val="00E730F6"/>
    <w:rsid w:val="00E73250"/>
    <w:rsid w:val="00E73354"/>
    <w:rsid w:val="00E73480"/>
    <w:rsid w:val="00E7348A"/>
    <w:rsid w:val="00E73497"/>
    <w:rsid w:val="00E736A9"/>
    <w:rsid w:val="00E73794"/>
    <w:rsid w:val="00E737B6"/>
    <w:rsid w:val="00E738B6"/>
    <w:rsid w:val="00E7395C"/>
    <w:rsid w:val="00E73A70"/>
    <w:rsid w:val="00E73B80"/>
    <w:rsid w:val="00E73BC3"/>
    <w:rsid w:val="00E73C05"/>
    <w:rsid w:val="00E73DE5"/>
    <w:rsid w:val="00E73F80"/>
    <w:rsid w:val="00E74009"/>
    <w:rsid w:val="00E7428F"/>
    <w:rsid w:val="00E742FD"/>
    <w:rsid w:val="00E74395"/>
    <w:rsid w:val="00E7456F"/>
    <w:rsid w:val="00E74816"/>
    <w:rsid w:val="00E7482F"/>
    <w:rsid w:val="00E74943"/>
    <w:rsid w:val="00E74A62"/>
    <w:rsid w:val="00E74A9C"/>
    <w:rsid w:val="00E74AAE"/>
    <w:rsid w:val="00E74AFE"/>
    <w:rsid w:val="00E74CAD"/>
    <w:rsid w:val="00E74D0F"/>
    <w:rsid w:val="00E74D47"/>
    <w:rsid w:val="00E75067"/>
    <w:rsid w:val="00E75080"/>
    <w:rsid w:val="00E750DC"/>
    <w:rsid w:val="00E75151"/>
    <w:rsid w:val="00E7519D"/>
    <w:rsid w:val="00E752A9"/>
    <w:rsid w:val="00E75436"/>
    <w:rsid w:val="00E75471"/>
    <w:rsid w:val="00E75531"/>
    <w:rsid w:val="00E75553"/>
    <w:rsid w:val="00E75676"/>
    <w:rsid w:val="00E756CC"/>
    <w:rsid w:val="00E7578F"/>
    <w:rsid w:val="00E757B4"/>
    <w:rsid w:val="00E75A0E"/>
    <w:rsid w:val="00E75A50"/>
    <w:rsid w:val="00E75B36"/>
    <w:rsid w:val="00E762C7"/>
    <w:rsid w:val="00E7638F"/>
    <w:rsid w:val="00E76438"/>
    <w:rsid w:val="00E767A4"/>
    <w:rsid w:val="00E76865"/>
    <w:rsid w:val="00E76A13"/>
    <w:rsid w:val="00E76B03"/>
    <w:rsid w:val="00E76B77"/>
    <w:rsid w:val="00E76B81"/>
    <w:rsid w:val="00E76EFB"/>
    <w:rsid w:val="00E76FD2"/>
    <w:rsid w:val="00E7705B"/>
    <w:rsid w:val="00E77248"/>
    <w:rsid w:val="00E774E0"/>
    <w:rsid w:val="00E77505"/>
    <w:rsid w:val="00E776B4"/>
    <w:rsid w:val="00E776F6"/>
    <w:rsid w:val="00E777E3"/>
    <w:rsid w:val="00E777F1"/>
    <w:rsid w:val="00E77812"/>
    <w:rsid w:val="00E77A51"/>
    <w:rsid w:val="00E77D80"/>
    <w:rsid w:val="00E77DDD"/>
    <w:rsid w:val="00E77E3C"/>
    <w:rsid w:val="00E77F7B"/>
    <w:rsid w:val="00E80090"/>
    <w:rsid w:val="00E802B0"/>
    <w:rsid w:val="00E8045E"/>
    <w:rsid w:val="00E80643"/>
    <w:rsid w:val="00E80745"/>
    <w:rsid w:val="00E80804"/>
    <w:rsid w:val="00E808EC"/>
    <w:rsid w:val="00E8095D"/>
    <w:rsid w:val="00E80C2A"/>
    <w:rsid w:val="00E80CCC"/>
    <w:rsid w:val="00E81045"/>
    <w:rsid w:val="00E81052"/>
    <w:rsid w:val="00E81099"/>
    <w:rsid w:val="00E810F5"/>
    <w:rsid w:val="00E811C7"/>
    <w:rsid w:val="00E8130D"/>
    <w:rsid w:val="00E81907"/>
    <w:rsid w:val="00E819EB"/>
    <w:rsid w:val="00E81A00"/>
    <w:rsid w:val="00E81A40"/>
    <w:rsid w:val="00E81BFC"/>
    <w:rsid w:val="00E81C66"/>
    <w:rsid w:val="00E81D49"/>
    <w:rsid w:val="00E81DE4"/>
    <w:rsid w:val="00E81E3D"/>
    <w:rsid w:val="00E81F01"/>
    <w:rsid w:val="00E82159"/>
    <w:rsid w:val="00E82357"/>
    <w:rsid w:val="00E82373"/>
    <w:rsid w:val="00E82406"/>
    <w:rsid w:val="00E82788"/>
    <w:rsid w:val="00E82A8F"/>
    <w:rsid w:val="00E82D34"/>
    <w:rsid w:val="00E82E16"/>
    <w:rsid w:val="00E82E61"/>
    <w:rsid w:val="00E82E78"/>
    <w:rsid w:val="00E832D7"/>
    <w:rsid w:val="00E83322"/>
    <w:rsid w:val="00E83359"/>
    <w:rsid w:val="00E834BE"/>
    <w:rsid w:val="00E83552"/>
    <w:rsid w:val="00E835CF"/>
    <w:rsid w:val="00E8364F"/>
    <w:rsid w:val="00E83653"/>
    <w:rsid w:val="00E837EE"/>
    <w:rsid w:val="00E838E6"/>
    <w:rsid w:val="00E8396D"/>
    <w:rsid w:val="00E839F9"/>
    <w:rsid w:val="00E83A6A"/>
    <w:rsid w:val="00E83B53"/>
    <w:rsid w:val="00E83B8E"/>
    <w:rsid w:val="00E83CFC"/>
    <w:rsid w:val="00E83D54"/>
    <w:rsid w:val="00E83D6A"/>
    <w:rsid w:val="00E83E7F"/>
    <w:rsid w:val="00E84099"/>
    <w:rsid w:val="00E840BD"/>
    <w:rsid w:val="00E8417C"/>
    <w:rsid w:val="00E84210"/>
    <w:rsid w:val="00E84300"/>
    <w:rsid w:val="00E8434D"/>
    <w:rsid w:val="00E84675"/>
    <w:rsid w:val="00E8478D"/>
    <w:rsid w:val="00E8478E"/>
    <w:rsid w:val="00E8485E"/>
    <w:rsid w:val="00E84A7A"/>
    <w:rsid w:val="00E84AC2"/>
    <w:rsid w:val="00E84B00"/>
    <w:rsid w:val="00E84FA4"/>
    <w:rsid w:val="00E8506B"/>
    <w:rsid w:val="00E85320"/>
    <w:rsid w:val="00E8547A"/>
    <w:rsid w:val="00E854C9"/>
    <w:rsid w:val="00E858D8"/>
    <w:rsid w:val="00E85915"/>
    <w:rsid w:val="00E85C26"/>
    <w:rsid w:val="00E85D0B"/>
    <w:rsid w:val="00E85F2C"/>
    <w:rsid w:val="00E85FB9"/>
    <w:rsid w:val="00E85FFF"/>
    <w:rsid w:val="00E860E1"/>
    <w:rsid w:val="00E861F0"/>
    <w:rsid w:val="00E862E6"/>
    <w:rsid w:val="00E86384"/>
    <w:rsid w:val="00E863D2"/>
    <w:rsid w:val="00E865E0"/>
    <w:rsid w:val="00E86746"/>
    <w:rsid w:val="00E8681A"/>
    <w:rsid w:val="00E86919"/>
    <w:rsid w:val="00E86CBF"/>
    <w:rsid w:val="00E86CD3"/>
    <w:rsid w:val="00E86DA5"/>
    <w:rsid w:val="00E86DE5"/>
    <w:rsid w:val="00E86FAA"/>
    <w:rsid w:val="00E870EB"/>
    <w:rsid w:val="00E87174"/>
    <w:rsid w:val="00E87314"/>
    <w:rsid w:val="00E874B1"/>
    <w:rsid w:val="00E87550"/>
    <w:rsid w:val="00E8757D"/>
    <w:rsid w:val="00E875B2"/>
    <w:rsid w:val="00E876CE"/>
    <w:rsid w:val="00E8772E"/>
    <w:rsid w:val="00E8773C"/>
    <w:rsid w:val="00E8782C"/>
    <w:rsid w:val="00E87991"/>
    <w:rsid w:val="00E87A04"/>
    <w:rsid w:val="00E87A79"/>
    <w:rsid w:val="00E87D86"/>
    <w:rsid w:val="00E87E35"/>
    <w:rsid w:val="00E87EA2"/>
    <w:rsid w:val="00E87EE5"/>
    <w:rsid w:val="00E87F85"/>
    <w:rsid w:val="00E9012E"/>
    <w:rsid w:val="00E901EB"/>
    <w:rsid w:val="00E90445"/>
    <w:rsid w:val="00E90521"/>
    <w:rsid w:val="00E90536"/>
    <w:rsid w:val="00E9057C"/>
    <w:rsid w:val="00E90722"/>
    <w:rsid w:val="00E908EE"/>
    <w:rsid w:val="00E909A5"/>
    <w:rsid w:val="00E90AB3"/>
    <w:rsid w:val="00E90AC9"/>
    <w:rsid w:val="00E90AD0"/>
    <w:rsid w:val="00E90B4D"/>
    <w:rsid w:val="00E90C98"/>
    <w:rsid w:val="00E90CB3"/>
    <w:rsid w:val="00E90CF9"/>
    <w:rsid w:val="00E90EA2"/>
    <w:rsid w:val="00E9103A"/>
    <w:rsid w:val="00E91184"/>
    <w:rsid w:val="00E911B7"/>
    <w:rsid w:val="00E912A5"/>
    <w:rsid w:val="00E91316"/>
    <w:rsid w:val="00E9152F"/>
    <w:rsid w:val="00E915D0"/>
    <w:rsid w:val="00E91633"/>
    <w:rsid w:val="00E917F9"/>
    <w:rsid w:val="00E9198C"/>
    <w:rsid w:val="00E91D90"/>
    <w:rsid w:val="00E91E04"/>
    <w:rsid w:val="00E91F36"/>
    <w:rsid w:val="00E91F69"/>
    <w:rsid w:val="00E9213F"/>
    <w:rsid w:val="00E92142"/>
    <w:rsid w:val="00E9232F"/>
    <w:rsid w:val="00E923FB"/>
    <w:rsid w:val="00E9242A"/>
    <w:rsid w:val="00E9242D"/>
    <w:rsid w:val="00E92463"/>
    <w:rsid w:val="00E9249D"/>
    <w:rsid w:val="00E924C9"/>
    <w:rsid w:val="00E925BB"/>
    <w:rsid w:val="00E92617"/>
    <w:rsid w:val="00E92644"/>
    <w:rsid w:val="00E926AF"/>
    <w:rsid w:val="00E927CF"/>
    <w:rsid w:val="00E92830"/>
    <w:rsid w:val="00E92D93"/>
    <w:rsid w:val="00E92ECD"/>
    <w:rsid w:val="00E92FFA"/>
    <w:rsid w:val="00E93070"/>
    <w:rsid w:val="00E930DC"/>
    <w:rsid w:val="00E9330C"/>
    <w:rsid w:val="00E934AF"/>
    <w:rsid w:val="00E93595"/>
    <w:rsid w:val="00E93767"/>
    <w:rsid w:val="00E93855"/>
    <w:rsid w:val="00E938AD"/>
    <w:rsid w:val="00E93A07"/>
    <w:rsid w:val="00E93B66"/>
    <w:rsid w:val="00E93CFD"/>
    <w:rsid w:val="00E93DB1"/>
    <w:rsid w:val="00E93DBB"/>
    <w:rsid w:val="00E93E1D"/>
    <w:rsid w:val="00E94392"/>
    <w:rsid w:val="00E944A0"/>
    <w:rsid w:val="00E94555"/>
    <w:rsid w:val="00E94637"/>
    <w:rsid w:val="00E94935"/>
    <w:rsid w:val="00E949BB"/>
    <w:rsid w:val="00E94A18"/>
    <w:rsid w:val="00E94B0D"/>
    <w:rsid w:val="00E94BEB"/>
    <w:rsid w:val="00E94C1D"/>
    <w:rsid w:val="00E94C34"/>
    <w:rsid w:val="00E94E7F"/>
    <w:rsid w:val="00E94F0F"/>
    <w:rsid w:val="00E94F1F"/>
    <w:rsid w:val="00E94F79"/>
    <w:rsid w:val="00E9519B"/>
    <w:rsid w:val="00E952BE"/>
    <w:rsid w:val="00E95415"/>
    <w:rsid w:val="00E95487"/>
    <w:rsid w:val="00E954A3"/>
    <w:rsid w:val="00E95BC2"/>
    <w:rsid w:val="00E96112"/>
    <w:rsid w:val="00E961E5"/>
    <w:rsid w:val="00E963D6"/>
    <w:rsid w:val="00E964C7"/>
    <w:rsid w:val="00E9668B"/>
    <w:rsid w:val="00E967FB"/>
    <w:rsid w:val="00E968B1"/>
    <w:rsid w:val="00E968F6"/>
    <w:rsid w:val="00E96962"/>
    <w:rsid w:val="00E96B25"/>
    <w:rsid w:val="00E96DD5"/>
    <w:rsid w:val="00E96FB6"/>
    <w:rsid w:val="00E974B7"/>
    <w:rsid w:val="00E9764E"/>
    <w:rsid w:val="00E9766E"/>
    <w:rsid w:val="00E97A85"/>
    <w:rsid w:val="00E97DEB"/>
    <w:rsid w:val="00E97DED"/>
    <w:rsid w:val="00E97FFA"/>
    <w:rsid w:val="00EA00E2"/>
    <w:rsid w:val="00EA01E6"/>
    <w:rsid w:val="00EA01EC"/>
    <w:rsid w:val="00EA02AF"/>
    <w:rsid w:val="00EA039D"/>
    <w:rsid w:val="00EA04D1"/>
    <w:rsid w:val="00EA0592"/>
    <w:rsid w:val="00EA0634"/>
    <w:rsid w:val="00EA070D"/>
    <w:rsid w:val="00EA0BCC"/>
    <w:rsid w:val="00EA0D3B"/>
    <w:rsid w:val="00EA0EC4"/>
    <w:rsid w:val="00EA0F03"/>
    <w:rsid w:val="00EA0F04"/>
    <w:rsid w:val="00EA0F99"/>
    <w:rsid w:val="00EA1288"/>
    <w:rsid w:val="00EA13A8"/>
    <w:rsid w:val="00EA1424"/>
    <w:rsid w:val="00EA14A3"/>
    <w:rsid w:val="00EA162E"/>
    <w:rsid w:val="00EA17A8"/>
    <w:rsid w:val="00EA191E"/>
    <w:rsid w:val="00EA1DB9"/>
    <w:rsid w:val="00EA1E07"/>
    <w:rsid w:val="00EA1ECE"/>
    <w:rsid w:val="00EA1F60"/>
    <w:rsid w:val="00EA21E9"/>
    <w:rsid w:val="00EA228E"/>
    <w:rsid w:val="00EA22AC"/>
    <w:rsid w:val="00EA23D5"/>
    <w:rsid w:val="00EA243D"/>
    <w:rsid w:val="00EA2587"/>
    <w:rsid w:val="00EA282F"/>
    <w:rsid w:val="00EA298F"/>
    <w:rsid w:val="00EA2ADF"/>
    <w:rsid w:val="00EA2AF3"/>
    <w:rsid w:val="00EA2B73"/>
    <w:rsid w:val="00EA2C23"/>
    <w:rsid w:val="00EA2DC7"/>
    <w:rsid w:val="00EA2EA7"/>
    <w:rsid w:val="00EA3177"/>
    <w:rsid w:val="00EA332F"/>
    <w:rsid w:val="00EA33A8"/>
    <w:rsid w:val="00EA34D6"/>
    <w:rsid w:val="00EA352F"/>
    <w:rsid w:val="00EA3802"/>
    <w:rsid w:val="00EA3813"/>
    <w:rsid w:val="00EA3920"/>
    <w:rsid w:val="00EA3947"/>
    <w:rsid w:val="00EA3A34"/>
    <w:rsid w:val="00EA3AB3"/>
    <w:rsid w:val="00EA3B34"/>
    <w:rsid w:val="00EA3BE4"/>
    <w:rsid w:val="00EA3BF7"/>
    <w:rsid w:val="00EA3D0E"/>
    <w:rsid w:val="00EA3D9D"/>
    <w:rsid w:val="00EA3F22"/>
    <w:rsid w:val="00EA3F41"/>
    <w:rsid w:val="00EA3F78"/>
    <w:rsid w:val="00EA3F8D"/>
    <w:rsid w:val="00EA3FD4"/>
    <w:rsid w:val="00EA4201"/>
    <w:rsid w:val="00EA4245"/>
    <w:rsid w:val="00EA42DB"/>
    <w:rsid w:val="00EA4581"/>
    <w:rsid w:val="00EA45AD"/>
    <w:rsid w:val="00EA472E"/>
    <w:rsid w:val="00EA49BD"/>
    <w:rsid w:val="00EA4AC7"/>
    <w:rsid w:val="00EA4B49"/>
    <w:rsid w:val="00EA4BA7"/>
    <w:rsid w:val="00EA4C4B"/>
    <w:rsid w:val="00EA4D36"/>
    <w:rsid w:val="00EA5024"/>
    <w:rsid w:val="00EA50D0"/>
    <w:rsid w:val="00EA50D1"/>
    <w:rsid w:val="00EA518A"/>
    <w:rsid w:val="00EA536E"/>
    <w:rsid w:val="00EA54A5"/>
    <w:rsid w:val="00EA55D6"/>
    <w:rsid w:val="00EA5930"/>
    <w:rsid w:val="00EA5AC8"/>
    <w:rsid w:val="00EA5B7F"/>
    <w:rsid w:val="00EA5CD8"/>
    <w:rsid w:val="00EA5D6C"/>
    <w:rsid w:val="00EA5D78"/>
    <w:rsid w:val="00EA5E50"/>
    <w:rsid w:val="00EA5FE8"/>
    <w:rsid w:val="00EA6032"/>
    <w:rsid w:val="00EA6033"/>
    <w:rsid w:val="00EA60E9"/>
    <w:rsid w:val="00EA61A5"/>
    <w:rsid w:val="00EA64B4"/>
    <w:rsid w:val="00EA66CC"/>
    <w:rsid w:val="00EA6BAB"/>
    <w:rsid w:val="00EA6E07"/>
    <w:rsid w:val="00EA6F45"/>
    <w:rsid w:val="00EA708C"/>
    <w:rsid w:val="00EA71B0"/>
    <w:rsid w:val="00EA72E2"/>
    <w:rsid w:val="00EA7377"/>
    <w:rsid w:val="00EA73D8"/>
    <w:rsid w:val="00EA73EC"/>
    <w:rsid w:val="00EA747B"/>
    <w:rsid w:val="00EA74F4"/>
    <w:rsid w:val="00EA7542"/>
    <w:rsid w:val="00EA79BC"/>
    <w:rsid w:val="00EA7A0E"/>
    <w:rsid w:val="00EA7D13"/>
    <w:rsid w:val="00EA7E55"/>
    <w:rsid w:val="00EA7EBD"/>
    <w:rsid w:val="00EA7FBD"/>
    <w:rsid w:val="00EB01C2"/>
    <w:rsid w:val="00EB01EE"/>
    <w:rsid w:val="00EB0201"/>
    <w:rsid w:val="00EB02C9"/>
    <w:rsid w:val="00EB02D2"/>
    <w:rsid w:val="00EB04C4"/>
    <w:rsid w:val="00EB0548"/>
    <w:rsid w:val="00EB0833"/>
    <w:rsid w:val="00EB09E9"/>
    <w:rsid w:val="00EB0AD5"/>
    <w:rsid w:val="00EB0B1C"/>
    <w:rsid w:val="00EB0B56"/>
    <w:rsid w:val="00EB0C69"/>
    <w:rsid w:val="00EB0CBF"/>
    <w:rsid w:val="00EB0E02"/>
    <w:rsid w:val="00EB0F30"/>
    <w:rsid w:val="00EB104C"/>
    <w:rsid w:val="00EB10B8"/>
    <w:rsid w:val="00EB11E7"/>
    <w:rsid w:val="00EB1345"/>
    <w:rsid w:val="00EB149F"/>
    <w:rsid w:val="00EB176C"/>
    <w:rsid w:val="00EB17C0"/>
    <w:rsid w:val="00EB1869"/>
    <w:rsid w:val="00EB1997"/>
    <w:rsid w:val="00EB19A5"/>
    <w:rsid w:val="00EB1B4C"/>
    <w:rsid w:val="00EB1C3E"/>
    <w:rsid w:val="00EB1CB8"/>
    <w:rsid w:val="00EB1CD8"/>
    <w:rsid w:val="00EB1CEF"/>
    <w:rsid w:val="00EB2028"/>
    <w:rsid w:val="00EB21D8"/>
    <w:rsid w:val="00EB22D0"/>
    <w:rsid w:val="00EB2335"/>
    <w:rsid w:val="00EB24F0"/>
    <w:rsid w:val="00EB256A"/>
    <w:rsid w:val="00EB26F4"/>
    <w:rsid w:val="00EB27FA"/>
    <w:rsid w:val="00EB28D1"/>
    <w:rsid w:val="00EB29CA"/>
    <w:rsid w:val="00EB2A3C"/>
    <w:rsid w:val="00EB2AC8"/>
    <w:rsid w:val="00EB2CD9"/>
    <w:rsid w:val="00EB2DF0"/>
    <w:rsid w:val="00EB2E1E"/>
    <w:rsid w:val="00EB3023"/>
    <w:rsid w:val="00EB304D"/>
    <w:rsid w:val="00EB309C"/>
    <w:rsid w:val="00EB31A9"/>
    <w:rsid w:val="00EB3258"/>
    <w:rsid w:val="00EB32CF"/>
    <w:rsid w:val="00EB3331"/>
    <w:rsid w:val="00EB33AB"/>
    <w:rsid w:val="00EB33EB"/>
    <w:rsid w:val="00EB35BD"/>
    <w:rsid w:val="00EB35EE"/>
    <w:rsid w:val="00EB3753"/>
    <w:rsid w:val="00EB3787"/>
    <w:rsid w:val="00EB37A5"/>
    <w:rsid w:val="00EB37D0"/>
    <w:rsid w:val="00EB39C7"/>
    <w:rsid w:val="00EB3B57"/>
    <w:rsid w:val="00EB3B83"/>
    <w:rsid w:val="00EB3DD5"/>
    <w:rsid w:val="00EB3EB7"/>
    <w:rsid w:val="00EB3ED8"/>
    <w:rsid w:val="00EB3EFD"/>
    <w:rsid w:val="00EB3FA5"/>
    <w:rsid w:val="00EB4038"/>
    <w:rsid w:val="00EB404D"/>
    <w:rsid w:val="00EB4767"/>
    <w:rsid w:val="00EB47D0"/>
    <w:rsid w:val="00EB49AA"/>
    <w:rsid w:val="00EB49AE"/>
    <w:rsid w:val="00EB4ADD"/>
    <w:rsid w:val="00EB4AEC"/>
    <w:rsid w:val="00EB4DFB"/>
    <w:rsid w:val="00EB4FC1"/>
    <w:rsid w:val="00EB5255"/>
    <w:rsid w:val="00EB525D"/>
    <w:rsid w:val="00EB52D0"/>
    <w:rsid w:val="00EB52D9"/>
    <w:rsid w:val="00EB531C"/>
    <w:rsid w:val="00EB537C"/>
    <w:rsid w:val="00EB53F8"/>
    <w:rsid w:val="00EB5639"/>
    <w:rsid w:val="00EB5686"/>
    <w:rsid w:val="00EB56E6"/>
    <w:rsid w:val="00EB5811"/>
    <w:rsid w:val="00EB5ACE"/>
    <w:rsid w:val="00EB5C11"/>
    <w:rsid w:val="00EB5C47"/>
    <w:rsid w:val="00EB5F81"/>
    <w:rsid w:val="00EB6312"/>
    <w:rsid w:val="00EB633F"/>
    <w:rsid w:val="00EB6355"/>
    <w:rsid w:val="00EB63A2"/>
    <w:rsid w:val="00EB653D"/>
    <w:rsid w:val="00EB65BE"/>
    <w:rsid w:val="00EB6673"/>
    <w:rsid w:val="00EB672B"/>
    <w:rsid w:val="00EB6752"/>
    <w:rsid w:val="00EB67BD"/>
    <w:rsid w:val="00EB67BE"/>
    <w:rsid w:val="00EB693D"/>
    <w:rsid w:val="00EB6999"/>
    <w:rsid w:val="00EB6ADB"/>
    <w:rsid w:val="00EB6BFF"/>
    <w:rsid w:val="00EB6C09"/>
    <w:rsid w:val="00EB6D2E"/>
    <w:rsid w:val="00EB6D5F"/>
    <w:rsid w:val="00EB6FA9"/>
    <w:rsid w:val="00EB6FED"/>
    <w:rsid w:val="00EB7134"/>
    <w:rsid w:val="00EB716F"/>
    <w:rsid w:val="00EB727E"/>
    <w:rsid w:val="00EB72A0"/>
    <w:rsid w:val="00EB7641"/>
    <w:rsid w:val="00EB77B1"/>
    <w:rsid w:val="00EB791B"/>
    <w:rsid w:val="00EB7A10"/>
    <w:rsid w:val="00EB7A87"/>
    <w:rsid w:val="00EB7D84"/>
    <w:rsid w:val="00EB7E06"/>
    <w:rsid w:val="00EC001E"/>
    <w:rsid w:val="00EC02E1"/>
    <w:rsid w:val="00EC0408"/>
    <w:rsid w:val="00EC08D5"/>
    <w:rsid w:val="00EC09DB"/>
    <w:rsid w:val="00EC0ADD"/>
    <w:rsid w:val="00EC0B0C"/>
    <w:rsid w:val="00EC0B23"/>
    <w:rsid w:val="00EC0B70"/>
    <w:rsid w:val="00EC0D8C"/>
    <w:rsid w:val="00EC0DD2"/>
    <w:rsid w:val="00EC0EC0"/>
    <w:rsid w:val="00EC0F46"/>
    <w:rsid w:val="00EC10D0"/>
    <w:rsid w:val="00EC1325"/>
    <w:rsid w:val="00EC141D"/>
    <w:rsid w:val="00EC1524"/>
    <w:rsid w:val="00EC16A2"/>
    <w:rsid w:val="00EC1814"/>
    <w:rsid w:val="00EC19E6"/>
    <w:rsid w:val="00EC1B89"/>
    <w:rsid w:val="00EC1C92"/>
    <w:rsid w:val="00EC1DCE"/>
    <w:rsid w:val="00EC1DFD"/>
    <w:rsid w:val="00EC209A"/>
    <w:rsid w:val="00EC2137"/>
    <w:rsid w:val="00EC2142"/>
    <w:rsid w:val="00EC21D4"/>
    <w:rsid w:val="00EC2282"/>
    <w:rsid w:val="00EC23EA"/>
    <w:rsid w:val="00EC2870"/>
    <w:rsid w:val="00EC2984"/>
    <w:rsid w:val="00EC2C0A"/>
    <w:rsid w:val="00EC2ECE"/>
    <w:rsid w:val="00EC2F64"/>
    <w:rsid w:val="00EC2FFD"/>
    <w:rsid w:val="00EC3155"/>
    <w:rsid w:val="00EC319C"/>
    <w:rsid w:val="00EC31A2"/>
    <w:rsid w:val="00EC31CA"/>
    <w:rsid w:val="00EC320C"/>
    <w:rsid w:val="00EC348F"/>
    <w:rsid w:val="00EC34C7"/>
    <w:rsid w:val="00EC354B"/>
    <w:rsid w:val="00EC36C7"/>
    <w:rsid w:val="00EC3BC9"/>
    <w:rsid w:val="00EC3E29"/>
    <w:rsid w:val="00EC3E47"/>
    <w:rsid w:val="00EC4027"/>
    <w:rsid w:val="00EC402C"/>
    <w:rsid w:val="00EC43A0"/>
    <w:rsid w:val="00EC43CF"/>
    <w:rsid w:val="00EC46C7"/>
    <w:rsid w:val="00EC47A5"/>
    <w:rsid w:val="00EC4886"/>
    <w:rsid w:val="00EC48D8"/>
    <w:rsid w:val="00EC48FD"/>
    <w:rsid w:val="00EC4977"/>
    <w:rsid w:val="00EC4AA7"/>
    <w:rsid w:val="00EC4C90"/>
    <w:rsid w:val="00EC5109"/>
    <w:rsid w:val="00EC51B4"/>
    <w:rsid w:val="00EC5220"/>
    <w:rsid w:val="00EC533F"/>
    <w:rsid w:val="00EC553C"/>
    <w:rsid w:val="00EC5628"/>
    <w:rsid w:val="00EC5772"/>
    <w:rsid w:val="00EC5A38"/>
    <w:rsid w:val="00EC5BCC"/>
    <w:rsid w:val="00EC5CD1"/>
    <w:rsid w:val="00EC5CE2"/>
    <w:rsid w:val="00EC5D30"/>
    <w:rsid w:val="00EC5D43"/>
    <w:rsid w:val="00EC5E46"/>
    <w:rsid w:val="00EC610E"/>
    <w:rsid w:val="00EC6121"/>
    <w:rsid w:val="00EC61CC"/>
    <w:rsid w:val="00EC6352"/>
    <w:rsid w:val="00EC638A"/>
    <w:rsid w:val="00EC651D"/>
    <w:rsid w:val="00EC6586"/>
    <w:rsid w:val="00EC6687"/>
    <w:rsid w:val="00EC6849"/>
    <w:rsid w:val="00EC6A0A"/>
    <w:rsid w:val="00EC6B03"/>
    <w:rsid w:val="00EC6D02"/>
    <w:rsid w:val="00EC6D24"/>
    <w:rsid w:val="00EC6FF6"/>
    <w:rsid w:val="00EC7218"/>
    <w:rsid w:val="00EC737C"/>
    <w:rsid w:val="00EC73E2"/>
    <w:rsid w:val="00EC73E9"/>
    <w:rsid w:val="00EC7533"/>
    <w:rsid w:val="00EC7558"/>
    <w:rsid w:val="00EC7640"/>
    <w:rsid w:val="00EC77A0"/>
    <w:rsid w:val="00EC79F7"/>
    <w:rsid w:val="00EC7A64"/>
    <w:rsid w:val="00EC7BD9"/>
    <w:rsid w:val="00EC7D26"/>
    <w:rsid w:val="00EC7F7C"/>
    <w:rsid w:val="00ED0067"/>
    <w:rsid w:val="00ED00F8"/>
    <w:rsid w:val="00ED0123"/>
    <w:rsid w:val="00ED034D"/>
    <w:rsid w:val="00ED0377"/>
    <w:rsid w:val="00ED0386"/>
    <w:rsid w:val="00ED047D"/>
    <w:rsid w:val="00ED0639"/>
    <w:rsid w:val="00ED063D"/>
    <w:rsid w:val="00ED087E"/>
    <w:rsid w:val="00ED0892"/>
    <w:rsid w:val="00ED0924"/>
    <w:rsid w:val="00ED0994"/>
    <w:rsid w:val="00ED09BA"/>
    <w:rsid w:val="00ED09FC"/>
    <w:rsid w:val="00ED0B3A"/>
    <w:rsid w:val="00ED0C21"/>
    <w:rsid w:val="00ED0C34"/>
    <w:rsid w:val="00ED0F85"/>
    <w:rsid w:val="00ED1074"/>
    <w:rsid w:val="00ED10EA"/>
    <w:rsid w:val="00ED12C3"/>
    <w:rsid w:val="00ED12C8"/>
    <w:rsid w:val="00ED1333"/>
    <w:rsid w:val="00ED13E6"/>
    <w:rsid w:val="00ED16C9"/>
    <w:rsid w:val="00ED176C"/>
    <w:rsid w:val="00ED1914"/>
    <w:rsid w:val="00ED19A0"/>
    <w:rsid w:val="00ED1C6F"/>
    <w:rsid w:val="00ED1DD5"/>
    <w:rsid w:val="00ED1E1D"/>
    <w:rsid w:val="00ED1EB2"/>
    <w:rsid w:val="00ED1FA8"/>
    <w:rsid w:val="00ED2102"/>
    <w:rsid w:val="00ED217C"/>
    <w:rsid w:val="00ED217E"/>
    <w:rsid w:val="00ED22C6"/>
    <w:rsid w:val="00ED241F"/>
    <w:rsid w:val="00ED24DB"/>
    <w:rsid w:val="00ED2722"/>
    <w:rsid w:val="00ED27AA"/>
    <w:rsid w:val="00ED27F2"/>
    <w:rsid w:val="00ED2E59"/>
    <w:rsid w:val="00ED2F0F"/>
    <w:rsid w:val="00ED2F9F"/>
    <w:rsid w:val="00ED3000"/>
    <w:rsid w:val="00ED308D"/>
    <w:rsid w:val="00ED3509"/>
    <w:rsid w:val="00ED363B"/>
    <w:rsid w:val="00ED3738"/>
    <w:rsid w:val="00ED37F7"/>
    <w:rsid w:val="00ED3888"/>
    <w:rsid w:val="00ED3C98"/>
    <w:rsid w:val="00ED3D00"/>
    <w:rsid w:val="00ED3D34"/>
    <w:rsid w:val="00ED3D62"/>
    <w:rsid w:val="00ED3D6E"/>
    <w:rsid w:val="00ED3DB3"/>
    <w:rsid w:val="00ED4005"/>
    <w:rsid w:val="00ED40EC"/>
    <w:rsid w:val="00ED415D"/>
    <w:rsid w:val="00ED42CB"/>
    <w:rsid w:val="00ED44BD"/>
    <w:rsid w:val="00ED44C5"/>
    <w:rsid w:val="00ED44F1"/>
    <w:rsid w:val="00ED450E"/>
    <w:rsid w:val="00ED45F7"/>
    <w:rsid w:val="00ED4649"/>
    <w:rsid w:val="00ED49ED"/>
    <w:rsid w:val="00ED4E6E"/>
    <w:rsid w:val="00ED50CA"/>
    <w:rsid w:val="00ED5190"/>
    <w:rsid w:val="00ED5413"/>
    <w:rsid w:val="00ED554D"/>
    <w:rsid w:val="00ED569D"/>
    <w:rsid w:val="00ED56D2"/>
    <w:rsid w:val="00ED5782"/>
    <w:rsid w:val="00ED57BE"/>
    <w:rsid w:val="00ED5A36"/>
    <w:rsid w:val="00ED5A46"/>
    <w:rsid w:val="00ED5AEB"/>
    <w:rsid w:val="00ED5BFD"/>
    <w:rsid w:val="00ED5CAE"/>
    <w:rsid w:val="00ED5DA3"/>
    <w:rsid w:val="00ED5F2D"/>
    <w:rsid w:val="00ED617A"/>
    <w:rsid w:val="00ED64BE"/>
    <w:rsid w:val="00ED6611"/>
    <w:rsid w:val="00ED68E3"/>
    <w:rsid w:val="00ED690D"/>
    <w:rsid w:val="00ED69BD"/>
    <w:rsid w:val="00ED6A05"/>
    <w:rsid w:val="00ED6A45"/>
    <w:rsid w:val="00ED6A5C"/>
    <w:rsid w:val="00ED6A8B"/>
    <w:rsid w:val="00ED6AC4"/>
    <w:rsid w:val="00ED6B7D"/>
    <w:rsid w:val="00ED6B82"/>
    <w:rsid w:val="00ED6B95"/>
    <w:rsid w:val="00ED6C90"/>
    <w:rsid w:val="00ED6CAA"/>
    <w:rsid w:val="00ED6DB6"/>
    <w:rsid w:val="00ED6E6A"/>
    <w:rsid w:val="00ED72C3"/>
    <w:rsid w:val="00ED7343"/>
    <w:rsid w:val="00ED73DA"/>
    <w:rsid w:val="00ED7565"/>
    <w:rsid w:val="00ED75B5"/>
    <w:rsid w:val="00ED7647"/>
    <w:rsid w:val="00ED7717"/>
    <w:rsid w:val="00ED77F2"/>
    <w:rsid w:val="00ED7FF9"/>
    <w:rsid w:val="00EE0094"/>
    <w:rsid w:val="00EE0234"/>
    <w:rsid w:val="00EE0259"/>
    <w:rsid w:val="00EE04B2"/>
    <w:rsid w:val="00EE0676"/>
    <w:rsid w:val="00EE078C"/>
    <w:rsid w:val="00EE0888"/>
    <w:rsid w:val="00EE094C"/>
    <w:rsid w:val="00EE0B37"/>
    <w:rsid w:val="00EE0D0C"/>
    <w:rsid w:val="00EE0D17"/>
    <w:rsid w:val="00EE0DA6"/>
    <w:rsid w:val="00EE0E33"/>
    <w:rsid w:val="00EE0F6B"/>
    <w:rsid w:val="00EE0FC1"/>
    <w:rsid w:val="00EE1028"/>
    <w:rsid w:val="00EE1029"/>
    <w:rsid w:val="00EE1236"/>
    <w:rsid w:val="00EE12F1"/>
    <w:rsid w:val="00EE13AF"/>
    <w:rsid w:val="00EE13C0"/>
    <w:rsid w:val="00EE17BE"/>
    <w:rsid w:val="00EE187C"/>
    <w:rsid w:val="00EE19F1"/>
    <w:rsid w:val="00EE1A03"/>
    <w:rsid w:val="00EE1A69"/>
    <w:rsid w:val="00EE1B79"/>
    <w:rsid w:val="00EE1BBE"/>
    <w:rsid w:val="00EE1C22"/>
    <w:rsid w:val="00EE1E50"/>
    <w:rsid w:val="00EE1F73"/>
    <w:rsid w:val="00EE2095"/>
    <w:rsid w:val="00EE2110"/>
    <w:rsid w:val="00EE2115"/>
    <w:rsid w:val="00EE22D8"/>
    <w:rsid w:val="00EE2399"/>
    <w:rsid w:val="00EE23A0"/>
    <w:rsid w:val="00EE2963"/>
    <w:rsid w:val="00EE2BB8"/>
    <w:rsid w:val="00EE2BDE"/>
    <w:rsid w:val="00EE2E6F"/>
    <w:rsid w:val="00EE31A6"/>
    <w:rsid w:val="00EE326B"/>
    <w:rsid w:val="00EE3291"/>
    <w:rsid w:val="00EE32F1"/>
    <w:rsid w:val="00EE3352"/>
    <w:rsid w:val="00EE336D"/>
    <w:rsid w:val="00EE33DE"/>
    <w:rsid w:val="00EE3421"/>
    <w:rsid w:val="00EE342E"/>
    <w:rsid w:val="00EE358D"/>
    <w:rsid w:val="00EE36BD"/>
    <w:rsid w:val="00EE37B2"/>
    <w:rsid w:val="00EE39B9"/>
    <w:rsid w:val="00EE3A81"/>
    <w:rsid w:val="00EE3B99"/>
    <w:rsid w:val="00EE3C8B"/>
    <w:rsid w:val="00EE3C94"/>
    <w:rsid w:val="00EE3D71"/>
    <w:rsid w:val="00EE3E60"/>
    <w:rsid w:val="00EE4021"/>
    <w:rsid w:val="00EE4108"/>
    <w:rsid w:val="00EE41A1"/>
    <w:rsid w:val="00EE423A"/>
    <w:rsid w:val="00EE42EF"/>
    <w:rsid w:val="00EE42F6"/>
    <w:rsid w:val="00EE43CA"/>
    <w:rsid w:val="00EE4427"/>
    <w:rsid w:val="00EE4AB7"/>
    <w:rsid w:val="00EE4DC2"/>
    <w:rsid w:val="00EE4DE0"/>
    <w:rsid w:val="00EE4DEC"/>
    <w:rsid w:val="00EE4F84"/>
    <w:rsid w:val="00EE4FF4"/>
    <w:rsid w:val="00EE508B"/>
    <w:rsid w:val="00EE519B"/>
    <w:rsid w:val="00EE5200"/>
    <w:rsid w:val="00EE5366"/>
    <w:rsid w:val="00EE536C"/>
    <w:rsid w:val="00EE54DE"/>
    <w:rsid w:val="00EE58B8"/>
    <w:rsid w:val="00EE5B03"/>
    <w:rsid w:val="00EE5B17"/>
    <w:rsid w:val="00EE5B20"/>
    <w:rsid w:val="00EE5C30"/>
    <w:rsid w:val="00EE5D29"/>
    <w:rsid w:val="00EE5E00"/>
    <w:rsid w:val="00EE5F7E"/>
    <w:rsid w:val="00EE6004"/>
    <w:rsid w:val="00EE6111"/>
    <w:rsid w:val="00EE6179"/>
    <w:rsid w:val="00EE62FE"/>
    <w:rsid w:val="00EE6560"/>
    <w:rsid w:val="00EE65EF"/>
    <w:rsid w:val="00EE66AC"/>
    <w:rsid w:val="00EE67E0"/>
    <w:rsid w:val="00EE69C4"/>
    <w:rsid w:val="00EE69C6"/>
    <w:rsid w:val="00EE6BBD"/>
    <w:rsid w:val="00EE6D03"/>
    <w:rsid w:val="00EE6D88"/>
    <w:rsid w:val="00EE6F50"/>
    <w:rsid w:val="00EE6F62"/>
    <w:rsid w:val="00EE6F64"/>
    <w:rsid w:val="00EE7207"/>
    <w:rsid w:val="00EE74E0"/>
    <w:rsid w:val="00EE765B"/>
    <w:rsid w:val="00EE77A6"/>
    <w:rsid w:val="00EE7946"/>
    <w:rsid w:val="00EE7AEC"/>
    <w:rsid w:val="00EE7BAD"/>
    <w:rsid w:val="00EE7CEE"/>
    <w:rsid w:val="00EE7D13"/>
    <w:rsid w:val="00EE7D28"/>
    <w:rsid w:val="00EE7F30"/>
    <w:rsid w:val="00EF0052"/>
    <w:rsid w:val="00EF0062"/>
    <w:rsid w:val="00EF0067"/>
    <w:rsid w:val="00EF009D"/>
    <w:rsid w:val="00EF0131"/>
    <w:rsid w:val="00EF0274"/>
    <w:rsid w:val="00EF0509"/>
    <w:rsid w:val="00EF0571"/>
    <w:rsid w:val="00EF079C"/>
    <w:rsid w:val="00EF07F3"/>
    <w:rsid w:val="00EF0C33"/>
    <w:rsid w:val="00EF0D60"/>
    <w:rsid w:val="00EF0ED7"/>
    <w:rsid w:val="00EF0F72"/>
    <w:rsid w:val="00EF0F95"/>
    <w:rsid w:val="00EF0FA2"/>
    <w:rsid w:val="00EF1012"/>
    <w:rsid w:val="00EF1025"/>
    <w:rsid w:val="00EF10F8"/>
    <w:rsid w:val="00EF1186"/>
    <w:rsid w:val="00EF1337"/>
    <w:rsid w:val="00EF13D1"/>
    <w:rsid w:val="00EF156C"/>
    <w:rsid w:val="00EF1622"/>
    <w:rsid w:val="00EF1875"/>
    <w:rsid w:val="00EF1892"/>
    <w:rsid w:val="00EF190C"/>
    <w:rsid w:val="00EF1A36"/>
    <w:rsid w:val="00EF1B2F"/>
    <w:rsid w:val="00EF1BE8"/>
    <w:rsid w:val="00EF1D82"/>
    <w:rsid w:val="00EF2283"/>
    <w:rsid w:val="00EF22A9"/>
    <w:rsid w:val="00EF23FB"/>
    <w:rsid w:val="00EF24B1"/>
    <w:rsid w:val="00EF25C1"/>
    <w:rsid w:val="00EF2734"/>
    <w:rsid w:val="00EF27EC"/>
    <w:rsid w:val="00EF2AC0"/>
    <w:rsid w:val="00EF2AFE"/>
    <w:rsid w:val="00EF2BF5"/>
    <w:rsid w:val="00EF2C3A"/>
    <w:rsid w:val="00EF2C40"/>
    <w:rsid w:val="00EF2EE5"/>
    <w:rsid w:val="00EF2F18"/>
    <w:rsid w:val="00EF2F2E"/>
    <w:rsid w:val="00EF3175"/>
    <w:rsid w:val="00EF31C4"/>
    <w:rsid w:val="00EF330A"/>
    <w:rsid w:val="00EF3383"/>
    <w:rsid w:val="00EF3408"/>
    <w:rsid w:val="00EF3459"/>
    <w:rsid w:val="00EF348D"/>
    <w:rsid w:val="00EF3616"/>
    <w:rsid w:val="00EF3654"/>
    <w:rsid w:val="00EF3669"/>
    <w:rsid w:val="00EF38C3"/>
    <w:rsid w:val="00EF395A"/>
    <w:rsid w:val="00EF3A62"/>
    <w:rsid w:val="00EF3A76"/>
    <w:rsid w:val="00EF3AEC"/>
    <w:rsid w:val="00EF3C4F"/>
    <w:rsid w:val="00EF40FE"/>
    <w:rsid w:val="00EF410F"/>
    <w:rsid w:val="00EF41DF"/>
    <w:rsid w:val="00EF4262"/>
    <w:rsid w:val="00EF4377"/>
    <w:rsid w:val="00EF4467"/>
    <w:rsid w:val="00EF447D"/>
    <w:rsid w:val="00EF45F6"/>
    <w:rsid w:val="00EF463D"/>
    <w:rsid w:val="00EF4690"/>
    <w:rsid w:val="00EF4753"/>
    <w:rsid w:val="00EF4755"/>
    <w:rsid w:val="00EF4D2E"/>
    <w:rsid w:val="00EF4E91"/>
    <w:rsid w:val="00EF51B1"/>
    <w:rsid w:val="00EF5254"/>
    <w:rsid w:val="00EF52B6"/>
    <w:rsid w:val="00EF537B"/>
    <w:rsid w:val="00EF54C7"/>
    <w:rsid w:val="00EF5791"/>
    <w:rsid w:val="00EF57D2"/>
    <w:rsid w:val="00EF57DC"/>
    <w:rsid w:val="00EF5805"/>
    <w:rsid w:val="00EF58B1"/>
    <w:rsid w:val="00EF5D47"/>
    <w:rsid w:val="00EF5EEE"/>
    <w:rsid w:val="00EF616E"/>
    <w:rsid w:val="00EF61A5"/>
    <w:rsid w:val="00EF62F0"/>
    <w:rsid w:val="00EF64F4"/>
    <w:rsid w:val="00EF660E"/>
    <w:rsid w:val="00EF6691"/>
    <w:rsid w:val="00EF6740"/>
    <w:rsid w:val="00EF6A4E"/>
    <w:rsid w:val="00EF6A68"/>
    <w:rsid w:val="00EF6AC9"/>
    <w:rsid w:val="00EF6BB1"/>
    <w:rsid w:val="00EF6C48"/>
    <w:rsid w:val="00EF6CE0"/>
    <w:rsid w:val="00EF6F51"/>
    <w:rsid w:val="00EF712C"/>
    <w:rsid w:val="00EF7135"/>
    <w:rsid w:val="00EF733F"/>
    <w:rsid w:val="00EF7402"/>
    <w:rsid w:val="00EF74DA"/>
    <w:rsid w:val="00EF75F8"/>
    <w:rsid w:val="00EF7608"/>
    <w:rsid w:val="00EF78D7"/>
    <w:rsid w:val="00EF7AB2"/>
    <w:rsid w:val="00EF7ACD"/>
    <w:rsid w:val="00EF7C21"/>
    <w:rsid w:val="00EF7C93"/>
    <w:rsid w:val="00EF7CFB"/>
    <w:rsid w:val="00EF7D97"/>
    <w:rsid w:val="00F000C1"/>
    <w:rsid w:val="00F00127"/>
    <w:rsid w:val="00F001E1"/>
    <w:rsid w:val="00F002C9"/>
    <w:rsid w:val="00F0030E"/>
    <w:rsid w:val="00F003A6"/>
    <w:rsid w:val="00F00489"/>
    <w:rsid w:val="00F00765"/>
    <w:rsid w:val="00F007A2"/>
    <w:rsid w:val="00F00811"/>
    <w:rsid w:val="00F008FE"/>
    <w:rsid w:val="00F00A0A"/>
    <w:rsid w:val="00F00AC0"/>
    <w:rsid w:val="00F00C80"/>
    <w:rsid w:val="00F00D7D"/>
    <w:rsid w:val="00F00E50"/>
    <w:rsid w:val="00F00F05"/>
    <w:rsid w:val="00F01091"/>
    <w:rsid w:val="00F0118C"/>
    <w:rsid w:val="00F012EA"/>
    <w:rsid w:val="00F012F7"/>
    <w:rsid w:val="00F014E5"/>
    <w:rsid w:val="00F015C9"/>
    <w:rsid w:val="00F019D7"/>
    <w:rsid w:val="00F01AA0"/>
    <w:rsid w:val="00F01C6D"/>
    <w:rsid w:val="00F01E1C"/>
    <w:rsid w:val="00F01EF1"/>
    <w:rsid w:val="00F0233B"/>
    <w:rsid w:val="00F024A0"/>
    <w:rsid w:val="00F02773"/>
    <w:rsid w:val="00F027DB"/>
    <w:rsid w:val="00F0294D"/>
    <w:rsid w:val="00F0297B"/>
    <w:rsid w:val="00F02B44"/>
    <w:rsid w:val="00F02B99"/>
    <w:rsid w:val="00F02BB2"/>
    <w:rsid w:val="00F02BC2"/>
    <w:rsid w:val="00F02C95"/>
    <w:rsid w:val="00F02D7E"/>
    <w:rsid w:val="00F02F33"/>
    <w:rsid w:val="00F02F77"/>
    <w:rsid w:val="00F02FE0"/>
    <w:rsid w:val="00F03015"/>
    <w:rsid w:val="00F030C0"/>
    <w:rsid w:val="00F030C8"/>
    <w:rsid w:val="00F03297"/>
    <w:rsid w:val="00F032CD"/>
    <w:rsid w:val="00F03387"/>
    <w:rsid w:val="00F033BB"/>
    <w:rsid w:val="00F034AA"/>
    <w:rsid w:val="00F0352C"/>
    <w:rsid w:val="00F03800"/>
    <w:rsid w:val="00F038EB"/>
    <w:rsid w:val="00F03B16"/>
    <w:rsid w:val="00F03B91"/>
    <w:rsid w:val="00F03CEC"/>
    <w:rsid w:val="00F03D98"/>
    <w:rsid w:val="00F03E30"/>
    <w:rsid w:val="00F03F8D"/>
    <w:rsid w:val="00F04071"/>
    <w:rsid w:val="00F04119"/>
    <w:rsid w:val="00F0412D"/>
    <w:rsid w:val="00F04322"/>
    <w:rsid w:val="00F045B6"/>
    <w:rsid w:val="00F04618"/>
    <w:rsid w:val="00F0477D"/>
    <w:rsid w:val="00F047E1"/>
    <w:rsid w:val="00F04AE4"/>
    <w:rsid w:val="00F04AF8"/>
    <w:rsid w:val="00F04B27"/>
    <w:rsid w:val="00F04C19"/>
    <w:rsid w:val="00F04CB7"/>
    <w:rsid w:val="00F04ED1"/>
    <w:rsid w:val="00F04F19"/>
    <w:rsid w:val="00F04FF4"/>
    <w:rsid w:val="00F05025"/>
    <w:rsid w:val="00F052F2"/>
    <w:rsid w:val="00F05368"/>
    <w:rsid w:val="00F054E0"/>
    <w:rsid w:val="00F055FD"/>
    <w:rsid w:val="00F0565A"/>
    <w:rsid w:val="00F057C6"/>
    <w:rsid w:val="00F058F9"/>
    <w:rsid w:val="00F059AF"/>
    <w:rsid w:val="00F059D3"/>
    <w:rsid w:val="00F05BE4"/>
    <w:rsid w:val="00F05D1D"/>
    <w:rsid w:val="00F05DE9"/>
    <w:rsid w:val="00F05E7F"/>
    <w:rsid w:val="00F05E80"/>
    <w:rsid w:val="00F0604A"/>
    <w:rsid w:val="00F061C5"/>
    <w:rsid w:val="00F061CF"/>
    <w:rsid w:val="00F0622F"/>
    <w:rsid w:val="00F062D8"/>
    <w:rsid w:val="00F06486"/>
    <w:rsid w:val="00F06495"/>
    <w:rsid w:val="00F06512"/>
    <w:rsid w:val="00F06556"/>
    <w:rsid w:val="00F06682"/>
    <w:rsid w:val="00F0681F"/>
    <w:rsid w:val="00F06929"/>
    <w:rsid w:val="00F06995"/>
    <w:rsid w:val="00F069EF"/>
    <w:rsid w:val="00F06A7E"/>
    <w:rsid w:val="00F06A81"/>
    <w:rsid w:val="00F06B06"/>
    <w:rsid w:val="00F06CB5"/>
    <w:rsid w:val="00F06D0B"/>
    <w:rsid w:val="00F06D6F"/>
    <w:rsid w:val="00F06E2F"/>
    <w:rsid w:val="00F06F33"/>
    <w:rsid w:val="00F0700C"/>
    <w:rsid w:val="00F07178"/>
    <w:rsid w:val="00F071AF"/>
    <w:rsid w:val="00F071FE"/>
    <w:rsid w:val="00F0721F"/>
    <w:rsid w:val="00F0722B"/>
    <w:rsid w:val="00F072EB"/>
    <w:rsid w:val="00F073F4"/>
    <w:rsid w:val="00F0747E"/>
    <w:rsid w:val="00F07562"/>
    <w:rsid w:val="00F076DA"/>
    <w:rsid w:val="00F07853"/>
    <w:rsid w:val="00F0796D"/>
    <w:rsid w:val="00F07A31"/>
    <w:rsid w:val="00F07B22"/>
    <w:rsid w:val="00F07B65"/>
    <w:rsid w:val="00F07D17"/>
    <w:rsid w:val="00F07D5C"/>
    <w:rsid w:val="00F101AA"/>
    <w:rsid w:val="00F10339"/>
    <w:rsid w:val="00F104E6"/>
    <w:rsid w:val="00F105B0"/>
    <w:rsid w:val="00F1075B"/>
    <w:rsid w:val="00F1090B"/>
    <w:rsid w:val="00F10ABA"/>
    <w:rsid w:val="00F10DD1"/>
    <w:rsid w:val="00F11066"/>
    <w:rsid w:val="00F110A0"/>
    <w:rsid w:val="00F110C4"/>
    <w:rsid w:val="00F1114F"/>
    <w:rsid w:val="00F111CD"/>
    <w:rsid w:val="00F1140C"/>
    <w:rsid w:val="00F11487"/>
    <w:rsid w:val="00F114B1"/>
    <w:rsid w:val="00F114FF"/>
    <w:rsid w:val="00F1168C"/>
    <w:rsid w:val="00F11A94"/>
    <w:rsid w:val="00F11AD8"/>
    <w:rsid w:val="00F11C3C"/>
    <w:rsid w:val="00F11E00"/>
    <w:rsid w:val="00F11EFB"/>
    <w:rsid w:val="00F12189"/>
    <w:rsid w:val="00F121A5"/>
    <w:rsid w:val="00F1220E"/>
    <w:rsid w:val="00F12280"/>
    <w:rsid w:val="00F1258C"/>
    <w:rsid w:val="00F125DA"/>
    <w:rsid w:val="00F12683"/>
    <w:rsid w:val="00F12798"/>
    <w:rsid w:val="00F127C2"/>
    <w:rsid w:val="00F12839"/>
    <w:rsid w:val="00F12887"/>
    <w:rsid w:val="00F12A50"/>
    <w:rsid w:val="00F12C01"/>
    <w:rsid w:val="00F12D74"/>
    <w:rsid w:val="00F12D78"/>
    <w:rsid w:val="00F12E86"/>
    <w:rsid w:val="00F12ED8"/>
    <w:rsid w:val="00F1306A"/>
    <w:rsid w:val="00F131CC"/>
    <w:rsid w:val="00F13339"/>
    <w:rsid w:val="00F1340F"/>
    <w:rsid w:val="00F135A2"/>
    <w:rsid w:val="00F13904"/>
    <w:rsid w:val="00F13999"/>
    <w:rsid w:val="00F1399F"/>
    <w:rsid w:val="00F13A25"/>
    <w:rsid w:val="00F13B38"/>
    <w:rsid w:val="00F13CBE"/>
    <w:rsid w:val="00F13D3E"/>
    <w:rsid w:val="00F13E44"/>
    <w:rsid w:val="00F13F42"/>
    <w:rsid w:val="00F14057"/>
    <w:rsid w:val="00F141DC"/>
    <w:rsid w:val="00F14382"/>
    <w:rsid w:val="00F143D5"/>
    <w:rsid w:val="00F14442"/>
    <w:rsid w:val="00F14494"/>
    <w:rsid w:val="00F144F3"/>
    <w:rsid w:val="00F147BF"/>
    <w:rsid w:val="00F148C0"/>
    <w:rsid w:val="00F148CB"/>
    <w:rsid w:val="00F14A3A"/>
    <w:rsid w:val="00F14A7A"/>
    <w:rsid w:val="00F14AC6"/>
    <w:rsid w:val="00F14B83"/>
    <w:rsid w:val="00F14C09"/>
    <w:rsid w:val="00F14C93"/>
    <w:rsid w:val="00F14ECE"/>
    <w:rsid w:val="00F14FA7"/>
    <w:rsid w:val="00F15116"/>
    <w:rsid w:val="00F15133"/>
    <w:rsid w:val="00F1525E"/>
    <w:rsid w:val="00F15444"/>
    <w:rsid w:val="00F1555D"/>
    <w:rsid w:val="00F15817"/>
    <w:rsid w:val="00F15A0A"/>
    <w:rsid w:val="00F15ADD"/>
    <w:rsid w:val="00F15B07"/>
    <w:rsid w:val="00F15BB8"/>
    <w:rsid w:val="00F15DAC"/>
    <w:rsid w:val="00F15EA8"/>
    <w:rsid w:val="00F15FC6"/>
    <w:rsid w:val="00F15FF9"/>
    <w:rsid w:val="00F160DA"/>
    <w:rsid w:val="00F16297"/>
    <w:rsid w:val="00F162EF"/>
    <w:rsid w:val="00F16309"/>
    <w:rsid w:val="00F163EC"/>
    <w:rsid w:val="00F163F4"/>
    <w:rsid w:val="00F16634"/>
    <w:rsid w:val="00F16650"/>
    <w:rsid w:val="00F16691"/>
    <w:rsid w:val="00F16693"/>
    <w:rsid w:val="00F16694"/>
    <w:rsid w:val="00F166B5"/>
    <w:rsid w:val="00F166EB"/>
    <w:rsid w:val="00F167F5"/>
    <w:rsid w:val="00F1690F"/>
    <w:rsid w:val="00F169CE"/>
    <w:rsid w:val="00F16B54"/>
    <w:rsid w:val="00F16BFF"/>
    <w:rsid w:val="00F16C42"/>
    <w:rsid w:val="00F16DC3"/>
    <w:rsid w:val="00F1706C"/>
    <w:rsid w:val="00F170DB"/>
    <w:rsid w:val="00F17201"/>
    <w:rsid w:val="00F17267"/>
    <w:rsid w:val="00F17536"/>
    <w:rsid w:val="00F17588"/>
    <w:rsid w:val="00F1767F"/>
    <w:rsid w:val="00F1793D"/>
    <w:rsid w:val="00F17C0E"/>
    <w:rsid w:val="00F17CAA"/>
    <w:rsid w:val="00F17DFA"/>
    <w:rsid w:val="00F17E80"/>
    <w:rsid w:val="00F17E8E"/>
    <w:rsid w:val="00F17FF9"/>
    <w:rsid w:val="00F200E4"/>
    <w:rsid w:val="00F20173"/>
    <w:rsid w:val="00F201AB"/>
    <w:rsid w:val="00F201D6"/>
    <w:rsid w:val="00F20263"/>
    <w:rsid w:val="00F20329"/>
    <w:rsid w:val="00F20454"/>
    <w:rsid w:val="00F205B9"/>
    <w:rsid w:val="00F206BE"/>
    <w:rsid w:val="00F2071A"/>
    <w:rsid w:val="00F2078E"/>
    <w:rsid w:val="00F209A1"/>
    <w:rsid w:val="00F20F26"/>
    <w:rsid w:val="00F20F36"/>
    <w:rsid w:val="00F21181"/>
    <w:rsid w:val="00F211B7"/>
    <w:rsid w:val="00F213C7"/>
    <w:rsid w:val="00F21490"/>
    <w:rsid w:val="00F214EB"/>
    <w:rsid w:val="00F215DF"/>
    <w:rsid w:val="00F216B1"/>
    <w:rsid w:val="00F216C2"/>
    <w:rsid w:val="00F21787"/>
    <w:rsid w:val="00F218D9"/>
    <w:rsid w:val="00F219FB"/>
    <w:rsid w:val="00F21C5D"/>
    <w:rsid w:val="00F21D4B"/>
    <w:rsid w:val="00F21E21"/>
    <w:rsid w:val="00F21E91"/>
    <w:rsid w:val="00F21EB0"/>
    <w:rsid w:val="00F21F16"/>
    <w:rsid w:val="00F22228"/>
    <w:rsid w:val="00F22372"/>
    <w:rsid w:val="00F223FB"/>
    <w:rsid w:val="00F224D5"/>
    <w:rsid w:val="00F22744"/>
    <w:rsid w:val="00F22769"/>
    <w:rsid w:val="00F22907"/>
    <w:rsid w:val="00F22985"/>
    <w:rsid w:val="00F22A06"/>
    <w:rsid w:val="00F22E91"/>
    <w:rsid w:val="00F23044"/>
    <w:rsid w:val="00F2304A"/>
    <w:rsid w:val="00F23271"/>
    <w:rsid w:val="00F23402"/>
    <w:rsid w:val="00F23418"/>
    <w:rsid w:val="00F23854"/>
    <w:rsid w:val="00F238E1"/>
    <w:rsid w:val="00F23C81"/>
    <w:rsid w:val="00F23D1E"/>
    <w:rsid w:val="00F23E90"/>
    <w:rsid w:val="00F23F95"/>
    <w:rsid w:val="00F23FBD"/>
    <w:rsid w:val="00F24098"/>
    <w:rsid w:val="00F2411F"/>
    <w:rsid w:val="00F2437E"/>
    <w:rsid w:val="00F243FF"/>
    <w:rsid w:val="00F244F3"/>
    <w:rsid w:val="00F245B7"/>
    <w:rsid w:val="00F249F3"/>
    <w:rsid w:val="00F24B30"/>
    <w:rsid w:val="00F24CCA"/>
    <w:rsid w:val="00F24CFE"/>
    <w:rsid w:val="00F24E42"/>
    <w:rsid w:val="00F24E79"/>
    <w:rsid w:val="00F24ED0"/>
    <w:rsid w:val="00F24F5B"/>
    <w:rsid w:val="00F24F66"/>
    <w:rsid w:val="00F24FED"/>
    <w:rsid w:val="00F2504D"/>
    <w:rsid w:val="00F25074"/>
    <w:rsid w:val="00F250E5"/>
    <w:rsid w:val="00F25180"/>
    <w:rsid w:val="00F2518D"/>
    <w:rsid w:val="00F252DF"/>
    <w:rsid w:val="00F254DC"/>
    <w:rsid w:val="00F25507"/>
    <w:rsid w:val="00F25611"/>
    <w:rsid w:val="00F2562E"/>
    <w:rsid w:val="00F2567F"/>
    <w:rsid w:val="00F256F3"/>
    <w:rsid w:val="00F25719"/>
    <w:rsid w:val="00F257D8"/>
    <w:rsid w:val="00F2588C"/>
    <w:rsid w:val="00F259D6"/>
    <w:rsid w:val="00F25A2F"/>
    <w:rsid w:val="00F25B3F"/>
    <w:rsid w:val="00F25BFA"/>
    <w:rsid w:val="00F25E32"/>
    <w:rsid w:val="00F2600A"/>
    <w:rsid w:val="00F2612D"/>
    <w:rsid w:val="00F261A3"/>
    <w:rsid w:val="00F261B8"/>
    <w:rsid w:val="00F263EB"/>
    <w:rsid w:val="00F2662B"/>
    <w:rsid w:val="00F26734"/>
    <w:rsid w:val="00F267AC"/>
    <w:rsid w:val="00F26803"/>
    <w:rsid w:val="00F2685A"/>
    <w:rsid w:val="00F26861"/>
    <w:rsid w:val="00F2690B"/>
    <w:rsid w:val="00F26A43"/>
    <w:rsid w:val="00F26B27"/>
    <w:rsid w:val="00F26B31"/>
    <w:rsid w:val="00F26B4B"/>
    <w:rsid w:val="00F26B5C"/>
    <w:rsid w:val="00F26D55"/>
    <w:rsid w:val="00F26E9A"/>
    <w:rsid w:val="00F26F49"/>
    <w:rsid w:val="00F270AA"/>
    <w:rsid w:val="00F27182"/>
    <w:rsid w:val="00F272C6"/>
    <w:rsid w:val="00F27388"/>
    <w:rsid w:val="00F276FF"/>
    <w:rsid w:val="00F27A8E"/>
    <w:rsid w:val="00F27CC3"/>
    <w:rsid w:val="00F30340"/>
    <w:rsid w:val="00F3048E"/>
    <w:rsid w:val="00F304CC"/>
    <w:rsid w:val="00F305C5"/>
    <w:rsid w:val="00F306F5"/>
    <w:rsid w:val="00F307D8"/>
    <w:rsid w:val="00F30847"/>
    <w:rsid w:val="00F30848"/>
    <w:rsid w:val="00F3088F"/>
    <w:rsid w:val="00F30CF2"/>
    <w:rsid w:val="00F30D1E"/>
    <w:rsid w:val="00F30D4B"/>
    <w:rsid w:val="00F30E47"/>
    <w:rsid w:val="00F3102E"/>
    <w:rsid w:val="00F310D9"/>
    <w:rsid w:val="00F3111E"/>
    <w:rsid w:val="00F314BD"/>
    <w:rsid w:val="00F31870"/>
    <w:rsid w:val="00F31881"/>
    <w:rsid w:val="00F318DD"/>
    <w:rsid w:val="00F31DE4"/>
    <w:rsid w:val="00F3221B"/>
    <w:rsid w:val="00F328A0"/>
    <w:rsid w:val="00F328AC"/>
    <w:rsid w:val="00F32BB5"/>
    <w:rsid w:val="00F32BF9"/>
    <w:rsid w:val="00F32C11"/>
    <w:rsid w:val="00F32CAD"/>
    <w:rsid w:val="00F32DF4"/>
    <w:rsid w:val="00F331AE"/>
    <w:rsid w:val="00F33252"/>
    <w:rsid w:val="00F3327B"/>
    <w:rsid w:val="00F33424"/>
    <w:rsid w:val="00F3371A"/>
    <w:rsid w:val="00F337BD"/>
    <w:rsid w:val="00F3383E"/>
    <w:rsid w:val="00F33A0D"/>
    <w:rsid w:val="00F33A7B"/>
    <w:rsid w:val="00F33B7C"/>
    <w:rsid w:val="00F33B98"/>
    <w:rsid w:val="00F33CA7"/>
    <w:rsid w:val="00F33DCF"/>
    <w:rsid w:val="00F33EBA"/>
    <w:rsid w:val="00F3406F"/>
    <w:rsid w:val="00F341E2"/>
    <w:rsid w:val="00F3420A"/>
    <w:rsid w:val="00F34238"/>
    <w:rsid w:val="00F3425A"/>
    <w:rsid w:val="00F34339"/>
    <w:rsid w:val="00F3443A"/>
    <w:rsid w:val="00F34466"/>
    <w:rsid w:val="00F34542"/>
    <w:rsid w:val="00F345AB"/>
    <w:rsid w:val="00F34619"/>
    <w:rsid w:val="00F34630"/>
    <w:rsid w:val="00F3465F"/>
    <w:rsid w:val="00F34688"/>
    <w:rsid w:val="00F34924"/>
    <w:rsid w:val="00F34A26"/>
    <w:rsid w:val="00F34A86"/>
    <w:rsid w:val="00F34C42"/>
    <w:rsid w:val="00F34D38"/>
    <w:rsid w:val="00F34F5E"/>
    <w:rsid w:val="00F35009"/>
    <w:rsid w:val="00F35084"/>
    <w:rsid w:val="00F350A5"/>
    <w:rsid w:val="00F3514D"/>
    <w:rsid w:val="00F35231"/>
    <w:rsid w:val="00F35248"/>
    <w:rsid w:val="00F352F2"/>
    <w:rsid w:val="00F35331"/>
    <w:rsid w:val="00F355C1"/>
    <w:rsid w:val="00F35721"/>
    <w:rsid w:val="00F358B5"/>
    <w:rsid w:val="00F35A24"/>
    <w:rsid w:val="00F35A2B"/>
    <w:rsid w:val="00F35A6E"/>
    <w:rsid w:val="00F35AA1"/>
    <w:rsid w:val="00F35BFC"/>
    <w:rsid w:val="00F35DB8"/>
    <w:rsid w:val="00F35E12"/>
    <w:rsid w:val="00F35E27"/>
    <w:rsid w:val="00F3609F"/>
    <w:rsid w:val="00F360CA"/>
    <w:rsid w:val="00F3625B"/>
    <w:rsid w:val="00F362A8"/>
    <w:rsid w:val="00F3635C"/>
    <w:rsid w:val="00F363A2"/>
    <w:rsid w:val="00F3641C"/>
    <w:rsid w:val="00F36498"/>
    <w:rsid w:val="00F365CB"/>
    <w:rsid w:val="00F365CD"/>
    <w:rsid w:val="00F36623"/>
    <w:rsid w:val="00F366B2"/>
    <w:rsid w:val="00F366FF"/>
    <w:rsid w:val="00F3672B"/>
    <w:rsid w:val="00F369BB"/>
    <w:rsid w:val="00F36A4D"/>
    <w:rsid w:val="00F36CEF"/>
    <w:rsid w:val="00F36D5F"/>
    <w:rsid w:val="00F36E29"/>
    <w:rsid w:val="00F36F88"/>
    <w:rsid w:val="00F37088"/>
    <w:rsid w:val="00F37121"/>
    <w:rsid w:val="00F37167"/>
    <w:rsid w:val="00F3723D"/>
    <w:rsid w:val="00F3725B"/>
    <w:rsid w:val="00F372B5"/>
    <w:rsid w:val="00F376B7"/>
    <w:rsid w:val="00F377A7"/>
    <w:rsid w:val="00F37A47"/>
    <w:rsid w:val="00F37C84"/>
    <w:rsid w:val="00F37DE4"/>
    <w:rsid w:val="00F37F2F"/>
    <w:rsid w:val="00F37F6D"/>
    <w:rsid w:val="00F400B0"/>
    <w:rsid w:val="00F400E8"/>
    <w:rsid w:val="00F4027F"/>
    <w:rsid w:val="00F402B3"/>
    <w:rsid w:val="00F40378"/>
    <w:rsid w:val="00F4038B"/>
    <w:rsid w:val="00F403EF"/>
    <w:rsid w:val="00F4047F"/>
    <w:rsid w:val="00F404EE"/>
    <w:rsid w:val="00F40807"/>
    <w:rsid w:val="00F40869"/>
    <w:rsid w:val="00F40BA9"/>
    <w:rsid w:val="00F40C34"/>
    <w:rsid w:val="00F40DC2"/>
    <w:rsid w:val="00F40E33"/>
    <w:rsid w:val="00F40E50"/>
    <w:rsid w:val="00F40F33"/>
    <w:rsid w:val="00F40FDC"/>
    <w:rsid w:val="00F41039"/>
    <w:rsid w:val="00F410AE"/>
    <w:rsid w:val="00F4119C"/>
    <w:rsid w:val="00F41272"/>
    <w:rsid w:val="00F412A1"/>
    <w:rsid w:val="00F412B6"/>
    <w:rsid w:val="00F412DF"/>
    <w:rsid w:val="00F41346"/>
    <w:rsid w:val="00F41458"/>
    <w:rsid w:val="00F4145B"/>
    <w:rsid w:val="00F415A8"/>
    <w:rsid w:val="00F415EB"/>
    <w:rsid w:val="00F41754"/>
    <w:rsid w:val="00F41791"/>
    <w:rsid w:val="00F41860"/>
    <w:rsid w:val="00F41997"/>
    <w:rsid w:val="00F41AC6"/>
    <w:rsid w:val="00F41B54"/>
    <w:rsid w:val="00F42040"/>
    <w:rsid w:val="00F4206D"/>
    <w:rsid w:val="00F420A6"/>
    <w:rsid w:val="00F42220"/>
    <w:rsid w:val="00F42229"/>
    <w:rsid w:val="00F4233E"/>
    <w:rsid w:val="00F4261D"/>
    <w:rsid w:val="00F4298D"/>
    <w:rsid w:val="00F429FD"/>
    <w:rsid w:val="00F42BBA"/>
    <w:rsid w:val="00F430C9"/>
    <w:rsid w:val="00F431DA"/>
    <w:rsid w:val="00F432A0"/>
    <w:rsid w:val="00F434A8"/>
    <w:rsid w:val="00F434BD"/>
    <w:rsid w:val="00F43856"/>
    <w:rsid w:val="00F4391A"/>
    <w:rsid w:val="00F439C5"/>
    <w:rsid w:val="00F439FB"/>
    <w:rsid w:val="00F43A16"/>
    <w:rsid w:val="00F43A38"/>
    <w:rsid w:val="00F43D20"/>
    <w:rsid w:val="00F43D38"/>
    <w:rsid w:val="00F43E10"/>
    <w:rsid w:val="00F43FCE"/>
    <w:rsid w:val="00F440CA"/>
    <w:rsid w:val="00F44361"/>
    <w:rsid w:val="00F445C4"/>
    <w:rsid w:val="00F4465D"/>
    <w:rsid w:val="00F446DE"/>
    <w:rsid w:val="00F44751"/>
    <w:rsid w:val="00F44778"/>
    <w:rsid w:val="00F447CB"/>
    <w:rsid w:val="00F448A2"/>
    <w:rsid w:val="00F449C7"/>
    <w:rsid w:val="00F44A2B"/>
    <w:rsid w:val="00F44BE7"/>
    <w:rsid w:val="00F44D87"/>
    <w:rsid w:val="00F44FD5"/>
    <w:rsid w:val="00F44FD6"/>
    <w:rsid w:val="00F45297"/>
    <w:rsid w:val="00F4535F"/>
    <w:rsid w:val="00F45385"/>
    <w:rsid w:val="00F454A3"/>
    <w:rsid w:val="00F45506"/>
    <w:rsid w:val="00F457B1"/>
    <w:rsid w:val="00F45887"/>
    <w:rsid w:val="00F458B7"/>
    <w:rsid w:val="00F45902"/>
    <w:rsid w:val="00F459EE"/>
    <w:rsid w:val="00F45A6E"/>
    <w:rsid w:val="00F45A97"/>
    <w:rsid w:val="00F45BA3"/>
    <w:rsid w:val="00F45DA0"/>
    <w:rsid w:val="00F45FE3"/>
    <w:rsid w:val="00F46024"/>
    <w:rsid w:val="00F46250"/>
    <w:rsid w:val="00F465A7"/>
    <w:rsid w:val="00F46D69"/>
    <w:rsid w:val="00F46F34"/>
    <w:rsid w:val="00F46FC7"/>
    <w:rsid w:val="00F470A4"/>
    <w:rsid w:val="00F4743E"/>
    <w:rsid w:val="00F47461"/>
    <w:rsid w:val="00F474BB"/>
    <w:rsid w:val="00F4758F"/>
    <w:rsid w:val="00F475A3"/>
    <w:rsid w:val="00F476F5"/>
    <w:rsid w:val="00F47721"/>
    <w:rsid w:val="00F4774A"/>
    <w:rsid w:val="00F4795A"/>
    <w:rsid w:val="00F479AE"/>
    <w:rsid w:val="00F47A84"/>
    <w:rsid w:val="00F47A8A"/>
    <w:rsid w:val="00F47AEA"/>
    <w:rsid w:val="00F47CA6"/>
    <w:rsid w:val="00F47F18"/>
    <w:rsid w:val="00F47FBE"/>
    <w:rsid w:val="00F47FC9"/>
    <w:rsid w:val="00F50145"/>
    <w:rsid w:val="00F50445"/>
    <w:rsid w:val="00F50458"/>
    <w:rsid w:val="00F506C8"/>
    <w:rsid w:val="00F507DF"/>
    <w:rsid w:val="00F50804"/>
    <w:rsid w:val="00F508B9"/>
    <w:rsid w:val="00F50A4D"/>
    <w:rsid w:val="00F50B7C"/>
    <w:rsid w:val="00F50EA9"/>
    <w:rsid w:val="00F50FA8"/>
    <w:rsid w:val="00F50FE6"/>
    <w:rsid w:val="00F5101B"/>
    <w:rsid w:val="00F511F5"/>
    <w:rsid w:val="00F5123C"/>
    <w:rsid w:val="00F512AF"/>
    <w:rsid w:val="00F515D0"/>
    <w:rsid w:val="00F51670"/>
    <w:rsid w:val="00F51852"/>
    <w:rsid w:val="00F5196D"/>
    <w:rsid w:val="00F519C3"/>
    <w:rsid w:val="00F51A97"/>
    <w:rsid w:val="00F51AEE"/>
    <w:rsid w:val="00F51B60"/>
    <w:rsid w:val="00F51D33"/>
    <w:rsid w:val="00F51D9B"/>
    <w:rsid w:val="00F51E11"/>
    <w:rsid w:val="00F51F91"/>
    <w:rsid w:val="00F52412"/>
    <w:rsid w:val="00F52461"/>
    <w:rsid w:val="00F5251B"/>
    <w:rsid w:val="00F52577"/>
    <w:rsid w:val="00F525B4"/>
    <w:rsid w:val="00F525ED"/>
    <w:rsid w:val="00F525FB"/>
    <w:rsid w:val="00F52620"/>
    <w:rsid w:val="00F52642"/>
    <w:rsid w:val="00F52A3A"/>
    <w:rsid w:val="00F52DD3"/>
    <w:rsid w:val="00F52EFD"/>
    <w:rsid w:val="00F52F0D"/>
    <w:rsid w:val="00F530A0"/>
    <w:rsid w:val="00F530D6"/>
    <w:rsid w:val="00F53230"/>
    <w:rsid w:val="00F533EC"/>
    <w:rsid w:val="00F53441"/>
    <w:rsid w:val="00F535DB"/>
    <w:rsid w:val="00F536F4"/>
    <w:rsid w:val="00F53782"/>
    <w:rsid w:val="00F5394E"/>
    <w:rsid w:val="00F5395E"/>
    <w:rsid w:val="00F53A0C"/>
    <w:rsid w:val="00F53A4D"/>
    <w:rsid w:val="00F53B04"/>
    <w:rsid w:val="00F53B89"/>
    <w:rsid w:val="00F54075"/>
    <w:rsid w:val="00F540D9"/>
    <w:rsid w:val="00F54132"/>
    <w:rsid w:val="00F54161"/>
    <w:rsid w:val="00F541EC"/>
    <w:rsid w:val="00F5433A"/>
    <w:rsid w:val="00F54347"/>
    <w:rsid w:val="00F54494"/>
    <w:rsid w:val="00F544CF"/>
    <w:rsid w:val="00F545DD"/>
    <w:rsid w:val="00F54645"/>
    <w:rsid w:val="00F54677"/>
    <w:rsid w:val="00F54861"/>
    <w:rsid w:val="00F54970"/>
    <w:rsid w:val="00F549BB"/>
    <w:rsid w:val="00F54A29"/>
    <w:rsid w:val="00F54A80"/>
    <w:rsid w:val="00F54B4C"/>
    <w:rsid w:val="00F54C6D"/>
    <w:rsid w:val="00F54D8F"/>
    <w:rsid w:val="00F550E6"/>
    <w:rsid w:val="00F55278"/>
    <w:rsid w:val="00F55331"/>
    <w:rsid w:val="00F55349"/>
    <w:rsid w:val="00F55548"/>
    <w:rsid w:val="00F5570A"/>
    <w:rsid w:val="00F5575F"/>
    <w:rsid w:val="00F558C5"/>
    <w:rsid w:val="00F55A53"/>
    <w:rsid w:val="00F55F32"/>
    <w:rsid w:val="00F55F7D"/>
    <w:rsid w:val="00F56005"/>
    <w:rsid w:val="00F56103"/>
    <w:rsid w:val="00F5623E"/>
    <w:rsid w:val="00F56262"/>
    <w:rsid w:val="00F5631C"/>
    <w:rsid w:val="00F5654A"/>
    <w:rsid w:val="00F5658E"/>
    <w:rsid w:val="00F56656"/>
    <w:rsid w:val="00F566CB"/>
    <w:rsid w:val="00F566EE"/>
    <w:rsid w:val="00F567AC"/>
    <w:rsid w:val="00F56A72"/>
    <w:rsid w:val="00F56AAB"/>
    <w:rsid w:val="00F56B5F"/>
    <w:rsid w:val="00F56BB5"/>
    <w:rsid w:val="00F56C5A"/>
    <w:rsid w:val="00F56E17"/>
    <w:rsid w:val="00F56E7D"/>
    <w:rsid w:val="00F56EC8"/>
    <w:rsid w:val="00F56EF7"/>
    <w:rsid w:val="00F572BC"/>
    <w:rsid w:val="00F57372"/>
    <w:rsid w:val="00F5740E"/>
    <w:rsid w:val="00F57773"/>
    <w:rsid w:val="00F5779A"/>
    <w:rsid w:val="00F578D6"/>
    <w:rsid w:val="00F57937"/>
    <w:rsid w:val="00F579A3"/>
    <w:rsid w:val="00F57C07"/>
    <w:rsid w:val="00F57C1F"/>
    <w:rsid w:val="00F57D42"/>
    <w:rsid w:val="00F57DD0"/>
    <w:rsid w:val="00F57E7A"/>
    <w:rsid w:val="00F57EDD"/>
    <w:rsid w:val="00F60131"/>
    <w:rsid w:val="00F60153"/>
    <w:rsid w:val="00F601AB"/>
    <w:rsid w:val="00F601EB"/>
    <w:rsid w:val="00F60205"/>
    <w:rsid w:val="00F60392"/>
    <w:rsid w:val="00F609F0"/>
    <w:rsid w:val="00F60B9A"/>
    <w:rsid w:val="00F60CFA"/>
    <w:rsid w:val="00F60E09"/>
    <w:rsid w:val="00F60FA6"/>
    <w:rsid w:val="00F6116C"/>
    <w:rsid w:val="00F611AE"/>
    <w:rsid w:val="00F6133F"/>
    <w:rsid w:val="00F613D9"/>
    <w:rsid w:val="00F6141C"/>
    <w:rsid w:val="00F61495"/>
    <w:rsid w:val="00F615F9"/>
    <w:rsid w:val="00F61761"/>
    <w:rsid w:val="00F6178D"/>
    <w:rsid w:val="00F6190C"/>
    <w:rsid w:val="00F619C6"/>
    <w:rsid w:val="00F61AE0"/>
    <w:rsid w:val="00F62070"/>
    <w:rsid w:val="00F620D6"/>
    <w:rsid w:val="00F62176"/>
    <w:rsid w:val="00F6222C"/>
    <w:rsid w:val="00F62279"/>
    <w:rsid w:val="00F622D9"/>
    <w:rsid w:val="00F62657"/>
    <w:rsid w:val="00F6268C"/>
    <w:rsid w:val="00F62842"/>
    <w:rsid w:val="00F62A46"/>
    <w:rsid w:val="00F62AC8"/>
    <w:rsid w:val="00F62CB1"/>
    <w:rsid w:val="00F62E4D"/>
    <w:rsid w:val="00F62E4F"/>
    <w:rsid w:val="00F62F87"/>
    <w:rsid w:val="00F62FA7"/>
    <w:rsid w:val="00F6307D"/>
    <w:rsid w:val="00F630F0"/>
    <w:rsid w:val="00F631BB"/>
    <w:rsid w:val="00F6322E"/>
    <w:rsid w:val="00F63255"/>
    <w:rsid w:val="00F634B8"/>
    <w:rsid w:val="00F63536"/>
    <w:rsid w:val="00F63631"/>
    <w:rsid w:val="00F637A5"/>
    <w:rsid w:val="00F63903"/>
    <w:rsid w:val="00F63915"/>
    <w:rsid w:val="00F63994"/>
    <w:rsid w:val="00F63A47"/>
    <w:rsid w:val="00F63B25"/>
    <w:rsid w:val="00F63D7B"/>
    <w:rsid w:val="00F63E4B"/>
    <w:rsid w:val="00F64474"/>
    <w:rsid w:val="00F644C8"/>
    <w:rsid w:val="00F64538"/>
    <w:rsid w:val="00F6454C"/>
    <w:rsid w:val="00F6457B"/>
    <w:rsid w:val="00F64918"/>
    <w:rsid w:val="00F64B66"/>
    <w:rsid w:val="00F64CB1"/>
    <w:rsid w:val="00F64E42"/>
    <w:rsid w:val="00F64EC0"/>
    <w:rsid w:val="00F6502C"/>
    <w:rsid w:val="00F651AB"/>
    <w:rsid w:val="00F652F9"/>
    <w:rsid w:val="00F65399"/>
    <w:rsid w:val="00F6544D"/>
    <w:rsid w:val="00F654E9"/>
    <w:rsid w:val="00F65769"/>
    <w:rsid w:val="00F657F5"/>
    <w:rsid w:val="00F6580A"/>
    <w:rsid w:val="00F65833"/>
    <w:rsid w:val="00F65910"/>
    <w:rsid w:val="00F65979"/>
    <w:rsid w:val="00F65B30"/>
    <w:rsid w:val="00F65B47"/>
    <w:rsid w:val="00F65CAD"/>
    <w:rsid w:val="00F65CBF"/>
    <w:rsid w:val="00F65E4C"/>
    <w:rsid w:val="00F663E8"/>
    <w:rsid w:val="00F6641F"/>
    <w:rsid w:val="00F6653B"/>
    <w:rsid w:val="00F665CC"/>
    <w:rsid w:val="00F665EC"/>
    <w:rsid w:val="00F66681"/>
    <w:rsid w:val="00F6680A"/>
    <w:rsid w:val="00F66867"/>
    <w:rsid w:val="00F668EF"/>
    <w:rsid w:val="00F66A9E"/>
    <w:rsid w:val="00F66AD7"/>
    <w:rsid w:val="00F66B7E"/>
    <w:rsid w:val="00F66BF6"/>
    <w:rsid w:val="00F66DEB"/>
    <w:rsid w:val="00F66E4F"/>
    <w:rsid w:val="00F66EE4"/>
    <w:rsid w:val="00F66F9F"/>
    <w:rsid w:val="00F67029"/>
    <w:rsid w:val="00F6709E"/>
    <w:rsid w:val="00F67206"/>
    <w:rsid w:val="00F67391"/>
    <w:rsid w:val="00F673C2"/>
    <w:rsid w:val="00F674EA"/>
    <w:rsid w:val="00F67577"/>
    <w:rsid w:val="00F6758A"/>
    <w:rsid w:val="00F67747"/>
    <w:rsid w:val="00F6778D"/>
    <w:rsid w:val="00F67922"/>
    <w:rsid w:val="00F67934"/>
    <w:rsid w:val="00F67975"/>
    <w:rsid w:val="00F67B39"/>
    <w:rsid w:val="00F67B42"/>
    <w:rsid w:val="00F67C4E"/>
    <w:rsid w:val="00F67CDD"/>
    <w:rsid w:val="00F67D8A"/>
    <w:rsid w:val="00F67E38"/>
    <w:rsid w:val="00F67EC3"/>
    <w:rsid w:val="00F67EE5"/>
    <w:rsid w:val="00F70035"/>
    <w:rsid w:val="00F700C2"/>
    <w:rsid w:val="00F70199"/>
    <w:rsid w:val="00F70238"/>
    <w:rsid w:val="00F702FB"/>
    <w:rsid w:val="00F70730"/>
    <w:rsid w:val="00F709B2"/>
    <w:rsid w:val="00F709DC"/>
    <w:rsid w:val="00F70AAA"/>
    <w:rsid w:val="00F70C7B"/>
    <w:rsid w:val="00F70F5B"/>
    <w:rsid w:val="00F710B5"/>
    <w:rsid w:val="00F71112"/>
    <w:rsid w:val="00F7119A"/>
    <w:rsid w:val="00F71294"/>
    <w:rsid w:val="00F71385"/>
    <w:rsid w:val="00F71398"/>
    <w:rsid w:val="00F715F6"/>
    <w:rsid w:val="00F716F0"/>
    <w:rsid w:val="00F71774"/>
    <w:rsid w:val="00F71847"/>
    <w:rsid w:val="00F718DE"/>
    <w:rsid w:val="00F71911"/>
    <w:rsid w:val="00F71920"/>
    <w:rsid w:val="00F71A12"/>
    <w:rsid w:val="00F71AD7"/>
    <w:rsid w:val="00F71B0D"/>
    <w:rsid w:val="00F71CC6"/>
    <w:rsid w:val="00F71FCC"/>
    <w:rsid w:val="00F7214C"/>
    <w:rsid w:val="00F721A4"/>
    <w:rsid w:val="00F721AE"/>
    <w:rsid w:val="00F72271"/>
    <w:rsid w:val="00F723AC"/>
    <w:rsid w:val="00F72536"/>
    <w:rsid w:val="00F725D3"/>
    <w:rsid w:val="00F7260E"/>
    <w:rsid w:val="00F72617"/>
    <w:rsid w:val="00F726AF"/>
    <w:rsid w:val="00F727B8"/>
    <w:rsid w:val="00F727F6"/>
    <w:rsid w:val="00F7286A"/>
    <w:rsid w:val="00F72D62"/>
    <w:rsid w:val="00F72D75"/>
    <w:rsid w:val="00F72D99"/>
    <w:rsid w:val="00F72FA3"/>
    <w:rsid w:val="00F72FE3"/>
    <w:rsid w:val="00F7335F"/>
    <w:rsid w:val="00F7356C"/>
    <w:rsid w:val="00F7377E"/>
    <w:rsid w:val="00F73898"/>
    <w:rsid w:val="00F7389A"/>
    <w:rsid w:val="00F73A71"/>
    <w:rsid w:val="00F73B4A"/>
    <w:rsid w:val="00F73C1E"/>
    <w:rsid w:val="00F73E49"/>
    <w:rsid w:val="00F74345"/>
    <w:rsid w:val="00F74407"/>
    <w:rsid w:val="00F74474"/>
    <w:rsid w:val="00F744F8"/>
    <w:rsid w:val="00F745AE"/>
    <w:rsid w:val="00F74607"/>
    <w:rsid w:val="00F74619"/>
    <w:rsid w:val="00F7471E"/>
    <w:rsid w:val="00F74816"/>
    <w:rsid w:val="00F7499E"/>
    <w:rsid w:val="00F74AC0"/>
    <w:rsid w:val="00F74B58"/>
    <w:rsid w:val="00F74B83"/>
    <w:rsid w:val="00F74CF6"/>
    <w:rsid w:val="00F74DDB"/>
    <w:rsid w:val="00F751C0"/>
    <w:rsid w:val="00F75220"/>
    <w:rsid w:val="00F7535E"/>
    <w:rsid w:val="00F753C7"/>
    <w:rsid w:val="00F754F1"/>
    <w:rsid w:val="00F755BA"/>
    <w:rsid w:val="00F75662"/>
    <w:rsid w:val="00F756B3"/>
    <w:rsid w:val="00F757E1"/>
    <w:rsid w:val="00F7586F"/>
    <w:rsid w:val="00F75971"/>
    <w:rsid w:val="00F75988"/>
    <w:rsid w:val="00F759D5"/>
    <w:rsid w:val="00F75A56"/>
    <w:rsid w:val="00F75A72"/>
    <w:rsid w:val="00F75D05"/>
    <w:rsid w:val="00F761F6"/>
    <w:rsid w:val="00F762DD"/>
    <w:rsid w:val="00F762F2"/>
    <w:rsid w:val="00F763FF"/>
    <w:rsid w:val="00F76501"/>
    <w:rsid w:val="00F765EB"/>
    <w:rsid w:val="00F7661C"/>
    <w:rsid w:val="00F7674A"/>
    <w:rsid w:val="00F769CE"/>
    <w:rsid w:val="00F76DAB"/>
    <w:rsid w:val="00F76E2C"/>
    <w:rsid w:val="00F7700D"/>
    <w:rsid w:val="00F7720E"/>
    <w:rsid w:val="00F77212"/>
    <w:rsid w:val="00F7721B"/>
    <w:rsid w:val="00F77227"/>
    <w:rsid w:val="00F77290"/>
    <w:rsid w:val="00F775B4"/>
    <w:rsid w:val="00F775FE"/>
    <w:rsid w:val="00F77857"/>
    <w:rsid w:val="00F77907"/>
    <w:rsid w:val="00F77A59"/>
    <w:rsid w:val="00F77C13"/>
    <w:rsid w:val="00F77D26"/>
    <w:rsid w:val="00F77DC1"/>
    <w:rsid w:val="00F77E56"/>
    <w:rsid w:val="00F80055"/>
    <w:rsid w:val="00F80111"/>
    <w:rsid w:val="00F80178"/>
    <w:rsid w:val="00F80196"/>
    <w:rsid w:val="00F801AF"/>
    <w:rsid w:val="00F8026C"/>
    <w:rsid w:val="00F80588"/>
    <w:rsid w:val="00F8068B"/>
    <w:rsid w:val="00F806D9"/>
    <w:rsid w:val="00F80728"/>
    <w:rsid w:val="00F80A0A"/>
    <w:rsid w:val="00F80B8A"/>
    <w:rsid w:val="00F80BCD"/>
    <w:rsid w:val="00F80C4F"/>
    <w:rsid w:val="00F80C6E"/>
    <w:rsid w:val="00F80CDF"/>
    <w:rsid w:val="00F80CEF"/>
    <w:rsid w:val="00F80F6E"/>
    <w:rsid w:val="00F812D9"/>
    <w:rsid w:val="00F8164C"/>
    <w:rsid w:val="00F8171D"/>
    <w:rsid w:val="00F81798"/>
    <w:rsid w:val="00F81929"/>
    <w:rsid w:val="00F81C84"/>
    <w:rsid w:val="00F81E43"/>
    <w:rsid w:val="00F81F16"/>
    <w:rsid w:val="00F82040"/>
    <w:rsid w:val="00F827F8"/>
    <w:rsid w:val="00F82813"/>
    <w:rsid w:val="00F8293D"/>
    <w:rsid w:val="00F82949"/>
    <w:rsid w:val="00F829DE"/>
    <w:rsid w:val="00F829F1"/>
    <w:rsid w:val="00F82A49"/>
    <w:rsid w:val="00F82B19"/>
    <w:rsid w:val="00F82C1D"/>
    <w:rsid w:val="00F82EDA"/>
    <w:rsid w:val="00F83037"/>
    <w:rsid w:val="00F837B9"/>
    <w:rsid w:val="00F83805"/>
    <w:rsid w:val="00F8388E"/>
    <w:rsid w:val="00F83905"/>
    <w:rsid w:val="00F83C02"/>
    <w:rsid w:val="00F83C48"/>
    <w:rsid w:val="00F83CDB"/>
    <w:rsid w:val="00F83E7A"/>
    <w:rsid w:val="00F8408C"/>
    <w:rsid w:val="00F840BD"/>
    <w:rsid w:val="00F84193"/>
    <w:rsid w:val="00F84272"/>
    <w:rsid w:val="00F8450F"/>
    <w:rsid w:val="00F845B2"/>
    <w:rsid w:val="00F84773"/>
    <w:rsid w:val="00F84785"/>
    <w:rsid w:val="00F847A7"/>
    <w:rsid w:val="00F849D2"/>
    <w:rsid w:val="00F84A8B"/>
    <w:rsid w:val="00F84BA1"/>
    <w:rsid w:val="00F84CCD"/>
    <w:rsid w:val="00F84EB8"/>
    <w:rsid w:val="00F84ED4"/>
    <w:rsid w:val="00F850A9"/>
    <w:rsid w:val="00F852EA"/>
    <w:rsid w:val="00F855C5"/>
    <w:rsid w:val="00F855F9"/>
    <w:rsid w:val="00F85610"/>
    <w:rsid w:val="00F85645"/>
    <w:rsid w:val="00F8564C"/>
    <w:rsid w:val="00F856D3"/>
    <w:rsid w:val="00F8588B"/>
    <w:rsid w:val="00F85B39"/>
    <w:rsid w:val="00F85C8D"/>
    <w:rsid w:val="00F85D67"/>
    <w:rsid w:val="00F85D7B"/>
    <w:rsid w:val="00F85E33"/>
    <w:rsid w:val="00F85EA8"/>
    <w:rsid w:val="00F85EFA"/>
    <w:rsid w:val="00F85F16"/>
    <w:rsid w:val="00F8608D"/>
    <w:rsid w:val="00F862C6"/>
    <w:rsid w:val="00F86387"/>
    <w:rsid w:val="00F8645F"/>
    <w:rsid w:val="00F86498"/>
    <w:rsid w:val="00F86748"/>
    <w:rsid w:val="00F867DC"/>
    <w:rsid w:val="00F869D3"/>
    <w:rsid w:val="00F86B4C"/>
    <w:rsid w:val="00F86C01"/>
    <w:rsid w:val="00F86C4E"/>
    <w:rsid w:val="00F87043"/>
    <w:rsid w:val="00F87333"/>
    <w:rsid w:val="00F8739B"/>
    <w:rsid w:val="00F8750A"/>
    <w:rsid w:val="00F87638"/>
    <w:rsid w:val="00F87669"/>
    <w:rsid w:val="00F877E8"/>
    <w:rsid w:val="00F87806"/>
    <w:rsid w:val="00F878D5"/>
    <w:rsid w:val="00F87955"/>
    <w:rsid w:val="00F87972"/>
    <w:rsid w:val="00F87A08"/>
    <w:rsid w:val="00F87A98"/>
    <w:rsid w:val="00F87BDF"/>
    <w:rsid w:val="00F87EA7"/>
    <w:rsid w:val="00F87EAD"/>
    <w:rsid w:val="00F87F1E"/>
    <w:rsid w:val="00F87F36"/>
    <w:rsid w:val="00F9007E"/>
    <w:rsid w:val="00F90284"/>
    <w:rsid w:val="00F90378"/>
    <w:rsid w:val="00F90451"/>
    <w:rsid w:val="00F904D8"/>
    <w:rsid w:val="00F90546"/>
    <w:rsid w:val="00F905AD"/>
    <w:rsid w:val="00F9060C"/>
    <w:rsid w:val="00F90B98"/>
    <w:rsid w:val="00F90C25"/>
    <w:rsid w:val="00F90E54"/>
    <w:rsid w:val="00F90EE8"/>
    <w:rsid w:val="00F91080"/>
    <w:rsid w:val="00F91086"/>
    <w:rsid w:val="00F910DF"/>
    <w:rsid w:val="00F913C5"/>
    <w:rsid w:val="00F918E9"/>
    <w:rsid w:val="00F919C5"/>
    <w:rsid w:val="00F91CBD"/>
    <w:rsid w:val="00F91E7C"/>
    <w:rsid w:val="00F91F40"/>
    <w:rsid w:val="00F92087"/>
    <w:rsid w:val="00F9212D"/>
    <w:rsid w:val="00F923A8"/>
    <w:rsid w:val="00F924EB"/>
    <w:rsid w:val="00F924F5"/>
    <w:rsid w:val="00F9257C"/>
    <w:rsid w:val="00F9263E"/>
    <w:rsid w:val="00F92717"/>
    <w:rsid w:val="00F927E7"/>
    <w:rsid w:val="00F92BC5"/>
    <w:rsid w:val="00F92BFF"/>
    <w:rsid w:val="00F9300E"/>
    <w:rsid w:val="00F931A6"/>
    <w:rsid w:val="00F9376C"/>
    <w:rsid w:val="00F93A72"/>
    <w:rsid w:val="00F93A81"/>
    <w:rsid w:val="00F93D1A"/>
    <w:rsid w:val="00F93E2A"/>
    <w:rsid w:val="00F93EB5"/>
    <w:rsid w:val="00F93F1E"/>
    <w:rsid w:val="00F940CE"/>
    <w:rsid w:val="00F9411B"/>
    <w:rsid w:val="00F94272"/>
    <w:rsid w:val="00F94313"/>
    <w:rsid w:val="00F945E1"/>
    <w:rsid w:val="00F94617"/>
    <w:rsid w:val="00F9491F"/>
    <w:rsid w:val="00F94937"/>
    <w:rsid w:val="00F94D0F"/>
    <w:rsid w:val="00F94DD6"/>
    <w:rsid w:val="00F94ED1"/>
    <w:rsid w:val="00F94F82"/>
    <w:rsid w:val="00F94F9F"/>
    <w:rsid w:val="00F95108"/>
    <w:rsid w:val="00F951D5"/>
    <w:rsid w:val="00F9535C"/>
    <w:rsid w:val="00F953E4"/>
    <w:rsid w:val="00F955BF"/>
    <w:rsid w:val="00F956B2"/>
    <w:rsid w:val="00F9574D"/>
    <w:rsid w:val="00F957DE"/>
    <w:rsid w:val="00F957FD"/>
    <w:rsid w:val="00F95931"/>
    <w:rsid w:val="00F95994"/>
    <w:rsid w:val="00F95A07"/>
    <w:rsid w:val="00F95B9B"/>
    <w:rsid w:val="00F95D31"/>
    <w:rsid w:val="00F95E92"/>
    <w:rsid w:val="00F95FE9"/>
    <w:rsid w:val="00F96080"/>
    <w:rsid w:val="00F9625E"/>
    <w:rsid w:val="00F96349"/>
    <w:rsid w:val="00F96387"/>
    <w:rsid w:val="00F965DA"/>
    <w:rsid w:val="00F965F6"/>
    <w:rsid w:val="00F9677E"/>
    <w:rsid w:val="00F968B6"/>
    <w:rsid w:val="00F96A0F"/>
    <w:rsid w:val="00F96B32"/>
    <w:rsid w:val="00F96D9A"/>
    <w:rsid w:val="00F96F8D"/>
    <w:rsid w:val="00F970D5"/>
    <w:rsid w:val="00F97112"/>
    <w:rsid w:val="00F97355"/>
    <w:rsid w:val="00F974EC"/>
    <w:rsid w:val="00F97680"/>
    <w:rsid w:val="00F9772B"/>
    <w:rsid w:val="00F97730"/>
    <w:rsid w:val="00F9785F"/>
    <w:rsid w:val="00F97B3C"/>
    <w:rsid w:val="00F97C68"/>
    <w:rsid w:val="00F97CC9"/>
    <w:rsid w:val="00F97D4E"/>
    <w:rsid w:val="00F97F8C"/>
    <w:rsid w:val="00FA02A8"/>
    <w:rsid w:val="00FA02AF"/>
    <w:rsid w:val="00FA03C2"/>
    <w:rsid w:val="00FA05ED"/>
    <w:rsid w:val="00FA06BF"/>
    <w:rsid w:val="00FA06CE"/>
    <w:rsid w:val="00FA0708"/>
    <w:rsid w:val="00FA07E1"/>
    <w:rsid w:val="00FA0A4A"/>
    <w:rsid w:val="00FA0A78"/>
    <w:rsid w:val="00FA0AF3"/>
    <w:rsid w:val="00FA0B3D"/>
    <w:rsid w:val="00FA0BEC"/>
    <w:rsid w:val="00FA0DB9"/>
    <w:rsid w:val="00FA0F27"/>
    <w:rsid w:val="00FA15EA"/>
    <w:rsid w:val="00FA1624"/>
    <w:rsid w:val="00FA162A"/>
    <w:rsid w:val="00FA162B"/>
    <w:rsid w:val="00FA1B00"/>
    <w:rsid w:val="00FA1B30"/>
    <w:rsid w:val="00FA1CB5"/>
    <w:rsid w:val="00FA1D44"/>
    <w:rsid w:val="00FA1D67"/>
    <w:rsid w:val="00FA1DC0"/>
    <w:rsid w:val="00FA1E42"/>
    <w:rsid w:val="00FA231E"/>
    <w:rsid w:val="00FA232F"/>
    <w:rsid w:val="00FA2512"/>
    <w:rsid w:val="00FA2551"/>
    <w:rsid w:val="00FA267C"/>
    <w:rsid w:val="00FA277E"/>
    <w:rsid w:val="00FA27CB"/>
    <w:rsid w:val="00FA27D3"/>
    <w:rsid w:val="00FA27FC"/>
    <w:rsid w:val="00FA282C"/>
    <w:rsid w:val="00FA2A6F"/>
    <w:rsid w:val="00FA2BAB"/>
    <w:rsid w:val="00FA2DE1"/>
    <w:rsid w:val="00FA2DEC"/>
    <w:rsid w:val="00FA3044"/>
    <w:rsid w:val="00FA3083"/>
    <w:rsid w:val="00FA3158"/>
    <w:rsid w:val="00FA349A"/>
    <w:rsid w:val="00FA34AA"/>
    <w:rsid w:val="00FA3745"/>
    <w:rsid w:val="00FA3820"/>
    <w:rsid w:val="00FA39AD"/>
    <w:rsid w:val="00FA39DB"/>
    <w:rsid w:val="00FA3A1D"/>
    <w:rsid w:val="00FA3ACA"/>
    <w:rsid w:val="00FA3C17"/>
    <w:rsid w:val="00FA3DF8"/>
    <w:rsid w:val="00FA3E1A"/>
    <w:rsid w:val="00FA3E7E"/>
    <w:rsid w:val="00FA3F9E"/>
    <w:rsid w:val="00FA406A"/>
    <w:rsid w:val="00FA41D1"/>
    <w:rsid w:val="00FA426E"/>
    <w:rsid w:val="00FA4425"/>
    <w:rsid w:val="00FA4434"/>
    <w:rsid w:val="00FA4495"/>
    <w:rsid w:val="00FA462F"/>
    <w:rsid w:val="00FA4799"/>
    <w:rsid w:val="00FA47FC"/>
    <w:rsid w:val="00FA48B4"/>
    <w:rsid w:val="00FA4922"/>
    <w:rsid w:val="00FA4A09"/>
    <w:rsid w:val="00FA4C2A"/>
    <w:rsid w:val="00FA4CF0"/>
    <w:rsid w:val="00FA4D8F"/>
    <w:rsid w:val="00FA4E26"/>
    <w:rsid w:val="00FA4EF6"/>
    <w:rsid w:val="00FA5117"/>
    <w:rsid w:val="00FA5165"/>
    <w:rsid w:val="00FA51E7"/>
    <w:rsid w:val="00FA5214"/>
    <w:rsid w:val="00FA52E1"/>
    <w:rsid w:val="00FA53B4"/>
    <w:rsid w:val="00FA58E5"/>
    <w:rsid w:val="00FA5926"/>
    <w:rsid w:val="00FA5ACF"/>
    <w:rsid w:val="00FA5B37"/>
    <w:rsid w:val="00FA5C7C"/>
    <w:rsid w:val="00FA5D4E"/>
    <w:rsid w:val="00FA5E4C"/>
    <w:rsid w:val="00FA5F72"/>
    <w:rsid w:val="00FA61DE"/>
    <w:rsid w:val="00FA62A1"/>
    <w:rsid w:val="00FA655F"/>
    <w:rsid w:val="00FA6586"/>
    <w:rsid w:val="00FA659D"/>
    <w:rsid w:val="00FA65E4"/>
    <w:rsid w:val="00FA6C4B"/>
    <w:rsid w:val="00FA6D47"/>
    <w:rsid w:val="00FA6DA3"/>
    <w:rsid w:val="00FA7210"/>
    <w:rsid w:val="00FA72D2"/>
    <w:rsid w:val="00FA7381"/>
    <w:rsid w:val="00FA73C8"/>
    <w:rsid w:val="00FA7534"/>
    <w:rsid w:val="00FA76C6"/>
    <w:rsid w:val="00FA7861"/>
    <w:rsid w:val="00FA7A6D"/>
    <w:rsid w:val="00FA7DA8"/>
    <w:rsid w:val="00FA7E68"/>
    <w:rsid w:val="00FA7ED1"/>
    <w:rsid w:val="00FA7F01"/>
    <w:rsid w:val="00FA7FDB"/>
    <w:rsid w:val="00FB0028"/>
    <w:rsid w:val="00FB02C8"/>
    <w:rsid w:val="00FB0383"/>
    <w:rsid w:val="00FB0394"/>
    <w:rsid w:val="00FB0403"/>
    <w:rsid w:val="00FB052A"/>
    <w:rsid w:val="00FB06FC"/>
    <w:rsid w:val="00FB0792"/>
    <w:rsid w:val="00FB07D7"/>
    <w:rsid w:val="00FB08DF"/>
    <w:rsid w:val="00FB0A35"/>
    <w:rsid w:val="00FB0A8E"/>
    <w:rsid w:val="00FB0AFE"/>
    <w:rsid w:val="00FB0CD5"/>
    <w:rsid w:val="00FB0DB0"/>
    <w:rsid w:val="00FB0E65"/>
    <w:rsid w:val="00FB0FFC"/>
    <w:rsid w:val="00FB115C"/>
    <w:rsid w:val="00FB11D7"/>
    <w:rsid w:val="00FB16D7"/>
    <w:rsid w:val="00FB1869"/>
    <w:rsid w:val="00FB1B81"/>
    <w:rsid w:val="00FB1C15"/>
    <w:rsid w:val="00FB21F6"/>
    <w:rsid w:val="00FB2296"/>
    <w:rsid w:val="00FB251E"/>
    <w:rsid w:val="00FB253E"/>
    <w:rsid w:val="00FB25AB"/>
    <w:rsid w:val="00FB27A0"/>
    <w:rsid w:val="00FB2990"/>
    <w:rsid w:val="00FB2A93"/>
    <w:rsid w:val="00FB2ACB"/>
    <w:rsid w:val="00FB2BD9"/>
    <w:rsid w:val="00FB2D5B"/>
    <w:rsid w:val="00FB2DE9"/>
    <w:rsid w:val="00FB2E1F"/>
    <w:rsid w:val="00FB2E24"/>
    <w:rsid w:val="00FB2E43"/>
    <w:rsid w:val="00FB2FD2"/>
    <w:rsid w:val="00FB3109"/>
    <w:rsid w:val="00FB3232"/>
    <w:rsid w:val="00FB3238"/>
    <w:rsid w:val="00FB34A0"/>
    <w:rsid w:val="00FB3599"/>
    <w:rsid w:val="00FB35A5"/>
    <w:rsid w:val="00FB367C"/>
    <w:rsid w:val="00FB387F"/>
    <w:rsid w:val="00FB38AC"/>
    <w:rsid w:val="00FB3960"/>
    <w:rsid w:val="00FB3984"/>
    <w:rsid w:val="00FB3A7A"/>
    <w:rsid w:val="00FB3B4D"/>
    <w:rsid w:val="00FB3B8B"/>
    <w:rsid w:val="00FB3BA9"/>
    <w:rsid w:val="00FB3C47"/>
    <w:rsid w:val="00FB3D18"/>
    <w:rsid w:val="00FB3DBC"/>
    <w:rsid w:val="00FB3F02"/>
    <w:rsid w:val="00FB3F9B"/>
    <w:rsid w:val="00FB4024"/>
    <w:rsid w:val="00FB422D"/>
    <w:rsid w:val="00FB43CE"/>
    <w:rsid w:val="00FB442E"/>
    <w:rsid w:val="00FB4448"/>
    <w:rsid w:val="00FB4515"/>
    <w:rsid w:val="00FB45BD"/>
    <w:rsid w:val="00FB45CD"/>
    <w:rsid w:val="00FB46B3"/>
    <w:rsid w:val="00FB4765"/>
    <w:rsid w:val="00FB4970"/>
    <w:rsid w:val="00FB4A63"/>
    <w:rsid w:val="00FB4AAD"/>
    <w:rsid w:val="00FB4B8E"/>
    <w:rsid w:val="00FB4B94"/>
    <w:rsid w:val="00FB4CB1"/>
    <w:rsid w:val="00FB4CD1"/>
    <w:rsid w:val="00FB4D85"/>
    <w:rsid w:val="00FB503A"/>
    <w:rsid w:val="00FB513E"/>
    <w:rsid w:val="00FB516C"/>
    <w:rsid w:val="00FB530D"/>
    <w:rsid w:val="00FB5491"/>
    <w:rsid w:val="00FB5582"/>
    <w:rsid w:val="00FB5698"/>
    <w:rsid w:val="00FB56E5"/>
    <w:rsid w:val="00FB5785"/>
    <w:rsid w:val="00FB59A9"/>
    <w:rsid w:val="00FB59BF"/>
    <w:rsid w:val="00FB59C0"/>
    <w:rsid w:val="00FB5BE8"/>
    <w:rsid w:val="00FB5C1A"/>
    <w:rsid w:val="00FB5CC9"/>
    <w:rsid w:val="00FB5DC8"/>
    <w:rsid w:val="00FB5E13"/>
    <w:rsid w:val="00FB5E2F"/>
    <w:rsid w:val="00FB605A"/>
    <w:rsid w:val="00FB6184"/>
    <w:rsid w:val="00FB61E6"/>
    <w:rsid w:val="00FB61E8"/>
    <w:rsid w:val="00FB6209"/>
    <w:rsid w:val="00FB63EE"/>
    <w:rsid w:val="00FB6506"/>
    <w:rsid w:val="00FB66E1"/>
    <w:rsid w:val="00FB67E8"/>
    <w:rsid w:val="00FB6905"/>
    <w:rsid w:val="00FB69D0"/>
    <w:rsid w:val="00FB6B92"/>
    <w:rsid w:val="00FB6BD0"/>
    <w:rsid w:val="00FB6ED6"/>
    <w:rsid w:val="00FB7043"/>
    <w:rsid w:val="00FB70C3"/>
    <w:rsid w:val="00FB7175"/>
    <w:rsid w:val="00FB739B"/>
    <w:rsid w:val="00FB73A2"/>
    <w:rsid w:val="00FB74D8"/>
    <w:rsid w:val="00FB75F6"/>
    <w:rsid w:val="00FB76AB"/>
    <w:rsid w:val="00FB78D6"/>
    <w:rsid w:val="00FB78FA"/>
    <w:rsid w:val="00FB7AA8"/>
    <w:rsid w:val="00FB7AFE"/>
    <w:rsid w:val="00FB7B17"/>
    <w:rsid w:val="00FB7C93"/>
    <w:rsid w:val="00FB7C9E"/>
    <w:rsid w:val="00FB7D19"/>
    <w:rsid w:val="00FB7E35"/>
    <w:rsid w:val="00FB7E52"/>
    <w:rsid w:val="00FB7F20"/>
    <w:rsid w:val="00FB7F2A"/>
    <w:rsid w:val="00FB7FEA"/>
    <w:rsid w:val="00FC0036"/>
    <w:rsid w:val="00FC00EF"/>
    <w:rsid w:val="00FC0101"/>
    <w:rsid w:val="00FC0107"/>
    <w:rsid w:val="00FC0350"/>
    <w:rsid w:val="00FC0377"/>
    <w:rsid w:val="00FC058B"/>
    <w:rsid w:val="00FC05AD"/>
    <w:rsid w:val="00FC0643"/>
    <w:rsid w:val="00FC091E"/>
    <w:rsid w:val="00FC0949"/>
    <w:rsid w:val="00FC0B80"/>
    <w:rsid w:val="00FC0D0A"/>
    <w:rsid w:val="00FC0E76"/>
    <w:rsid w:val="00FC101B"/>
    <w:rsid w:val="00FC119B"/>
    <w:rsid w:val="00FC1278"/>
    <w:rsid w:val="00FC12D5"/>
    <w:rsid w:val="00FC1385"/>
    <w:rsid w:val="00FC14E0"/>
    <w:rsid w:val="00FC15E8"/>
    <w:rsid w:val="00FC1747"/>
    <w:rsid w:val="00FC1910"/>
    <w:rsid w:val="00FC193D"/>
    <w:rsid w:val="00FC197F"/>
    <w:rsid w:val="00FC1998"/>
    <w:rsid w:val="00FC1BE5"/>
    <w:rsid w:val="00FC1C17"/>
    <w:rsid w:val="00FC1EE4"/>
    <w:rsid w:val="00FC1F25"/>
    <w:rsid w:val="00FC2349"/>
    <w:rsid w:val="00FC2900"/>
    <w:rsid w:val="00FC2A59"/>
    <w:rsid w:val="00FC2C7D"/>
    <w:rsid w:val="00FC2CB2"/>
    <w:rsid w:val="00FC2D98"/>
    <w:rsid w:val="00FC33D6"/>
    <w:rsid w:val="00FC342F"/>
    <w:rsid w:val="00FC3556"/>
    <w:rsid w:val="00FC3732"/>
    <w:rsid w:val="00FC3753"/>
    <w:rsid w:val="00FC3996"/>
    <w:rsid w:val="00FC3AA5"/>
    <w:rsid w:val="00FC3AA9"/>
    <w:rsid w:val="00FC3E06"/>
    <w:rsid w:val="00FC3E1B"/>
    <w:rsid w:val="00FC3E5E"/>
    <w:rsid w:val="00FC3E92"/>
    <w:rsid w:val="00FC3EC5"/>
    <w:rsid w:val="00FC3EF3"/>
    <w:rsid w:val="00FC4067"/>
    <w:rsid w:val="00FC461D"/>
    <w:rsid w:val="00FC4782"/>
    <w:rsid w:val="00FC49FE"/>
    <w:rsid w:val="00FC4C06"/>
    <w:rsid w:val="00FC4C15"/>
    <w:rsid w:val="00FC4DB8"/>
    <w:rsid w:val="00FC4E36"/>
    <w:rsid w:val="00FC4F33"/>
    <w:rsid w:val="00FC506D"/>
    <w:rsid w:val="00FC5182"/>
    <w:rsid w:val="00FC52BA"/>
    <w:rsid w:val="00FC53AE"/>
    <w:rsid w:val="00FC542D"/>
    <w:rsid w:val="00FC5432"/>
    <w:rsid w:val="00FC5485"/>
    <w:rsid w:val="00FC54F0"/>
    <w:rsid w:val="00FC577F"/>
    <w:rsid w:val="00FC5A15"/>
    <w:rsid w:val="00FC5AAF"/>
    <w:rsid w:val="00FC5B86"/>
    <w:rsid w:val="00FC5C5A"/>
    <w:rsid w:val="00FC5D5E"/>
    <w:rsid w:val="00FC5E95"/>
    <w:rsid w:val="00FC5EED"/>
    <w:rsid w:val="00FC60C5"/>
    <w:rsid w:val="00FC61C7"/>
    <w:rsid w:val="00FC6215"/>
    <w:rsid w:val="00FC621A"/>
    <w:rsid w:val="00FC6282"/>
    <w:rsid w:val="00FC63A5"/>
    <w:rsid w:val="00FC651F"/>
    <w:rsid w:val="00FC661C"/>
    <w:rsid w:val="00FC6A79"/>
    <w:rsid w:val="00FC6C7E"/>
    <w:rsid w:val="00FC6CEC"/>
    <w:rsid w:val="00FC6DCC"/>
    <w:rsid w:val="00FC70E9"/>
    <w:rsid w:val="00FC713F"/>
    <w:rsid w:val="00FC71DB"/>
    <w:rsid w:val="00FC72BA"/>
    <w:rsid w:val="00FC72FA"/>
    <w:rsid w:val="00FC73F3"/>
    <w:rsid w:val="00FC7523"/>
    <w:rsid w:val="00FC755A"/>
    <w:rsid w:val="00FC7707"/>
    <w:rsid w:val="00FC77C4"/>
    <w:rsid w:val="00FC77FB"/>
    <w:rsid w:val="00FC7961"/>
    <w:rsid w:val="00FC7985"/>
    <w:rsid w:val="00FC7D15"/>
    <w:rsid w:val="00FC7D57"/>
    <w:rsid w:val="00FC7D83"/>
    <w:rsid w:val="00FC7E2E"/>
    <w:rsid w:val="00FC7E49"/>
    <w:rsid w:val="00FC7E4F"/>
    <w:rsid w:val="00FC7EF0"/>
    <w:rsid w:val="00FC7FE7"/>
    <w:rsid w:val="00FD006B"/>
    <w:rsid w:val="00FD00B9"/>
    <w:rsid w:val="00FD010A"/>
    <w:rsid w:val="00FD011F"/>
    <w:rsid w:val="00FD01E0"/>
    <w:rsid w:val="00FD01F5"/>
    <w:rsid w:val="00FD0236"/>
    <w:rsid w:val="00FD036A"/>
    <w:rsid w:val="00FD049F"/>
    <w:rsid w:val="00FD0627"/>
    <w:rsid w:val="00FD0758"/>
    <w:rsid w:val="00FD07B9"/>
    <w:rsid w:val="00FD0807"/>
    <w:rsid w:val="00FD0A15"/>
    <w:rsid w:val="00FD0B13"/>
    <w:rsid w:val="00FD0B8E"/>
    <w:rsid w:val="00FD0C8B"/>
    <w:rsid w:val="00FD0CFD"/>
    <w:rsid w:val="00FD0E58"/>
    <w:rsid w:val="00FD0EF0"/>
    <w:rsid w:val="00FD0F83"/>
    <w:rsid w:val="00FD0FEA"/>
    <w:rsid w:val="00FD1054"/>
    <w:rsid w:val="00FD10C6"/>
    <w:rsid w:val="00FD1280"/>
    <w:rsid w:val="00FD1467"/>
    <w:rsid w:val="00FD1682"/>
    <w:rsid w:val="00FD174D"/>
    <w:rsid w:val="00FD1783"/>
    <w:rsid w:val="00FD1801"/>
    <w:rsid w:val="00FD18F4"/>
    <w:rsid w:val="00FD1987"/>
    <w:rsid w:val="00FD1CBA"/>
    <w:rsid w:val="00FD1DEE"/>
    <w:rsid w:val="00FD236D"/>
    <w:rsid w:val="00FD23AC"/>
    <w:rsid w:val="00FD23D4"/>
    <w:rsid w:val="00FD25A0"/>
    <w:rsid w:val="00FD278A"/>
    <w:rsid w:val="00FD2874"/>
    <w:rsid w:val="00FD2958"/>
    <w:rsid w:val="00FD2A33"/>
    <w:rsid w:val="00FD2A75"/>
    <w:rsid w:val="00FD2C37"/>
    <w:rsid w:val="00FD2C7F"/>
    <w:rsid w:val="00FD2D4B"/>
    <w:rsid w:val="00FD2D80"/>
    <w:rsid w:val="00FD2DCD"/>
    <w:rsid w:val="00FD2E60"/>
    <w:rsid w:val="00FD2F77"/>
    <w:rsid w:val="00FD2F7D"/>
    <w:rsid w:val="00FD3076"/>
    <w:rsid w:val="00FD3136"/>
    <w:rsid w:val="00FD3169"/>
    <w:rsid w:val="00FD31F4"/>
    <w:rsid w:val="00FD3361"/>
    <w:rsid w:val="00FD34A2"/>
    <w:rsid w:val="00FD35D7"/>
    <w:rsid w:val="00FD360E"/>
    <w:rsid w:val="00FD3661"/>
    <w:rsid w:val="00FD36B7"/>
    <w:rsid w:val="00FD3757"/>
    <w:rsid w:val="00FD3865"/>
    <w:rsid w:val="00FD39E1"/>
    <w:rsid w:val="00FD3A29"/>
    <w:rsid w:val="00FD3CC9"/>
    <w:rsid w:val="00FD3DE0"/>
    <w:rsid w:val="00FD3ED5"/>
    <w:rsid w:val="00FD4032"/>
    <w:rsid w:val="00FD4035"/>
    <w:rsid w:val="00FD4135"/>
    <w:rsid w:val="00FD41A2"/>
    <w:rsid w:val="00FD41BD"/>
    <w:rsid w:val="00FD41EE"/>
    <w:rsid w:val="00FD421D"/>
    <w:rsid w:val="00FD430A"/>
    <w:rsid w:val="00FD43D2"/>
    <w:rsid w:val="00FD4531"/>
    <w:rsid w:val="00FD457D"/>
    <w:rsid w:val="00FD472A"/>
    <w:rsid w:val="00FD4816"/>
    <w:rsid w:val="00FD4B5F"/>
    <w:rsid w:val="00FD4BAD"/>
    <w:rsid w:val="00FD4BFF"/>
    <w:rsid w:val="00FD4E50"/>
    <w:rsid w:val="00FD4E55"/>
    <w:rsid w:val="00FD4F68"/>
    <w:rsid w:val="00FD514D"/>
    <w:rsid w:val="00FD51A6"/>
    <w:rsid w:val="00FD524A"/>
    <w:rsid w:val="00FD525F"/>
    <w:rsid w:val="00FD548C"/>
    <w:rsid w:val="00FD54BC"/>
    <w:rsid w:val="00FD54DB"/>
    <w:rsid w:val="00FD551A"/>
    <w:rsid w:val="00FD5568"/>
    <w:rsid w:val="00FD56E6"/>
    <w:rsid w:val="00FD58CE"/>
    <w:rsid w:val="00FD59A1"/>
    <w:rsid w:val="00FD5B0A"/>
    <w:rsid w:val="00FD5C00"/>
    <w:rsid w:val="00FD5EBC"/>
    <w:rsid w:val="00FD60A6"/>
    <w:rsid w:val="00FD6152"/>
    <w:rsid w:val="00FD619F"/>
    <w:rsid w:val="00FD62FB"/>
    <w:rsid w:val="00FD634D"/>
    <w:rsid w:val="00FD642C"/>
    <w:rsid w:val="00FD644F"/>
    <w:rsid w:val="00FD64C4"/>
    <w:rsid w:val="00FD6581"/>
    <w:rsid w:val="00FD65FB"/>
    <w:rsid w:val="00FD6662"/>
    <w:rsid w:val="00FD687C"/>
    <w:rsid w:val="00FD6B6E"/>
    <w:rsid w:val="00FD6C27"/>
    <w:rsid w:val="00FD6C32"/>
    <w:rsid w:val="00FD6E11"/>
    <w:rsid w:val="00FD6E70"/>
    <w:rsid w:val="00FD73C5"/>
    <w:rsid w:val="00FD73D9"/>
    <w:rsid w:val="00FD755C"/>
    <w:rsid w:val="00FD7645"/>
    <w:rsid w:val="00FD7679"/>
    <w:rsid w:val="00FD775C"/>
    <w:rsid w:val="00FD779E"/>
    <w:rsid w:val="00FD78C7"/>
    <w:rsid w:val="00FD78E5"/>
    <w:rsid w:val="00FD790A"/>
    <w:rsid w:val="00FD7A4C"/>
    <w:rsid w:val="00FD7B40"/>
    <w:rsid w:val="00FD7BA6"/>
    <w:rsid w:val="00FD7EF7"/>
    <w:rsid w:val="00FE04E2"/>
    <w:rsid w:val="00FE06B5"/>
    <w:rsid w:val="00FE07FB"/>
    <w:rsid w:val="00FE0834"/>
    <w:rsid w:val="00FE088F"/>
    <w:rsid w:val="00FE0AA8"/>
    <w:rsid w:val="00FE0D75"/>
    <w:rsid w:val="00FE0DA7"/>
    <w:rsid w:val="00FE0DFE"/>
    <w:rsid w:val="00FE0EFE"/>
    <w:rsid w:val="00FE0FCA"/>
    <w:rsid w:val="00FE10E2"/>
    <w:rsid w:val="00FE10EE"/>
    <w:rsid w:val="00FE1101"/>
    <w:rsid w:val="00FE1207"/>
    <w:rsid w:val="00FE12DE"/>
    <w:rsid w:val="00FE1440"/>
    <w:rsid w:val="00FE14A4"/>
    <w:rsid w:val="00FE1523"/>
    <w:rsid w:val="00FE15F9"/>
    <w:rsid w:val="00FE162F"/>
    <w:rsid w:val="00FE1662"/>
    <w:rsid w:val="00FE1731"/>
    <w:rsid w:val="00FE1BF4"/>
    <w:rsid w:val="00FE1C73"/>
    <w:rsid w:val="00FE1D4E"/>
    <w:rsid w:val="00FE1E2E"/>
    <w:rsid w:val="00FE1E57"/>
    <w:rsid w:val="00FE1FC3"/>
    <w:rsid w:val="00FE1FFD"/>
    <w:rsid w:val="00FE2026"/>
    <w:rsid w:val="00FE21C3"/>
    <w:rsid w:val="00FE22B3"/>
    <w:rsid w:val="00FE23E3"/>
    <w:rsid w:val="00FE246A"/>
    <w:rsid w:val="00FE2474"/>
    <w:rsid w:val="00FE24D8"/>
    <w:rsid w:val="00FE2647"/>
    <w:rsid w:val="00FE2728"/>
    <w:rsid w:val="00FE27B6"/>
    <w:rsid w:val="00FE2853"/>
    <w:rsid w:val="00FE28BF"/>
    <w:rsid w:val="00FE2A6A"/>
    <w:rsid w:val="00FE2A88"/>
    <w:rsid w:val="00FE2B0D"/>
    <w:rsid w:val="00FE2D57"/>
    <w:rsid w:val="00FE2D9A"/>
    <w:rsid w:val="00FE2E15"/>
    <w:rsid w:val="00FE2EC0"/>
    <w:rsid w:val="00FE2F88"/>
    <w:rsid w:val="00FE2FC9"/>
    <w:rsid w:val="00FE31B4"/>
    <w:rsid w:val="00FE321E"/>
    <w:rsid w:val="00FE334E"/>
    <w:rsid w:val="00FE35E0"/>
    <w:rsid w:val="00FE35F5"/>
    <w:rsid w:val="00FE3615"/>
    <w:rsid w:val="00FE3631"/>
    <w:rsid w:val="00FE3808"/>
    <w:rsid w:val="00FE390D"/>
    <w:rsid w:val="00FE39E5"/>
    <w:rsid w:val="00FE3A23"/>
    <w:rsid w:val="00FE3C36"/>
    <w:rsid w:val="00FE3CD4"/>
    <w:rsid w:val="00FE3D97"/>
    <w:rsid w:val="00FE3E2A"/>
    <w:rsid w:val="00FE3F92"/>
    <w:rsid w:val="00FE4016"/>
    <w:rsid w:val="00FE41F1"/>
    <w:rsid w:val="00FE41F9"/>
    <w:rsid w:val="00FE42E4"/>
    <w:rsid w:val="00FE4401"/>
    <w:rsid w:val="00FE4571"/>
    <w:rsid w:val="00FE47C6"/>
    <w:rsid w:val="00FE480C"/>
    <w:rsid w:val="00FE491C"/>
    <w:rsid w:val="00FE4A78"/>
    <w:rsid w:val="00FE4B9F"/>
    <w:rsid w:val="00FE4BBB"/>
    <w:rsid w:val="00FE4D0A"/>
    <w:rsid w:val="00FE4DB3"/>
    <w:rsid w:val="00FE4DC6"/>
    <w:rsid w:val="00FE4DF3"/>
    <w:rsid w:val="00FE4E7B"/>
    <w:rsid w:val="00FE4F33"/>
    <w:rsid w:val="00FE4F9E"/>
    <w:rsid w:val="00FE500A"/>
    <w:rsid w:val="00FE5095"/>
    <w:rsid w:val="00FE555F"/>
    <w:rsid w:val="00FE5609"/>
    <w:rsid w:val="00FE572E"/>
    <w:rsid w:val="00FE57BB"/>
    <w:rsid w:val="00FE57DA"/>
    <w:rsid w:val="00FE5862"/>
    <w:rsid w:val="00FE597E"/>
    <w:rsid w:val="00FE5B59"/>
    <w:rsid w:val="00FE5CA5"/>
    <w:rsid w:val="00FE5CAD"/>
    <w:rsid w:val="00FE5DE1"/>
    <w:rsid w:val="00FE6016"/>
    <w:rsid w:val="00FE6040"/>
    <w:rsid w:val="00FE6053"/>
    <w:rsid w:val="00FE60C1"/>
    <w:rsid w:val="00FE626B"/>
    <w:rsid w:val="00FE62B7"/>
    <w:rsid w:val="00FE63FA"/>
    <w:rsid w:val="00FE6463"/>
    <w:rsid w:val="00FE670A"/>
    <w:rsid w:val="00FE68B1"/>
    <w:rsid w:val="00FE6923"/>
    <w:rsid w:val="00FE696A"/>
    <w:rsid w:val="00FE6C3F"/>
    <w:rsid w:val="00FE6CA1"/>
    <w:rsid w:val="00FE7171"/>
    <w:rsid w:val="00FE7272"/>
    <w:rsid w:val="00FE7341"/>
    <w:rsid w:val="00FE73D4"/>
    <w:rsid w:val="00FE73DA"/>
    <w:rsid w:val="00FE74CF"/>
    <w:rsid w:val="00FE775A"/>
    <w:rsid w:val="00FE77CA"/>
    <w:rsid w:val="00FE7926"/>
    <w:rsid w:val="00FE798F"/>
    <w:rsid w:val="00FE79C9"/>
    <w:rsid w:val="00FE7C53"/>
    <w:rsid w:val="00FE7CD3"/>
    <w:rsid w:val="00FE7DEA"/>
    <w:rsid w:val="00FF028A"/>
    <w:rsid w:val="00FF0382"/>
    <w:rsid w:val="00FF03C3"/>
    <w:rsid w:val="00FF0405"/>
    <w:rsid w:val="00FF050C"/>
    <w:rsid w:val="00FF0817"/>
    <w:rsid w:val="00FF0A0E"/>
    <w:rsid w:val="00FF0C9B"/>
    <w:rsid w:val="00FF0F1D"/>
    <w:rsid w:val="00FF10F7"/>
    <w:rsid w:val="00FF10FD"/>
    <w:rsid w:val="00FF118C"/>
    <w:rsid w:val="00FF1303"/>
    <w:rsid w:val="00FF1309"/>
    <w:rsid w:val="00FF1542"/>
    <w:rsid w:val="00FF15E5"/>
    <w:rsid w:val="00FF15FB"/>
    <w:rsid w:val="00FF1630"/>
    <w:rsid w:val="00FF17DA"/>
    <w:rsid w:val="00FF1CE8"/>
    <w:rsid w:val="00FF1D88"/>
    <w:rsid w:val="00FF1DA8"/>
    <w:rsid w:val="00FF1DF6"/>
    <w:rsid w:val="00FF1ED8"/>
    <w:rsid w:val="00FF1EEE"/>
    <w:rsid w:val="00FF2008"/>
    <w:rsid w:val="00FF2023"/>
    <w:rsid w:val="00FF20CA"/>
    <w:rsid w:val="00FF257A"/>
    <w:rsid w:val="00FF2595"/>
    <w:rsid w:val="00FF25B1"/>
    <w:rsid w:val="00FF26A7"/>
    <w:rsid w:val="00FF2733"/>
    <w:rsid w:val="00FF27A9"/>
    <w:rsid w:val="00FF2887"/>
    <w:rsid w:val="00FF294B"/>
    <w:rsid w:val="00FF2B62"/>
    <w:rsid w:val="00FF2B6C"/>
    <w:rsid w:val="00FF2BEA"/>
    <w:rsid w:val="00FF2C59"/>
    <w:rsid w:val="00FF2C6E"/>
    <w:rsid w:val="00FF2E21"/>
    <w:rsid w:val="00FF2F0F"/>
    <w:rsid w:val="00FF307A"/>
    <w:rsid w:val="00FF30A9"/>
    <w:rsid w:val="00FF315A"/>
    <w:rsid w:val="00FF3184"/>
    <w:rsid w:val="00FF31EB"/>
    <w:rsid w:val="00FF3318"/>
    <w:rsid w:val="00FF33AE"/>
    <w:rsid w:val="00FF343B"/>
    <w:rsid w:val="00FF368A"/>
    <w:rsid w:val="00FF3690"/>
    <w:rsid w:val="00FF371F"/>
    <w:rsid w:val="00FF37D8"/>
    <w:rsid w:val="00FF387E"/>
    <w:rsid w:val="00FF3989"/>
    <w:rsid w:val="00FF398E"/>
    <w:rsid w:val="00FF39A9"/>
    <w:rsid w:val="00FF39D0"/>
    <w:rsid w:val="00FF3A2D"/>
    <w:rsid w:val="00FF3B6C"/>
    <w:rsid w:val="00FF3CF1"/>
    <w:rsid w:val="00FF3DB1"/>
    <w:rsid w:val="00FF3DED"/>
    <w:rsid w:val="00FF3F8A"/>
    <w:rsid w:val="00FF40E2"/>
    <w:rsid w:val="00FF44F1"/>
    <w:rsid w:val="00FF45BD"/>
    <w:rsid w:val="00FF46F6"/>
    <w:rsid w:val="00FF475D"/>
    <w:rsid w:val="00FF4B44"/>
    <w:rsid w:val="00FF4C76"/>
    <w:rsid w:val="00FF4D67"/>
    <w:rsid w:val="00FF5000"/>
    <w:rsid w:val="00FF5018"/>
    <w:rsid w:val="00FF52F3"/>
    <w:rsid w:val="00FF5624"/>
    <w:rsid w:val="00FF5728"/>
    <w:rsid w:val="00FF5730"/>
    <w:rsid w:val="00FF58A6"/>
    <w:rsid w:val="00FF58A9"/>
    <w:rsid w:val="00FF5B37"/>
    <w:rsid w:val="00FF5CCB"/>
    <w:rsid w:val="00FF5DF5"/>
    <w:rsid w:val="00FF5E11"/>
    <w:rsid w:val="00FF61DE"/>
    <w:rsid w:val="00FF6204"/>
    <w:rsid w:val="00FF64E3"/>
    <w:rsid w:val="00FF6509"/>
    <w:rsid w:val="00FF66B3"/>
    <w:rsid w:val="00FF683E"/>
    <w:rsid w:val="00FF6888"/>
    <w:rsid w:val="00FF68A4"/>
    <w:rsid w:val="00FF6B1C"/>
    <w:rsid w:val="00FF6E53"/>
    <w:rsid w:val="00FF6F2B"/>
    <w:rsid w:val="00FF705B"/>
    <w:rsid w:val="00FF7090"/>
    <w:rsid w:val="00FF7124"/>
    <w:rsid w:val="00FF71CE"/>
    <w:rsid w:val="00FF7233"/>
    <w:rsid w:val="00FF72C7"/>
    <w:rsid w:val="00FF73C1"/>
    <w:rsid w:val="00FF7437"/>
    <w:rsid w:val="00FF7741"/>
    <w:rsid w:val="00FF78EE"/>
    <w:rsid w:val="00FF7911"/>
    <w:rsid w:val="00FF7996"/>
    <w:rsid w:val="00FF7D66"/>
    <w:rsid w:val="00FF7E1D"/>
    <w:rsid w:val="010827C0"/>
    <w:rsid w:val="01290F7E"/>
    <w:rsid w:val="015D1E09"/>
    <w:rsid w:val="02697903"/>
    <w:rsid w:val="02A23BF1"/>
    <w:rsid w:val="02F96569"/>
    <w:rsid w:val="038A1BB2"/>
    <w:rsid w:val="03EA7B21"/>
    <w:rsid w:val="04806D89"/>
    <w:rsid w:val="04EB6B23"/>
    <w:rsid w:val="05696C71"/>
    <w:rsid w:val="05CF1AFF"/>
    <w:rsid w:val="05F83EAE"/>
    <w:rsid w:val="063E7D85"/>
    <w:rsid w:val="07293586"/>
    <w:rsid w:val="07295285"/>
    <w:rsid w:val="07636392"/>
    <w:rsid w:val="07770C56"/>
    <w:rsid w:val="07B45FC6"/>
    <w:rsid w:val="080111DB"/>
    <w:rsid w:val="08D765DE"/>
    <w:rsid w:val="092217DD"/>
    <w:rsid w:val="093A7294"/>
    <w:rsid w:val="096C1823"/>
    <w:rsid w:val="0A263993"/>
    <w:rsid w:val="0A2D3AC2"/>
    <w:rsid w:val="0AA755DF"/>
    <w:rsid w:val="0ACB30A6"/>
    <w:rsid w:val="0B120D44"/>
    <w:rsid w:val="0B53783F"/>
    <w:rsid w:val="0B980BE5"/>
    <w:rsid w:val="0BD27BF6"/>
    <w:rsid w:val="0C122745"/>
    <w:rsid w:val="0C3B3C7D"/>
    <w:rsid w:val="0CAB2EAE"/>
    <w:rsid w:val="0D621C7D"/>
    <w:rsid w:val="0DF851B1"/>
    <w:rsid w:val="0E73034D"/>
    <w:rsid w:val="0EF44778"/>
    <w:rsid w:val="0F13775A"/>
    <w:rsid w:val="0F5F45FE"/>
    <w:rsid w:val="0F9A112B"/>
    <w:rsid w:val="106D2F64"/>
    <w:rsid w:val="10A972DF"/>
    <w:rsid w:val="10B63710"/>
    <w:rsid w:val="10F10820"/>
    <w:rsid w:val="111C2F7A"/>
    <w:rsid w:val="11665CA1"/>
    <w:rsid w:val="129B466E"/>
    <w:rsid w:val="13951726"/>
    <w:rsid w:val="14396509"/>
    <w:rsid w:val="14DD2C3C"/>
    <w:rsid w:val="15D7145F"/>
    <w:rsid w:val="16087E1D"/>
    <w:rsid w:val="16354792"/>
    <w:rsid w:val="17701D14"/>
    <w:rsid w:val="17735226"/>
    <w:rsid w:val="17F2257E"/>
    <w:rsid w:val="189F624C"/>
    <w:rsid w:val="1993509A"/>
    <w:rsid w:val="19DB438A"/>
    <w:rsid w:val="1A1C66C0"/>
    <w:rsid w:val="1A42393B"/>
    <w:rsid w:val="1AAD45DE"/>
    <w:rsid w:val="1B046F80"/>
    <w:rsid w:val="1B204301"/>
    <w:rsid w:val="1B3267B5"/>
    <w:rsid w:val="1B40161D"/>
    <w:rsid w:val="1B441859"/>
    <w:rsid w:val="1B6606B1"/>
    <w:rsid w:val="1C143A0A"/>
    <w:rsid w:val="1C5E7925"/>
    <w:rsid w:val="1CFD070F"/>
    <w:rsid w:val="1D5F6196"/>
    <w:rsid w:val="1D6132A5"/>
    <w:rsid w:val="1D8E56D5"/>
    <w:rsid w:val="1E220F0E"/>
    <w:rsid w:val="1E7A43DA"/>
    <w:rsid w:val="1E861030"/>
    <w:rsid w:val="1F802125"/>
    <w:rsid w:val="1FE7539E"/>
    <w:rsid w:val="200B13BD"/>
    <w:rsid w:val="20671BE0"/>
    <w:rsid w:val="20963CB8"/>
    <w:rsid w:val="20A81A1B"/>
    <w:rsid w:val="20B07FB6"/>
    <w:rsid w:val="20B646FB"/>
    <w:rsid w:val="213B74B1"/>
    <w:rsid w:val="215A2310"/>
    <w:rsid w:val="21DE318A"/>
    <w:rsid w:val="21EF5B80"/>
    <w:rsid w:val="22576990"/>
    <w:rsid w:val="22F47480"/>
    <w:rsid w:val="233C2C53"/>
    <w:rsid w:val="23DE1C48"/>
    <w:rsid w:val="240210CD"/>
    <w:rsid w:val="240B707D"/>
    <w:rsid w:val="24BF09F7"/>
    <w:rsid w:val="252D53FE"/>
    <w:rsid w:val="25EC2D81"/>
    <w:rsid w:val="277057A2"/>
    <w:rsid w:val="27EC0C1C"/>
    <w:rsid w:val="29206EB8"/>
    <w:rsid w:val="29595666"/>
    <w:rsid w:val="29734F00"/>
    <w:rsid w:val="29874881"/>
    <w:rsid w:val="29E325E0"/>
    <w:rsid w:val="29FD282F"/>
    <w:rsid w:val="2A452503"/>
    <w:rsid w:val="2A93123B"/>
    <w:rsid w:val="2B853E23"/>
    <w:rsid w:val="2BA936A8"/>
    <w:rsid w:val="2C315A5A"/>
    <w:rsid w:val="2C4B1C25"/>
    <w:rsid w:val="2D9E56F5"/>
    <w:rsid w:val="2E667F96"/>
    <w:rsid w:val="2E8226AB"/>
    <w:rsid w:val="2FD065E6"/>
    <w:rsid w:val="2FD96870"/>
    <w:rsid w:val="30221FA4"/>
    <w:rsid w:val="30580BC9"/>
    <w:rsid w:val="30C707ED"/>
    <w:rsid w:val="311E2ED7"/>
    <w:rsid w:val="315619EE"/>
    <w:rsid w:val="315C449C"/>
    <w:rsid w:val="31B82709"/>
    <w:rsid w:val="31D05482"/>
    <w:rsid w:val="31D44DB7"/>
    <w:rsid w:val="32400B34"/>
    <w:rsid w:val="329E6876"/>
    <w:rsid w:val="333015F2"/>
    <w:rsid w:val="334B6320"/>
    <w:rsid w:val="33D934D4"/>
    <w:rsid w:val="33FE2F6A"/>
    <w:rsid w:val="340E07E5"/>
    <w:rsid w:val="34235BF7"/>
    <w:rsid w:val="34F0002C"/>
    <w:rsid w:val="358C5FA8"/>
    <w:rsid w:val="35A61FCC"/>
    <w:rsid w:val="35C15DF1"/>
    <w:rsid w:val="35C361E2"/>
    <w:rsid w:val="36074A7F"/>
    <w:rsid w:val="36195BEB"/>
    <w:rsid w:val="36923549"/>
    <w:rsid w:val="36B75FBF"/>
    <w:rsid w:val="36BD0C45"/>
    <w:rsid w:val="370255E7"/>
    <w:rsid w:val="37E00298"/>
    <w:rsid w:val="38A74956"/>
    <w:rsid w:val="38B302F9"/>
    <w:rsid w:val="38F12CD3"/>
    <w:rsid w:val="38F94775"/>
    <w:rsid w:val="392971ED"/>
    <w:rsid w:val="39325651"/>
    <w:rsid w:val="3A872856"/>
    <w:rsid w:val="3B3763D1"/>
    <w:rsid w:val="3C2F6E1E"/>
    <w:rsid w:val="3C4F64BA"/>
    <w:rsid w:val="3CDA245A"/>
    <w:rsid w:val="3D1E06B7"/>
    <w:rsid w:val="3EDA0523"/>
    <w:rsid w:val="3F2E149E"/>
    <w:rsid w:val="3F9E211D"/>
    <w:rsid w:val="407A6407"/>
    <w:rsid w:val="4200449D"/>
    <w:rsid w:val="42183284"/>
    <w:rsid w:val="423A3BCC"/>
    <w:rsid w:val="424E57D2"/>
    <w:rsid w:val="42B26C49"/>
    <w:rsid w:val="433A6FE6"/>
    <w:rsid w:val="43480868"/>
    <w:rsid w:val="4350713C"/>
    <w:rsid w:val="436653E0"/>
    <w:rsid w:val="43C4431A"/>
    <w:rsid w:val="44B951CC"/>
    <w:rsid w:val="44C55D48"/>
    <w:rsid w:val="44CD14E0"/>
    <w:rsid w:val="44F20B0B"/>
    <w:rsid w:val="452E5F4C"/>
    <w:rsid w:val="45612018"/>
    <w:rsid w:val="458946E9"/>
    <w:rsid w:val="45A30826"/>
    <w:rsid w:val="45A47C0E"/>
    <w:rsid w:val="46577FD6"/>
    <w:rsid w:val="46D955A7"/>
    <w:rsid w:val="47133957"/>
    <w:rsid w:val="47A07E0C"/>
    <w:rsid w:val="4870272E"/>
    <w:rsid w:val="49DC7715"/>
    <w:rsid w:val="4A023139"/>
    <w:rsid w:val="4A7B576F"/>
    <w:rsid w:val="4AF561A9"/>
    <w:rsid w:val="4B436A33"/>
    <w:rsid w:val="4B4D62F3"/>
    <w:rsid w:val="4BED5E07"/>
    <w:rsid w:val="4C4A0649"/>
    <w:rsid w:val="4C7E5ECA"/>
    <w:rsid w:val="4C876AA5"/>
    <w:rsid w:val="4CAA5AA7"/>
    <w:rsid w:val="4D0E00FB"/>
    <w:rsid w:val="4D176606"/>
    <w:rsid w:val="4DEC4FB0"/>
    <w:rsid w:val="4E075D8A"/>
    <w:rsid w:val="4EC00FAD"/>
    <w:rsid w:val="4F9843DC"/>
    <w:rsid w:val="4FC62A8C"/>
    <w:rsid w:val="4FE20F0D"/>
    <w:rsid w:val="4FE51552"/>
    <w:rsid w:val="50230988"/>
    <w:rsid w:val="50504C4B"/>
    <w:rsid w:val="509C6E7C"/>
    <w:rsid w:val="50A77D1A"/>
    <w:rsid w:val="5162104E"/>
    <w:rsid w:val="53A039CC"/>
    <w:rsid w:val="53A1505A"/>
    <w:rsid w:val="54063E08"/>
    <w:rsid w:val="543437E8"/>
    <w:rsid w:val="54BE2A37"/>
    <w:rsid w:val="54F73313"/>
    <w:rsid w:val="54F80955"/>
    <w:rsid w:val="555170A7"/>
    <w:rsid w:val="5587536D"/>
    <w:rsid w:val="559B174B"/>
    <w:rsid w:val="55CE0CF4"/>
    <w:rsid w:val="56B22A9C"/>
    <w:rsid w:val="57B72A76"/>
    <w:rsid w:val="57C3426C"/>
    <w:rsid w:val="57CE1F93"/>
    <w:rsid w:val="588743D1"/>
    <w:rsid w:val="5887701A"/>
    <w:rsid w:val="590A4EA0"/>
    <w:rsid w:val="59C0439F"/>
    <w:rsid w:val="5ABE2233"/>
    <w:rsid w:val="5AC82171"/>
    <w:rsid w:val="5B1B78C7"/>
    <w:rsid w:val="5BDF5D95"/>
    <w:rsid w:val="5BFE7528"/>
    <w:rsid w:val="5C441FE3"/>
    <w:rsid w:val="5D2F3C01"/>
    <w:rsid w:val="5D887D08"/>
    <w:rsid w:val="5E2467F1"/>
    <w:rsid w:val="5F1A2B43"/>
    <w:rsid w:val="5FB837BB"/>
    <w:rsid w:val="6076350B"/>
    <w:rsid w:val="60A24FBB"/>
    <w:rsid w:val="60CC405A"/>
    <w:rsid w:val="61E215D8"/>
    <w:rsid w:val="621B3775"/>
    <w:rsid w:val="62364782"/>
    <w:rsid w:val="628E1C9B"/>
    <w:rsid w:val="6394356A"/>
    <w:rsid w:val="63C61B2C"/>
    <w:rsid w:val="63D40BE9"/>
    <w:rsid w:val="64102431"/>
    <w:rsid w:val="64A5243A"/>
    <w:rsid w:val="64F531DE"/>
    <w:rsid w:val="65061E38"/>
    <w:rsid w:val="65373578"/>
    <w:rsid w:val="66061B48"/>
    <w:rsid w:val="661E4A73"/>
    <w:rsid w:val="66567D19"/>
    <w:rsid w:val="667B14E0"/>
    <w:rsid w:val="671F124A"/>
    <w:rsid w:val="677A33C6"/>
    <w:rsid w:val="681F6961"/>
    <w:rsid w:val="68610A2F"/>
    <w:rsid w:val="68805514"/>
    <w:rsid w:val="69316E2F"/>
    <w:rsid w:val="694E2071"/>
    <w:rsid w:val="69766163"/>
    <w:rsid w:val="697A3B33"/>
    <w:rsid w:val="69D44760"/>
    <w:rsid w:val="69F55126"/>
    <w:rsid w:val="6A520EC7"/>
    <w:rsid w:val="6AF87E20"/>
    <w:rsid w:val="6AF93A8C"/>
    <w:rsid w:val="6B322639"/>
    <w:rsid w:val="6B7B1AB7"/>
    <w:rsid w:val="6C636C38"/>
    <w:rsid w:val="6DB34098"/>
    <w:rsid w:val="6DB545B6"/>
    <w:rsid w:val="6DE02FB4"/>
    <w:rsid w:val="6E3D6323"/>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4CA4688"/>
    <w:rsid w:val="7635099D"/>
    <w:rsid w:val="76A10290"/>
    <w:rsid w:val="77762421"/>
    <w:rsid w:val="77B56B1F"/>
    <w:rsid w:val="780F09F4"/>
    <w:rsid w:val="78A90480"/>
    <w:rsid w:val="798968C0"/>
    <w:rsid w:val="7A364017"/>
    <w:rsid w:val="7A4078C7"/>
    <w:rsid w:val="7A824256"/>
    <w:rsid w:val="7A8265E1"/>
    <w:rsid w:val="7B686D42"/>
    <w:rsid w:val="7B841746"/>
    <w:rsid w:val="7C6C5AC7"/>
    <w:rsid w:val="7CC6544B"/>
    <w:rsid w:val="7D0239FF"/>
    <w:rsid w:val="7D5E40CD"/>
    <w:rsid w:val="7DCD56F2"/>
    <w:rsid w:val="7F001CE7"/>
    <w:rsid w:val="7F1F75F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0" w:semiHidden="0" w:name="toc 2" w:locked="1"/>
    <w:lsdException w:uiPriority="0" w:name="toc 3" w:locked="1"/>
    <w:lsdException w:uiPriority="0" w:name="toc 4" w:locked="1"/>
    <w:lsdException w:uiPriority="0" w:name="toc 5" w:locked="1"/>
    <w:lsdException w:qFormat="1" w:unhideWhenUsed="0" w:uiPriority="0" w:semiHidden="0" w:name="toc 6" w:locked="1"/>
    <w:lsdException w:uiPriority="0" w:name="toc 7" w:locked="1"/>
    <w:lsdException w:uiPriority="0" w:name="toc 8" w:locked="1"/>
    <w:lsdException w:qFormat="1" w:unhideWhenUsed="0" w:uiPriority="0" w:semiHidden="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uiPriority="0" w:name="Block Text" w:locked="1"/>
    <w:lsdException w:qFormat="1" w:uiPriority="99" w:semiHidden="0" w:name="Hyperlink" w:locked="1"/>
    <w:lsdException w:uiPriority="0" w:name="FollowedHyperlink" w:locked="1"/>
    <w:lsdException w:qFormat="1" w:unhideWhenUsed="0" w:uiPriority="22" w:semiHidden="0" w:name="Strong" w:locked="1"/>
    <w:lsdException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5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autoSpaceDN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8"/>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5"/>
    <w:next w:val="6"/>
    <w:link w:val="87"/>
    <w:semiHidden/>
    <w:unhideWhenUsed/>
    <w:qFormat/>
    <w:locked/>
    <w:uiPriority w:val="0"/>
    <w:pPr>
      <w:keepNext/>
      <w:keepLines/>
      <w:spacing w:before="260" w:after="260" w:line="416" w:lineRule="auto"/>
      <w:outlineLvl w:val="2"/>
    </w:pPr>
    <w:rPr>
      <w:sz w:val="32"/>
      <w:szCs w:val="32"/>
    </w:rPr>
  </w:style>
  <w:style w:type="paragraph" w:styleId="5">
    <w:name w:val="heading 4"/>
    <w:basedOn w:val="1"/>
    <w:next w:val="1"/>
    <w:link w:val="89"/>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2">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6">
    <w:name w:val="正文小四"/>
    <w:basedOn w:val="1"/>
    <w:qFormat/>
    <w:uiPriority w:val="0"/>
    <w:pPr>
      <w:autoSpaceDE w:val="0"/>
      <w:autoSpaceDN w:val="0"/>
    </w:pPr>
    <w:rPr>
      <w:rFonts w:cs="Calibri"/>
      <w:szCs w:val="21"/>
    </w:rPr>
  </w:style>
  <w:style w:type="paragraph" w:styleId="7">
    <w:name w:val="Normal Indent"/>
    <w:basedOn w:val="1"/>
    <w:qFormat/>
    <w:locked/>
    <w:uiPriority w:val="0"/>
    <w:pPr>
      <w:wordWrap/>
      <w:autoSpaceDN/>
      <w:spacing w:line="240" w:lineRule="auto"/>
      <w:ind w:firstLine="420"/>
    </w:pPr>
    <w:rPr>
      <w:sz w:val="21"/>
      <w:szCs w:val="20"/>
    </w:rPr>
  </w:style>
  <w:style w:type="paragraph" w:styleId="8">
    <w:name w:val="caption"/>
    <w:basedOn w:val="1"/>
    <w:next w:val="1"/>
    <w:qFormat/>
    <w:locked/>
    <w:uiPriority w:val="0"/>
    <w:pPr>
      <w:tabs>
        <w:tab w:val="center" w:pos="10467"/>
        <w:tab w:val="left" w:pos="13095"/>
      </w:tabs>
      <w:wordWrap/>
      <w:autoSpaceDN/>
      <w:spacing w:line="240" w:lineRule="auto"/>
      <w:ind w:left="2783" w:hanging="2829" w:firstLineChars="0"/>
      <w:jc w:val="center"/>
    </w:pPr>
    <w:rPr>
      <w:rFonts w:ascii="Arial" w:hAnsi="Arial" w:cs="Arial"/>
      <w:b/>
      <w:kern w:val="28"/>
      <w:sz w:val="21"/>
    </w:rPr>
  </w:style>
  <w:style w:type="paragraph" w:styleId="9">
    <w:name w:val="annotation text"/>
    <w:basedOn w:val="1"/>
    <w:link w:val="46"/>
    <w:qFormat/>
    <w:uiPriority w:val="0"/>
    <w:pPr>
      <w:jc w:val="left"/>
    </w:pPr>
    <w:rPr>
      <w:kern w:val="0"/>
      <w:szCs w:val="20"/>
    </w:rPr>
  </w:style>
  <w:style w:type="paragraph" w:styleId="10">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53"/>
    <w:qFormat/>
    <w:uiPriority w:val="0"/>
    <w:pPr>
      <w:spacing w:after="120"/>
      <w:ind w:left="420" w:leftChars="200"/>
    </w:pPr>
    <w:rPr>
      <w:kern w:val="0"/>
      <w:szCs w:val="20"/>
    </w:rPr>
  </w:style>
  <w:style w:type="paragraph" w:customStyle="1" w:styleId="12">
    <w:name w:val="Default"/>
    <w:basedOn w:val="1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3">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14">
    <w:name w:val="Plain Text"/>
    <w:basedOn w:val="1"/>
    <w:link w:val="79"/>
    <w:qFormat/>
    <w:locked/>
    <w:uiPriority w:val="0"/>
    <w:pPr>
      <w:wordWrap/>
      <w:autoSpaceDN/>
      <w:spacing w:line="240" w:lineRule="auto"/>
      <w:ind w:firstLine="0" w:firstLineChars="0"/>
    </w:pPr>
    <w:rPr>
      <w:rFonts w:ascii="宋体" w:hAnsi="Courier New" w:cs="宋体"/>
      <w:sz w:val="21"/>
    </w:rPr>
  </w:style>
  <w:style w:type="paragraph" w:styleId="15">
    <w:name w:val="Date"/>
    <w:basedOn w:val="1"/>
    <w:next w:val="1"/>
    <w:link w:val="41"/>
    <w:qFormat/>
    <w:uiPriority w:val="0"/>
    <w:pPr>
      <w:ind w:left="100" w:leftChars="2500"/>
    </w:pPr>
    <w:rPr>
      <w:kern w:val="0"/>
      <w:szCs w:val="20"/>
    </w:rPr>
  </w:style>
  <w:style w:type="paragraph" w:styleId="16">
    <w:name w:val="Balloon Text"/>
    <w:basedOn w:val="1"/>
    <w:link w:val="49"/>
    <w:semiHidden/>
    <w:qFormat/>
    <w:uiPriority w:val="99"/>
    <w:rPr>
      <w:kern w:val="0"/>
      <w:sz w:val="18"/>
      <w:szCs w:val="20"/>
    </w:rPr>
  </w:style>
  <w:style w:type="paragraph" w:styleId="17">
    <w:name w:val="footer"/>
    <w:basedOn w:val="1"/>
    <w:link w:val="40"/>
    <w:qFormat/>
    <w:uiPriority w:val="99"/>
    <w:pPr>
      <w:tabs>
        <w:tab w:val="center" w:pos="4153"/>
        <w:tab w:val="right" w:pos="8306"/>
      </w:tabs>
      <w:snapToGrid w:val="0"/>
      <w:jc w:val="left"/>
    </w:pPr>
    <w:rPr>
      <w:kern w:val="0"/>
      <w:sz w:val="18"/>
      <w:szCs w:val="20"/>
    </w:rPr>
  </w:style>
  <w:style w:type="paragraph" w:styleId="18">
    <w:name w:val="header"/>
    <w:basedOn w:val="1"/>
    <w:next w:val="10"/>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39"/>
  </w:style>
  <w:style w:type="paragraph" w:styleId="20">
    <w:name w:val="toc 6"/>
    <w:basedOn w:val="1"/>
    <w:next w:val="1"/>
    <w:qFormat/>
    <w:locked/>
    <w:uiPriority w:val="0"/>
    <w:pPr>
      <w:wordWrap/>
      <w:autoSpaceDN/>
      <w:spacing w:line="240" w:lineRule="auto"/>
      <w:ind w:left="2100" w:leftChars="1000" w:firstLine="0" w:firstLineChars="0"/>
    </w:pPr>
    <w:rPr>
      <w:sz w:val="21"/>
    </w:rPr>
  </w:style>
  <w:style w:type="paragraph" w:styleId="21">
    <w:name w:val="Body Text Indent 3"/>
    <w:basedOn w:val="1"/>
    <w:link w:val="78"/>
    <w:qFormat/>
    <w:locked/>
    <w:uiPriority w:val="0"/>
    <w:pPr>
      <w:spacing w:after="120"/>
      <w:ind w:left="420" w:leftChars="200"/>
    </w:pPr>
    <w:rPr>
      <w:sz w:val="16"/>
      <w:szCs w:val="16"/>
    </w:rPr>
  </w:style>
  <w:style w:type="paragraph" w:styleId="22">
    <w:name w:val="toc 9"/>
    <w:basedOn w:val="1"/>
    <w:next w:val="1"/>
    <w:qFormat/>
    <w:locked/>
    <w:uiPriority w:val="0"/>
    <w:pPr>
      <w:wordWrap/>
      <w:autoSpaceDN/>
      <w:spacing w:line="240" w:lineRule="auto"/>
      <w:ind w:left="3360" w:leftChars="1600" w:firstLine="0" w:firstLineChars="0"/>
    </w:pPr>
    <w:rPr>
      <w:sz w:val="21"/>
    </w:rPr>
  </w:style>
  <w:style w:type="paragraph" w:styleId="23">
    <w:name w:val="HTML Preformatted"/>
    <w:basedOn w:val="1"/>
    <w:link w:val="124"/>
    <w:semiHidden/>
    <w:unhideWhenUsed/>
    <w:qFormat/>
    <w:locked/>
    <w:uiPriority w:val="0"/>
    <w:rPr>
      <w:rFonts w:ascii="Courier New" w:hAnsi="Courier New" w:cs="Courier New"/>
      <w:sz w:val="20"/>
      <w:szCs w:val="20"/>
    </w:rPr>
  </w:style>
  <w:style w:type="paragraph" w:styleId="24">
    <w:name w:val="Normal (Web)"/>
    <w:basedOn w:val="1"/>
    <w:link w:val="43"/>
    <w:qFormat/>
    <w:uiPriority w:val="99"/>
    <w:pPr>
      <w:widowControl/>
      <w:spacing w:before="100" w:beforeAutospacing="1" w:after="100" w:afterAutospacing="1"/>
      <w:jc w:val="left"/>
    </w:pPr>
    <w:rPr>
      <w:rFonts w:ascii="宋体" w:hAnsi="宋体"/>
      <w:kern w:val="0"/>
      <w:szCs w:val="20"/>
    </w:rPr>
  </w:style>
  <w:style w:type="paragraph" w:styleId="25">
    <w:name w:val="Title"/>
    <w:basedOn w:val="1"/>
    <w:next w:val="1"/>
    <w:link w:val="74"/>
    <w:qFormat/>
    <w:locked/>
    <w:uiPriority w:val="0"/>
    <w:pPr>
      <w:ind w:firstLine="0" w:firstLineChars="0"/>
      <w:jc w:val="center"/>
      <w:outlineLvl w:val="0"/>
    </w:pPr>
    <w:rPr>
      <w:rFonts w:eastAsia="黑体" w:asciiTheme="majorHAnsi" w:hAnsiTheme="majorHAnsi" w:cstheme="majorBidi"/>
      <w:b/>
      <w:bCs/>
      <w:sz w:val="30"/>
      <w:szCs w:val="32"/>
    </w:rPr>
  </w:style>
  <w:style w:type="paragraph" w:styleId="26">
    <w:name w:val="annotation subject"/>
    <w:basedOn w:val="9"/>
    <w:next w:val="9"/>
    <w:link w:val="50"/>
    <w:semiHidden/>
    <w:qFormat/>
    <w:uiPriority w:val="0"/>
    <w:rPr>
      <w:b/>
    </w:rPr>
  </w:style>
  <w:style w:type="paragraph" w:styleId="27">
    <w:name w:val="Body Text First Indent"/>
    <w:basedOn w:val="10"/>
    <w:next w:val="1"/>
    <w:link w:val="110"/>
    <w:qFormat/>
    <w:locked/>
    <w:uiPriority w:val="0"/>
    <w:pPr>
      <w:widowControl w:val="0"/>
      <w:snapToGrid/>
      <w:spacing w:before="0" w:after="120" w:line="360" w:lineRule="auto"/>
      <w:ind w:right="0" w:firstLine="420" w:firstLineChars="100"/>
    </w:pPr>
    <w:rPr>
      <w:kern w:val="2"/>
      <w:sz w:val="24"/>
      <w:szCs w:val="24"/>
    </w:rPr>
  </w:style>
  <w:style w:type="paragraph" w:styleId="28">
    <w:name w:val="Body Text First Indent 2"/>
    <w:basedOn w:val="11"/>
    <w:next w:val="27"/>
    <w:qFormat/>
    <w:locked/>
    <w:uiPriority w:val="0"/>
    <w:pPr>
      <w:ind w:firstLine="420" w:firstLineChars="200"/>
    </w:p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Theme"/>
    <w:basedOn w:val="2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22"/>
    <w:rPr>
      <w:b/>
      <w:bCs/>
    </w:rPr>
  </w:style>
  <w:style w:type="character" w:styleId="34">
    <w:name w:val="page number"/>
    <w:basedOn w:val="32"/>
    <w:qFormat/>
    <w:locked/>
    <w:uiPriority w:val="0"/>
  </w:style>
  <w:style w:type="character" w:styleId="35">
    <w:name w:val="Hyperlink"/>
    <w:basedOn w:val="32"/>
    <w:unhideWhenUsed/>
    <w:qFormat/>
    <w:locked/>
    <w:uiPriority w:val="99"/>
    <w:rPr>
      <w:color w:val="0000FF" w:themeColor="hyperlink"/>
      <w:u w:val="single"/>
      <w14:textFill>
        <w14:solidFill>
          <w14:schemeClr w14:val="hlink"/>
        </w14:solidFill>
      </w14:textFill>
    </w:rPr>
  </w:style>
  <w:style w:type="character" w:styleId="36">
    <w:name w:val="annotation reference"/>
    <w:qFormat/>
    <w:uiPriority w:val="0"/>
    <w:rPr>
      <w:sz w:val="21"/>
    </w:rPr>
  </w:style>
  <w:style w:type="paragraph" w:customStyle="1" w:styleId="37">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38">
    <w:name w:val="标题 2 字符"/>
    <w:basedOn w:val="32"/>
    <w:link w:val="3"/>
    <w:semiHidden/>
    <w:qFormat/>
    <w:uiPriority w:val="0"/>
    <w:rPr>
      <w:rFonts w:asciiTheme="majorHAnsi" w:hAnsiTheme="majorHAnsi" w:eastAsiaTheme="majorEastAsia" w:cstheme="majorBidi"/>
      <w:b/>
      <w:bCs/>
      <w:kern w:val="2"/>
      <w:sz w:val="32"/>
      <w:szCs w:val="32"/>
    </w:rPr>
  </w:style>
  <w:style w:type="paragraph" w:customStyle="1" w:styleId="39">
    <w:name w:val="批注文字1"/>
    <w:qFormat/>
    <w:uiPriority w:val="0"/>
    <w:pPr>
      <w:widowControl w:val="0"/>
    </w:pPr>
    <w:rPr>
      <w:rFonts w:ascii="Calibri" w:hAnsi="Calibri" w:eastAsia="Calibri" w:cs="Times New Roman"/>
      <w:color w:val="000000"/>
      <w:kern w:val="2"/>
      <w:sz w:val="21"/>
      <w:szCs w:val="24"/>
      <w:lang w:val="en-US" w:eastAsia="zh-CN" w:bidi="ar-SA"/>
    </w:rPr>
  </w:style>
  <w:style w:type="character" w:customStyle="1" w:styleId="40">
    <w:name w:val="页脚 字符1"/>
    <w:link w:val="17"/>
    <w:qFormat/>
    <w:locked/>
    <w:uiPriority w:val="99"/>
    <w:rPr>
      <w:sz w:val="18"/>
    </w:rPr>
  </w:style>
  <w:style w:type="character" w:customStyle="1" w:styleId="41">
    <w:name w:val="日期 字符1"/>
    <w:link w:val="15"/>
    <w:qFormat/>
    <w:locked/>
    <w:uiPriority w:val="0"/>
    <w:rPr>
      <w:rFonts w:ascii="Times New Roman" w:hAnsi="Times New Roman" w:eastAsia="宋体"/>
      <w:sz w:val="24"/>
    </w:rPr>
  </w:style>
  <w:style w:type="character" w:customStyle="1" w:styleId="42">
    <w:name w:val="页脚 字符"/>
    <w:basedOn w:val="32"/>
    <w:qFormat/>
    <w:uiPriority w:val="99"/>
  </w:style>
  <w:style w:type="character" w:customStyle="1" w:styleId="43">
    <w:name w:val="普通(网站) 字符"/>
    <w:link w:val="24"/>
    <w:qFormat/>
    <w:locked/>
    <w:uiPriority w:val="0"/>
    <w:rPr>
      <w:rFonts w:ascii="宋体" w:hAnsi="宋体" w:eastAsia="宋体"/>
      <w:sz w:val="24"/>
    </w:rPr>
  </w:style>
  <w:style w:type="character" w:customStyle="1" w:styleId="44">
    <w:name w:val="正文文本 字符1"/>
    <w:semiHidden/>
    <w:qFormat/>
    <w:uiPriority w:val="0"/>
    <w:rPr>
      <w:rFonts w:ascii="Times New Roman" w:hAnsi="Times New Roman" w:eastAsia="宋体"/>
      <w:sz w:val="24"/>
    </w:rPr>
  </w:style>
  <w:style w:type="character" w:customStyle="1" w:styleId="45">
    <w:name w:val="正文文本 字符"/>
    <w:link w:val="10"/>
    <w:qFormat/>
    <w:locked/>
    <w:uiPriority w:val="0"/>
    <w:rPr>
      <w:sz w:val="18"/>
    </w:rPr>
  </w:style>
  <w:style w:type="character" w:customStyle="1" w:styleId="46">
    <w:name w:val="批注文字 字符"/>
    <w:link w:val="9"/>
    <w:qFormat/>
    <w:locked/>
    <w:uiPriority w:val="0"/>
    <w:rPr>
      <w:rFonts w:ascii="Times New Roman" w:hAnsi="Times New Roman" w:eastAsia="宋体"/>
      <w:sz w:val="24"/>
    </w:rPr>
  </w:style>
  <w:style w:type="character" w:customStyle="1" w:styleId="47">
    <w:name w:val="表格 Char"/>
    <w:link w:val="37"/>
    <w:qFormat/>
    <w:locked/>
    <w:uiPriority w:val="0"/>
    <w:rPr>
      <w:rFonts w:ascii="宋体"/>
      <w:sz w:val="21"/>
    </w:rPr>
  </w:style>
  <w:style w:type="character" w:customStyle="1" w:styleId="48">
    <w:name w:val="日期 字符"/>
    <w:semiHidden/>
    <w:qFormat/>
    <w:uiPriority w:val="0"/>
    <w:rPr>
      <w:rFonts w:ascii="Times New Roman" w:hAnsi="Times New Roman" w:eastAsia="宋体"/>
      <w:sz w:val="24"/>
    </w:rPr>
  </w:style>
  <w:style w:type="character" w:customStyle="1" w:styleId="49">
    <w:name w:val="批注框文本 字符"/>
    <w:link w:val="16"/>
    <w:semiHidden/>
    <w:qFormat/>
    <w:locked/>
    <w:uiPriority w:val="99"/>
    <w:rPr>
      <w:rFonts w:ascii="Times New Roman" w:hAnsi="Times New Roman" w:eastAsia="宋体"/>
      <w:sz w:val="18"/>
    </w:rPr>
  </w:style>
  <w:style w:type="character" w:customStyle="1" w:styleId="50">
    <w:name w:val="批注主题 字符"/>
    <w:link w:val="26"/>
    <w:semiHidden/>
    <w:qFormat/>
    <w:locked/>
    <w:uiPriority w:val="0"/>
    <w:rPr>
      <w:rFonts w:ascii="Times New Roman" w:hAnsi="Times New Roman" w:eastAsia="宋体"/>
      <w:b/>
      <w:kern w:val="2"/>
      <w:sz w:val="24"/>
    </w:rPr>
  </w:style>
  <w:style w:type="character" w:customStyle="1" w:styleId="51">
    <w:name w:val="页眉 字符"/>
    <w:link w:val="18"/>
    <w:qFormat/>
    <w:locked/>
    <w:uiPriority w:val="0"/>
    <w:rPr>
      <w:sz w:val="18"/>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正文文本缩进 字符"/>
    <w:link w:val="11"/>
    <w:semiHidden/>
    <w:qFormat/>
    <w:locked/>
    <w:uiPriority w:val="0"/>
    <w:rPr>
      <w:rFonts w:ascii="Times New Roman" w:hAnsi="Times New Roman" w:eastAsia="宋体"/>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6">
    <w:name w:val="标题2"/>
    <w:basedOn w:val="1"/>
    <w:link w:val="58"/>
    <w:qFormat/>
    <w:uiPriority w:val="0"/>
    <w:pPr>
      <w:autoSpaceDE w:val="0"/>
      <w:adjustRightInd w:val="0"/>
      <w:snapToGrid w:val="0"/>
      <w:spacing w:before="50" w:beforeLines="50" w:after="50" w:afterLines="50"/>
      <w:ind w:firstLine="0" w:firstLineChars="0"/>
    </w:pPr>
    <w:rPr>
      <w:rFonts w:cs="宋体"/>
      <w:b/>
      <w:kern w:val="0"/>
      <w:sz w:val="28"/>
      <w:szCs w:val="21"/>
    </w:rPr>
  </w:style>
  <w:style w:type="paragraph" w:customStyle="1" w:styleId="57">
    <w:name w:val="标题一"/>
    <w:basedOn w:val="24"/>
    <w:link w:val="60"/>
    <w:qFormat/>
    <w:uiPriority w:val="0"/>
    <w:pPr>
      <w:ind w:firstLine="0" w:firstLineChars="0"/>
      <w:jc w:val="center"/>
      <w:outlineLvl w:val="0"/>
    </w:pPr>
    <w:rPr>
      <w:rFonts w:ascii="黑体" w:hAnsi="黑体" w:eastAsia="黑体"/>
      <w:snapToGrid w:val="0"/>
      <w:sz w:val="30"/>
      <w:szCs w:val="30"/>
    </w:rPr>
  </w:style>
  <w:style w:type="character" w:customStyle="1" w:styleId="58">
    <w:name w:val="标题2 Char"/>
    <w:link w:val="56"/>
    <w:qFormat/>
    <w:uiPriority w:val="0"/>
    <w:rPr>
      <w:rFonts w:cs="宋体"/>
      <w:b/>
      <w:sz w:val="28"/>
      <w:szCs w:val="21"/>
    </w:rPr>
  </w:style>
  <w:style w:type="paragraph" w:customStyle="1" w:styleId="59">
    <w:name w:val="表格内容"/>
    <w:basedOn w:val="1"/>
    <w:link w:val="62"/>
    <w:qFormat/>
    <w:uiPriority w:val="0"/>
    <w:pPr>
      <w:adjustRightInd w:val="0"/>
      <w:snapToGrid w:val="0"/>
      <w:spacing w:line="240" w:lineRule="auto"/>
      <w:ind w:firstLine="0" w:firstLineChars="0"/>
      <w:jc w:val="center"/>
    </w:pPr>
    <w:rPr>
      <w:rFonts w:cs="宋体"/>
      <w:szCs w:val="21"/>
    </w:rPr>
  </w:style>
  <w:style w:type="character" w:customStyle="1" w:styleId="60">
    <w:name w:val="标题一 Char"/>
    <w:link w:val="57"/>
    <w:qFormat/>
    <w:uiPriority w:val="0"/>
    <w:rPr>
      <w:rFonts w:ascii="黑体" w:hAnsi="黑体" w:eastAsia="黑体"/>
      <w:snapToGrid w:val="0"/>
      <w:sz w:val="30"/>
      <w:szCs w:val="30"/>
    </w:rPr>
  </w:style>
  <w:style w:type="paragraph" w:customStyle="1" w:styleId="61">
    <w:name w:val="标题3"/>
    <w:basedOn w:val="56"/>
    <w:link w:val="64"/>
    <w:qFormat/>
    <w:uiPriority w:val="0"/>
    <w:pPr>
      <w:spacing w:before="25" w:beforeLines="25" w:after="25" w:afterLines="25"/>
    </w:pPr>
    <w:rPr>
      <w:sz w:val="24"/>
    </w:rPr>
  </w:style>
  <w:style w:type="character" w:customStyle="1" w:styleId="62">
    <w:name w:val="表格内容 Char"/>
    <w:link w:val="59"/>
    <w:qFormat/>
    <w:uiPriority w:val="0"/>
    <w:rPr>
      <w:rFonts w:cs="宋体"/>
      <w:kern w:val="2"/>
      <w:sz w:val="24"/>
      <w:szCs w:val="21"/>
    </w:rPr>
  </w:style>
  <w:style w:type="character" w:customStyle="1" w:styleId="63">
    <w:name w:val="NormalCharacter"/>
    <w:semiHidden/>
    <w:qFormat/>
    <w:uiPriority w:val="0"/>
  </w:style>
  <w:style w:type="character" w:customStyle="1" w:styleId="64">
    <w:name w:val="标题3 Char"/>
    <w:link w:val="61"/>
    <w:qFormat/>
    <w:uiPriority w:val="0"/>
    <w:rPr>
      <w:rFonts w:cs="宋体"/>
      <w:b/>
      <w:sz w:val="24"/>
      <w:szCs w:val="21"/>
    </w:rPr>
  </w:style>
  <w:style w:type="paragraph" w:customStyle="1" w:styleId="65">
    <w:name w:val="加黑文字"/>
    <w:basedOn w:val="1"/>
    <w:link w:val="67"/>
    <w:qFormat/>
    <w:uiPriority w:val="0"/>
    <w:pPr>
      <w:ind w:firstLine="480"/>
    </w:pPr>
    <w:rPr>
      <w:b/>
    </w:rPr>
  </w:style>
  <w:style w:type="paragraph" w:customStyle="1" w:styleId="66">
    <w:name w:val="表格文字"/>
    <w:basedOn w:val="1"/>
    <w:link w:val="111"/>
    <w:qFormat/>
    <w:uiPriority w:val="0"/>
    <w:pPr>
      <w:tabs>
        <w:tab w:val="left" w:pos="277"/>
        <w:tab w:val="left" w:pos="600"/>
        <w:tab w:val="left" w:pos="780"/>
        <w:tab w:val="left" w:pos="2517"/>
      </w:tabs>
      <w:wordWrap/>
      <w:autoSpaceDN/>
      <w:adjustRightInd w:val="0"/>
      <w:spacing w:before="30" w:line="300" w:lineRule="auto"/>
      <w:ind w:firstLine="0" w:firstLineChars="0"/>
      <w:jc w:val="center"/>
      <w:textAlignment w:val="baseline"/>
    </w:pPr>
    <w:rPr>
      <w:spacing w:val="-5"/>
      <w:kern w:val="0"/>
      <w:sz w:val="21"/>
      <w:szCs w:val="18"/>
    </w:rPr>
  </w:style>
  <w:style w:type="character" w:customStyle="1" w:styleId="67">
    <w:name w:val="加黑文字 Char"/>
    <w:link w:val="65"/>
    <w:qFormat/>
    <w:uiPriority w:val="0"/>
    <w:rPr>
      <w:b/>
      <w:kern w:val="2"/>
      <w:sz w:val="24"/>
      <w:szCs w:val="24"/>
    </w:rPr>
  </w:style>
  <w:style w:type="paragraph" w:customStyle="1" w:styleId="68">
    <w:name w:val="报告表格"/>
    <w:basedOn w:val="1"/>
    <w:link w:val="69"/>
    <w:qFormat/>
    <w:uiPriority w:val="0"/>
    <w:pPr>
      <w:topLinePunct/>
      <w:autoSpaceDE w:val="0"/>
      <w:adjustRightInd w:val="0"/>
      <w:spacing w:line="240" w:lineRule="auto"/>
      <w:ind w:firstLine="0" w:firstLineChars="0"/>
      <w:jc w:val="center"/>
      <w:textAlignment w:val="baseline"/>
    </w:pPr>
    <w:rPr>
      <w:kern w:val="0"/>
      <w:sz w:val="21"/>
      <w:szCs w:val="20"/>
      <w:lang w:val="zh-CN" w:eastAsia="zh-CN"/>
    </w:rPr>
  </w:style>
  <w:style w:type="character" w:customStyle="1" w:styleId="69">
    <w:name w:val="报告表格 Char"/>
    <w:link w:val="68"/>
    <w:qFormat/>
    <w:uiPriority w:val="0"/>
    <w:rPr>
      <w:sz w:val="21"/>
      <w:lang w:val="zh-CN" w:eastAsia="zh-CN"/>
    </w:rPr>
  </w:style>
  <w:style w:type="character" w:customStyle="1" w:styleId="70">
    <w:name w:val="表格 Char Char"/>
    <w:qFormat/>
    <w:uiPriority w:val="0"/>
    <w:rPr>
      <w:rFonts w:ascii="Times New Roman" w:hAnsi="Times New Roman" w:eastAsia="宋体"/>
      <w:sz w:val="21"/>
    </w:rPr>
  </w:style>
  <w:style w:type="paragraph" w:customStyle="1" w:styleId="71">
    <w:name w:val="图表标题"/>
    <w:basedOn w:val="65"/>
    <w:link w:val="72"/>
    <w:qFormat/>
    <w:uiPriority w:val="0"/>
    <w:pPr>
      <w:spacing w:line="240" w:lineRule="auto"/>
      <w:ind w:firstLine="0" w:firstLineChars="0"/>
      <w:jc w:val="center"/>
    </w:pPr>
    <w:rPr>
      <w:sz w:val="21"/>
    </w:rPr>
  </w:style>
  <w:style w:type="character" w:customStyle="1" w:styleId="72">
    <w:name w:val="图表标题 Char"/>
    <w:link w:val="71"/>
    <w:qFormat/>
    <w:uiPriority w:val="0"/>
    <w:rPr>
      <w:b/>
      <w:kern w:val="2"/>
      <w:sz w:val="21"/>
      <w:szCs w:val="24"/>
    </w:rPr>
  </w:style>
  <w:style w:type="paragraph" w:customStyle="1" w:styleId="73">
    <w:name w:val="表格文字2"/>
    <w:basedOn w:val="1"/>
    <w:qFormat/>
    <w:uiPriority w:val="0"/>
    <w:pPr>
      <w:tabs>
        <w:tab w:val="left" w:pos="277"/>
        <w:tab w:val="left" w:pos="600"/>
        <w:tab w:val="left" w:pos="780"/>
        <w:tab w:val="left" w:pos="2517"/>
      </w:tabs>
      <w:wordWrap/>
      <w:autoSpaceDN/>
      <w:adjustRightInd w:val="0"/>
      <w:spacing w:before="30" w:line="300" w:lineRule="auto"/>
      <w:ind w:firstLine="0" w:firstLineChars="0"/>
      <w:jc w:val="center"/>
      <w:textAlignment w:val="baseline"/>
    </w:pPr>
    <w:rPr>
      <w:spacing w:val="-5"/>
      <w:kern w:val="0"/>
      <w:sz w:val="21"/>
      <w:szCs w:val="18"/>
    </w:rPr>
  </w:style>
  <w:style w:type="character" w:customStyle="1" w:styleId="74">
    <w:name w:val="标题 字符"/>
    <w:basedOn w:val="32"/>
    <w:link w:val="25"/>
    <w:qFormat/>
    <w:uiPriority w:val="0"/>
    <w:rPr>
      <w:rFonts w:eastAsia="黑体" w:asciiTheme="majorHAnsi" w:hAnsiTheme="majorHAnsi" w:cstheme="majorBidi"/>
      <w:b/>
      <w:bCs/>
      <w:kern w:val="2"/>
      <w:sz w:val="30"/>
      <w:szCs w:val="32"/>
    </w:rPr>
  </w:style>
  <w:style w:type="paragraph" w:customStyle="1" w:styleId="75">
    <w:name w:val="标题4"/>
    <w:basedOn w:val="1"/>
    <w:link w:val="76"/>
    <w:qFormat/>
    <w:uiPriority w:val="0"/>
    <w:pPr>
      <w:widowControl/>
      <w:ind w:firstLine="0" w:firstLineChars="0"/>
    </w:pPr>
    <w:rPr>
      <w:b/>
    </w:rPr>
  </w:style>
  <w:style w:type="character" w:customStyle="1" w:styleId="76">
    <w:name w:val="标题4 Char"/>
    <w:basedOn w:val="32"/>
    <w:link w:val="75"/>
    <w:qFormat/>
    <w:uiPriority w:val="0"/>
    <w:rPr>
      <w:b/>
      <w:kern w:val="2"/>
      <w:sz w:val="24"/>
      <w:szCs w:val="24"/>
    </w:rPr>
  </w:style>
  <w:style w:type="paragraph" w:customStyle="1" w:styleId="77">
    <w:name w:val="这是正文"/>
    <w:basedOn w:val="1"/>
    <w:qFormat/>
    <w:uiPriority w:val="0"/>
    <w:pPr>
      <w:autoSpaceDN/>
      <w:adjustRightInd w:val="0"/>
      <w:textAlignment w:val="baseline"/>
    </w:pPr>
    <w:rPr>
      <w:b/>
      <w:kern w:val="0"/>
      <w:szCs w:val="20"/>
    </w:rPr>
  </w:style>
  <w:style w:type="character" w:customStyle="1" w:styleId="78">
    <w:name w:val="正文文本缩进 3 字符"/>
    <w:basedOn w:val="32"/>
    <w:link w:val="21"/>
    <w:qFormat/>
    <w:uiPriority w:val="0"/>
    <w:rPr>
      <w:kern w:val="2"/>
      <w:sz w:val="16"/>
      <w:szCs w:val="16"/>
    </w:rPr>
  </w:style>
  <w:style w:type="character" w:customStyle="1" w:styleId="79">
    <w:name w:val="纯文本 字符"/>
    <w:link w:val="14"/>
    <w:qFormat/>
    <w:uiPriority w:val="0"/>
    <w:rPr>
      <w:rFonts w:ascii="宋体" w:hAnsi="Courier New" w:cs="宋体"/>
      <w:kern w:val="2"/>
      <w:sz w:val="21"/>
      <w:szCs w:val="24"/>
    </w:rPr>
  </w:style>
  <w:style w:type="character" w:customStyle="1" w:styleId="80">
    <w:name w:val="纯文本 Char1"/>
    <w:basedOn w:val="32"/>
    <w:qFormat/>
    <w:uiPriority w:val="0"/>
    <w:rPr>
      <w:rFonts w:ascii="宋体" w:hAnsi="Courier New" w:cs="Courier New"/>
      <w:kern w:val="2"/>
      <w:sz w:val="21"/>
      <w:szCs w:val="21"/>
    </w:rPr>
  </w:style>
  <w:style w:type="table" w:customStyle="1" w:styleId="81">
    <w:name w:val="123"/>
    <w:basedOn w:val="29"/>
    <w:qFormat/>
    <w:uiPriority w:val="99"/>
    <w:pPr>
      <w:jc w:val="center"/>
    </w:pPr>
    <w:rPr>
      <w:rFonts w:ascii="Calibri" w:hAnsi="Calibri"/>
      <w:kern w:val="2"/>
      <w:sz w:val="21"/>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82">
    <w:name w:val="fontstyle01"/>
    <w:qFormat/>
    <w:uiPriority w:val="0"/>
    <w:rPr>
      <w:rFonts w:hint="eastAsia" w:ascii="宋体" w:hAnsi="宋体" w:eastAsia="宋体" w:cs="Times New Roman"/>
      <w:color w:val="000000"/>
      <w:sz w:val="24"/>
      <w:szCs w:val="24"/>
    </w:rPr>
  </w:style>
  <w:style w:type="character" w:customStyle="1" w:styleId="83">
    <w:name w:val="fontstyle11"/>
    <w:qFormat/>
    <w:uiPriority w:val="0"/>
    <w:rPr>
      <w:rFonts w:hint="default" w:ascii="TimesNewRomanPSMT" w:hAnsi="TimesNewRomanPSMT" w:eastAsia="宋体" w:cs="Times New Roman"/>
      <w:color w:val="000000"/>
      <w:sz w:val="24"/>
      <w:szCs w:val="24"/>
    </w:rPr>
  </w:style>
  <w:style w:type="paragraph" w:customStyle="1" w:styleId="84">
    <w:name w:val="加黑正文"/>
    <w:basedOn w:val="1"/>
    <w:qFormat/>
    <w:uiPriority w:val="0"/>
    <w:pPr>
      <w:topLinePunct/>
      <w:autoSpaceDE w:val="0"/>
      <w:autoSpaceDN/>
      <w:adjustRightInd w:val="0"/>
      <w:textAlignment w:val="baseline"/>
    </w:pPr>
    <w:rPr>
      <w:b/>
      <w:kern w:val="0"/>
      <w:szCs w:val="20"/>
    </w:rPr>
  </w:style>
  <w:style w:type="paragraph" w:customStyle="1" w:styleId="85">
    <w:name w:val="样式6"/>
    <w:basedOn w:val="1"/>
    <w:link w:val="86"/>
    <w:qFormat/>
    <w:uiPriority w:val="0"/>
    <w:pPr>
      <w:wordWrap/>
      <w:autoSpaceDN/>
      <w:ind w:firstLine="482" w:firstLineChars="0"/>
    </w:pPr>
    <w:rPr>
      <w:rFonts w:ascii="Calibri" w:hAnsi="Calibri"/>
      <w:color w:val="000000"/>
      <w:szCs w:val="22"/>
      <w:lang w:val="zh-CN" w:eastAsia="zh-CN"/>
    </w:rPr>
  </w:style>
  <w:style w:type="character" w:customStyle="1" w:styleId="86">
    <w:name w:val="样式6 Char"/>
    <w:link w:val="85"/>
    <w:qFormat/>
    <w:uiPriority w:val="0"/>
    <w:rPr>
      <w:rFonts w:ascii="Calibri" w:hAnsi="Calibri"/>
      <w:color w:val="000000"/>
      <w:kern w:val="2"/>
      <w:sz w:val="24"/>
      <w:szCs w:val="22"/>
      <w:lang w:val="zh-CN" w:eastAsia="zh-CN"/>
    </w:rPr>
  </w:style>
  <w:style w:type="character" w:customStyle="1" w:styleId="87">
    <w:name w:val="标题 3 字符"/>
    <w:basedOn w:val="32"/>
    <w:link w:val="4"/>
    <w:semiHidden/>
    <w:qFormat/>
    <w:uiPriority w:val="0"/>
    <w:rPr>
      <w:b/>
      <w:bCs/>
      <w:kern w:val="2"/>
      <w:sz w:val="32"/>
      <w:szCs w:val="32"/>
    </w:rPr>
  </w:style>
  <w:style w:type="paragraph" w:customStyle="1" w:styleId="88">
    <w:name w:val="列出段落4"/>
    <w:basedOn w:val="1"/>
    <w:unhideWhenUsed/>
    <w:qFormat/>
    <w:uiPriority w:val="0"/>
    <w:pPr>
      <w:wordWrap/>
      <w:autoSpaceDN/>
      <w:ind w:firstLine="420"/>
    </w:pPr>
    <w:rPr>
      <w:rFonts w:ascii="Calibri" w:hAnsi="Calibri"/>
    </w:rPr>
  </w:style>
  <w:style w:type="character" w:customStyle="1" w:styleId="89">
    <w:name w:val="标题 4 字符"/>
    <w:basedOn w:val="32"/>
    <w:link w:val="5"/>
    <w:semiHidden/>
    <w:qFormat/>
    <w:uiPriority w:val="0"/>
    <w:rPr>
      <w:rFonts w:asciiTheme="majorHAnsi" w:hAnsiTheme="majorHAnsi" w:eastAsiaTheme="majorEastAsia" w:cstheme="majorBidi"/>
      <w:b/>
      <w:bCs/>
      <w:kern w:val="2"/>
      <w:sz w:val="28"/>
      <w:szCs w:val="28"/>
    </w:rPr>
  </w:style>
  <w:style w:type="paragraph" w:customStyle="1" w:styleId="90">
    <w:name w:val="p0"/>
    <w:basedOn w:val="1"/>
    <w:qFormat/>
    <w:uiPriority w:val="0"/>
    <w:pPr>
      <w:widowControl/>
      <w:suppressAutoHyphens/>
      <w:autoSpaceDN/>
      <w:spacing w:line="240" w:lineRule="auto"/>
      <w:ind w:firstLine="0" w:firstLineChars="0"/>
      <w:jc w:val="left"/>
    </w:pPr>
    <w:rPr>
      <w:kern w:val="0"/>
      <w:sz w:val="20"/>
      <w:szCs w:val="20"/>
    </w:rPr>
  </w:style>
  <w:style w:type="paragraph" w:customStyle="1" w:styleId="91">
    <w:name w:val="表"/>
    <w:basedOn w:val="1"/>
    <w:qFormat/>
    <w:uiPriority w:val="0"/>
    <w:pPr>
      <w:wordWrap/>
      <w:autoSpaceDN/>
      <w:snapToGrid w:val="0"/>
      <w:spacing w:line="240" w:lineRule="auto"/>
      <w:ind w:firstLine="0" w:firstLineChars="0"/>
      <w:jc w:val="center"/>
    </w:pPr>
    <w:rPr>
      <w:spacing w:val="2"/>
      <w:sz w:val="21"/>
      <w:szCs w:val="20"/>
    </w:rPr>
  </w:style>
  <w:style w:type="paragraph" w:customStyle="1" w:styleId="92">
    <w:name w:val="正文首行缩进 2 + Times New Roman"/>
    <w:basedOn w:val="1"/>
    <w:qFormat/>
    <w:uiPriority w:val="0"/>
    <w:pPr>
      <w:tabs>
        <w:tab w:val="left" w:pos="0"/>
        <w:tab w:val="left" w:pos="3150"/>
      </w:tabs>
      <w:wordWrap/>
      <w:autoSpaceDE w:val="0"/>
      <w:ind w:firstLine="480"/>
      <w:jc w:val="left"/>
    </w:pPr>
    <w:rPr>
      <w:sz w:val="21"/>
    </w:rPr>
  </w:style>
  <w:style w:type="paragraph" w:customStyle="1" w:styleId="93">
    <w:name w:val="1表格"/>
    <w:basedOn w:val="1"/>
    <w:qFormat/>
    <w:uiPriority w:val="0"/>
    <w:pPr>
      <w:wordWrap/>
      <w:autoSpaceDN/>
      <w:snapToGrid w:val="0"/>
      <w:spacing w:line="160" w:lineRule="atLeast"/>
      <w:ind w:firstLine="0" w:firstLineChars="0"/>
      <w:jc w:val="center"/>
    </w:pPr>
    <w:rPr>
      <w:rFonts w:eastAsia="仿宋_GB2312"/>
      <w:sz w:val="21"/>
      <w:szCs w:val="20"/>
    </w:rPr>
  </w:style>
  <w:style w:type="paragraph" w:customStyle="1" w:styleId="94">
    <w:name w:val="TOC Heading"/>
    <w:basedOn w:val="2"/>
    <w:next w:val="1"/>
    <w:semiHidden/>
    <w:unhideWhenUsed/>
    <w:qFormat/>
    <w:uiPriority w:val="39"/>
    <w:pPr>
      <w:keepLines/>
      <w:widowControl/>
      <w:wordWrap/>
      <w:overflowPunct/>
      <w:autoSpaceDN/>
      <w:snapToGrid/>
      <w:spacing w:before="480" w:after="0" w:line="276" w:lineRule="auto"/>
      <w:ind w:left="0"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5">
    <w:name w:val="western"/>
    <w:basedOn w:val="1"/>
    <w:qFormat/>
    <w:uiPriority w:val="0"/>
    <w:pPr>
      <w:widowControl/>
      <w:wordWrap/>
      <w:autoSpaceDN/>
      <w:spacing w:before="100" w:beforeAutospacing="1" w:after="100" w:afterAutospacing="1" w:line="240" w:lineRule="auto"/>
      <w:ind w:firstLine="0" w:firstLineChars="0"/>
      <w:jc w:val="left"/>
    </w:pPr>
    <w:rPr>
      <w:rFonts w:ascii="宋体" w:hAnsi="宋体" w:cs="宋体"/>
      <w:kern w:val="0"/>
    </w:rPr>
  </w:style>
  <w:style w:type="paragraph" w:customStyle="1" w:styleId="96">
    <w:name w:val="正文3"/>
    <w:basedOn w:val="1"/>
    <w:link w:val="97"/>
    <w:qFormat/>
    <w:uiPriority w:val="0"/>
    <w:pPr>
      <w:autoSpaceDN/>
    </w:pPr>
  </w:style>
  <w:style w:type="character" w:customStyle="1" w:styleId="97">
    <w:name w:val="正文3 Char"/>
    <w:link w:val="96"/>
    <w:qFormat/>
    <w:uiPriority w:val="0"/>
    <w:rPr>
      <w:kern w:val="2"/>
      <w:sz w:val="24"/>
      <w:szCs w:val="24"/>
    </w:rPr>
  </w:style>
  <w:style w:type="paragraph" w:customStyle="1" w:styleId="98">
    <w:name w:val="正文2"/>
    <w:basedOn w:val="1"/>
    <w:link w:val="99"/>
    <w:qFormat/>
    <w:uiPriority w:val="0"/>
    <w:pPr>
      <w:wordWrap/>
      <w:autoSpaceDN/>
      <w:spacing w:line="240" w:lineRule="auto"/>
      <w:ind w:firstLine="480" w:firstLineChars="0"/>
    </w:pPr>
  </w:style>
  <w:style w:type="character" w:customStyle="1" w:styleId="99">
    <w:name w:val="正文2 Char"/>
    <w:link w:val="98"/>
    <w:qFormat/>
    <w:uiPriority w:val="0"/>
    <w:rPr>
      <w:kern w:val="2"/>
      <w:sz w:val="24"/>
      <w:szCs w:val="24"/>
    </w:rPr>
  </w:style>
  <w:style w:type="table" w:customStyle="1" w:styleId="100">
    <w:name w:val="网格型1"/>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
    <w:name w:val="附件 Char"/>
    <w:link w:val="102"/>
    <w:qFormat/>
    <w:uiPriority w:val="0"/>
    <w:rPr>
      <w:color w:val="FF00FF"/>
      <w:kern w:val="2"/>
      <w:sz w:val="24"/>
      <w:szCs w:val="28"/>
    </w:rPr>
  </w:style>
  <w:style w:type="paragraph" w:customStyle="1" w:styleId="102">
    <w:name w:val="附件"/>
    <w:basedOn w:val="1"/>
    <w:link w:val="101"/>
    <w:qFormat/>
    <w:uiPriority w:val="0"/>
    <w:pPr>
      <w:autoSpaceDN/>
      <w:jc w:val="center"/>
      <w:textAlignment w:val="center"/>
    </w:pPr>
    <w:rPr>
      <w:color w:val="FF00FF"/>
      <w:szCs w:val="28"/>
    </w:rPr>
  </w:style>
  <w:style w:type="paragraph" w:customStyle="1" w:styleId="103">
    <w:name w:val="Char2 Char Char Char Char Char Char Char Char Char11"/>
    <w:basedOn w:val="1"/>
    <w:semiHidden/>
    <w:qFormat/>
    <w:uiPriority w:val="0"/>
    <w:pPr>
      <w:autoSpaceDN/>
    </w:pPr>
  </w:style>
  <w:style w:type="character" w:customStyle="1" w:styleId="104">
    <w:name w:val="li_正文 Char"/>
    <w:link w:val="105"/>
    <w:qFormat/>
    <w:uiPriority w:val="0"/>
    <w:rPr>
      <w:kern w:val="2"/>
      <w:sz w:val="28"/>
      <w:szCs w:val="28"/>
    </w:rPr>
  </w:style>
  <w:style w:type="paragraph" w:customStyle="1" w:styleId="105">
    <w:name w:val="li_正文"/>
    <w:basedOn w:val="1"/>
    <w:link w:val="104"/>
    <w:qFormat/>
    <w:uiPriority w:val="0"/>
    <w:pPr>
      <w:topLinePunct/>
      <w:autoSpaceDE w:val="0"/>
      <w:autoSpaceDN/>
      <w:spacing w:line="240" w:lineRule="auto"/>
      <w:ind w:firstLine="560"/>
      <w:jc w:val="left"/>
    </w:pPr>
    <w:rPr>
      <w:sz w:val="28"/>
      <w:szCs w:val="28"/>
    </w:rPr>
  </w:style>
  <w:style w:type="paragraph" w:customStyle="1" w:styleId="106">
    <w:name w:val="111正文"/>
    <w:basedOn w:val="1"/>
    <w:qFormat/>
    <w:uiPriority w:val="0"/>
    <w:pPr>
      <w:wordWrap/>
      <w:autoSpaceDN/>
      <w:jc w:val="left"/>
    </w:pPr>
  </w:style>
  <w:style w:type="paragraph" w:customStyle="1" w:styleId="107">
    <w:name w:val="Table Paragraph"/>
    <w:basedOn w:val="1"/>
    <w:qFormat/>
    <w:uiPriority w:val="1"/>
    <w:pPr>
      <w:wordWrap/>
      <w:autoSpaceDE w:val="0"/>
      <w:spacing w:line="240" w:lineRule="auto"/>
      <w:ind w:firstLine="0" w:firstLineChars="0"/>
      <w:jc w:val="center"/>
    </w:pPr>
    <w:rPr>
      <w:rFonts w:ascii="宋体" w:hAnsi="宋体" w:cs="宋体"/>
      <w:kern w:val="0"/>
      <w:sz w:val="22"/>
      <w:szCs w:val="22"/>
      <w:lang w:val="zh-CN" w:bidi="zh-CN"/>
    </w:rPr>
  </w:style>
  <w:style w:type="paragraph" w:customStyle="1" w:styleId="108">
    <w:name w:val="翔一正文"/>
    <w:basedOn w:val="1"/>
    <w:next w:val="1"/>
    <w:semiHidden/>
    <w:qFormat/>
    <w:uiPriority w:val="0"/>
    <w:pPr>
      <w:wordWrap/>
      <w:autoSpaceDN/>
      <w:ind w:firstLine="1446"/>
    </w:pPr>
    <w:rPr>
      <w:szCs w:val="21"/>
    </w:rPr>
  </w:style>
  <w:style w:type="paragraph" w:customStyle="1" w:styleId="109">
    <w:name w:val="报告书正文"/>
    <w:basedOn w:val="27"/>
    <w:qFormat/>
    <w:uiPriority w:val="0"/>
    <w:pPr>
      <w:widowControl/>
      <w:wordWrap/>
      <w:autoSpaceDN/>
      <w:spacing w:line="300" w:lineRule="auto"/>
      <w:ind w:firstLine="480" w:firstLineChars="200"/>
    </w:pPr>
    <w:rPr>
      <w:color w:val="000000"/>
      <w:sz w:val="21"/>
      <w:szCs w:val="20"/>
    </w:rPr>
  </w:style>
  <w:style w:type="character" w:customStyle="1" w:styleId="110">
    <w:name w:val="正文首行缩进 字符"/>
    <w:basedOn w:val="45"/>
    <w:link w:val="27"/>
    <w:qFormat/>
    <w:uiPriority w:val="0"/>
    <w:rPr>
      <w:kern w:val="2"/>
      <w:sz w:val="24"/>
      <w:szCs w:val="24"/>
    </w:rPr>
  </w:style>
  <w:style w:type="character" w:customStyle="1" w:styleId="111">
    <w:name w:val="表格文字 字符"/>
    <w:basedOn w:val="32"/>
    <w:link w:val="66"/>
    <w:qFormat/>
    <w:uiPriority w:val="0"/>
    <w:rPr>
      <w:spacing w:val="-5"/>
      <w:sz w:val="21"/>
      <w:szCs w:val="18"/>
    </w:rPr>
  </w:style>
  <w:style w:type="paragraph" w:customStyle="1" w:styleId="112">
    <w:name w:val="Char2"/>
    <w:basedOn w:val="1"/>
    <w:qFormat/>
    <w:uiPriority w:val="0"/>
    <w:pPr>
      <w:wordWrap/>
      <w:autoSpaceDN/>
      <w:spacing w:line="240" w:lineRule="auto"/>
      <w:ind w:firstLine="0" w:firstLineChars="0"/>
    </w:pPr>
    <w:rPr>
      <w:sz w:val="21"/>
      <w:szCs w:val="21"/>
    </w:rPr>
  </w:style>
  <w:style w:type="paragraph" w:customStyle="1" w:styleId="113">
    <w:name w:val="翔一表格"/>
    <w:basedOn w:val="1"/>
    <w:next w:val="1"/>
    <w:semiHidden/>
    <w:qFormat/>
    <w:uiPriority w:val="0"/>
    <w:pPr>
      <w:wordWrap/>
      <w:autoSpaceDE w:val="0"/>
      <w:spacing w:line="240" w:lineRule="auto"/>
      <w:ind w:firstLine="0" w:firstLineChars="0"/>
      <w:jc w:val="center"/>
      <w:textAlignment w:val="baseline"/>
    </w:pPr>
    <w:rPr>
      <w:kern w:val="0"/>
      <w:sz w:val="21"/>
      <w:szCs w:val="21"/>
    </w:rPr>
  </w:style>
  <w:style w:type="paragraph" w:customStyle="1" w:styleId="114">
    <w:name w:val="三级正文"/>
    <w:basedOn w:val="1"/>
    <w:qFormat/>
    <w:uiPriority w:val="0"/>
    <w:pPr>
      <w:wordWrap/>
      <w:autoSpaceDN/>
      <w:spacing w:line="240" w:lineRule="auto"/>
      <w:ind w:firstLine="0" w:firstLineChars="0"/>
    </w:pPr>
    <w:rPr>
      <w:b/>
      <w:sz w:val="21"/>
      <w:szCs w:val="21"/>
    </w:rPr>
  </w:style>
  <w:style w:type="character" w:customStyle="1" w:styleId="115">
    <w:name w:val="环报告正文 Char"/>
    <w:link w:val="116"/>
    <w:qFormat/>
    <w:uiPriority w:val="0"/>
    <w:rPr>
      <w:rFonts w:hAnsi="Calibri"/>
      <w:kern w:val="2"/>
      <w:sz w:val="24"/>
      <w:szCs w:val="24"/>
    </w:rPr>
  </w:style>
  <w:style w:type="paragraph" w:customStyle="1" w:styleId="116">
    <w:name w:val="环报告正文"/>
    <w:basedOn w:val="1"/>
    <w:link w:val="115"/>
    <w:qFormat/>
    <w:uiPriority w:val="0"/>
    <w:pPr>
      <w:wordWrap/>
      <w:autoSpaceDN/>
      <w:ind w:firstLine="480"/>
      <w:jc w:val="left"/>
    </w:pPr>
    <w:rPr>
      <w:rFonts w:hAnsi="Calibri"/>
    </w:rPr>
  </w:style>
  <w:style w:type="paragraph" w:customStyle="1" w:styleId="117">
    <w:name w:val="表格文字B"/>
    <w:basedOn w:val="66"/>
    <w:qFormat/>
    <w:uiPriority w:val="0"/>
    <w:pPr>
      <w:tabs>
        <w:tab w:val="clear" w:pos="277"/>
        <w:tab w:val="clear" w:pos="600"/>
        <w:tab w:val="clear" w:pos="780"/>
        <w:tab w:val="clear" w:pos="2517"/>
      </w:tabs>
      <w:adjustRightInd/>
      <w:spacing w:before="50" w:beforeLines="50" w:beforeAutospacing="1" w:after="50" w:afterLines="50" w:afterAutospacing="1" w:line="240" w:lineRule="auto"/>
      <w:textAlignment w:val="auto"/>
    </w:pPr>
    <w:rPr>
      <w:rFonts w:ascii="宋体" w:hAnsi="宋体" w:eastAsia="仿宋_GB2312"/>
      <w:b/>
      <w:color w:val="FFCC99"/>
      <w:spacing w:val="0"/>
      <w:kern w:val="2"/>
      <w:sz w:val="24"/>
      <w:szCs w:val="24"/>
    </w:rPr>
  </w:style>
  <w:style w:type="paragraph" w:customStyle="1" w:styleId="118">
    <w:name w:val="表格正文"/>
    <w:link w:val="119"/>
    <w:qFormat/>
    <w:uiPriority w:val="0"/>
    <w:pPr>
      <w:widowControl w:val="0"/>
      <w:adjustRightInd w:val="0"/>
      <w:spacing w:before="20" w:after="20"/>
      <w:ind w:left="57" w:right="57"/>
      <w:textAlignment w:val="baseline"/>
    </w:pPr>
    <w:rPr>
      <w:rFonts w:ascii="Times New Roman" w:hAnsi="Times New Roman" w:eastAsia="仿宋_GB2312" w:cs="Times New Roman"/>
      <w:sz w:val="24"/>
      <w:lang w:val="en-GB" w:eastAsia="zh-CN" w:bidi="ar-SA"/>
    </w:rPr>
  </w:style>
  <w:style w:type="character" w:customStyle="1" w:styleId="119">
    <w:name w:val="表格正文 Char Char"/>
    <w:link w:val="118"/>
    <w:qFormat/>
    <w:locked/>
    <w:uiPriority w:val="0"/>
    <w:rPr>
      <w:rFonts w:eastAsia="仿宋_GB2312"/>
      <w:sz w:val="24"/>
      <w:lang w:val="en-GB"/>
    </w:rPr>
  </w:style>
  <w:style w:type="character" w:customStyle="1" w:styleId="120">
    <w:name w:val="标题 1 Char2"/>
    <w:qFormat/>
    <w:uiPriority w:val="0"/>
    <w:rPr>
      <w:b/>
      <w:kern w:val="44"/>
      <w:sz w:val="44"/>
    </w:rPr>
  </w:style>
  <w:style w:type="paragraph" w:customStyle="1" w:styleId="121">
    <w:name w:val="标题1"/>
    <w:basedOn w:val="57"/>
    <w:link w:val="122"/>
    <w:qFormat/>
    <w:uiPriority w:val="0"/>
    <w:rPr>
      <w:color w:val="000000" w:themeColor="text1"/>
      <w14:textFill>
        <w14:solidFill>
          <w14:schemeClr w14:val="tx1"/>
        </w14:solidFill>
      </w14:textFill>
    </w:rPr>
  </w:style>
  <w:style w:type="character" w:customStyle="1" w:styleId="122">
    <w:name w:val="标题1 字符"/>
    <w:basedOn w:val="60"/>
    <w:link w:val="121"/>
    <w:qFormat/>
    <w:uiPriority w:val="0"/>
    <w:rPr>
      <w:rFonts w:ascii="黑体" w:hAnsi="黑体" w:eastAsia="黑体"/>
      <w:snapToGrid w:val="0"/>
      <w:color w:val="000000" w:themeColor="text1"/>
      <w:sz w:val="30"/>
      <w:szCs w:val="30"/>
      <w14:textFill>
        <w14:solidFill>
          <w14:schemeClr w14:val="tx1"/>
        </w14:solidFill>
      </w14:textFill>
    </w:rPr>
  </w:style>
  <w:style w:type="paragraph" w:styleId="123">
    <w:name w:val="No Spacing"/>
    <w:qFormat/>
    <w:uiPriority w:val="1"/>
    <w:pPr>
      <w:widowControl w:val="0"/>
      <w:wordWrap w:val="0"/>
      <w:autoSpaceDN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24">
    <w:name w:val="HTML 预设格式 字符"/>
    <w:basedOn w:val="32"/>
    <w:link w:val="23"/>
    <w:semiHidden/>
    <w:qFormat/>
    <w:uiPriority w:val="0"/>
    <w:rPr>
      <w:rFonts w:ascii="Courier New" w:hAnsi="Courier New" w:cs="Courier New"/>
      <w:kern w:val="2"/>
    </w:rPr>
  </w:style>
  <w:style w:type="table" w:customStyle="1" w:styleId="125">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微软中国</Company>
  <Pages>108</Pages>
  <Words>70127</Words>
  <Characters>81207</Characters>
  <Lines>569</Lines>
  <Paragraphs>160</Paragraphs>
  <TotalTime>6</TotalTime>
  <ScaleCrop>false</ScaleCrop>
  <LinksUpToDate>false</LinksUpToDate>
  <CharactersWithSpaces>81550</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2021-08-02T02:22:00Z</dcterms:created>
  <dc:creator>lhj</dc:creator>
  <cp:lastModifiedBy>郑若愚</cp:lastModifiedBy>
  <cp:lastPrinted>2024-03-11T04:10:00Z</cp:lastPrinted>
  <dcterms:modified xsi:type="dcterms:W3CDTF">2024-12-18T02:50:15Z</dcterms:modified>
  <dc:title>附件2</dc:title>
  <cp:revision>6451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8D31AAE5E2754797A6570D0B3D290FE1_12</vt:lpwstr>
  </property>
  <property fmtid="{D5CDD505-2E9C-101B-9397-08002B2CF9AE}" pid="4" name="hmcheck_markmode">
    <vt:i4>0</vt:i4>
  </property>
</Properties>
</file>