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t>社会评价材料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师宗县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财政局2023年度工作情况报告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2023年，县财政局坚持以习近平新时代中国特色社会主义思想为指导，全面贯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彻落实党的二十大精神、中央经济工作会议精神，加强财政资源统筹，优化财政支出结构，完善财政政策体系和管理体制，为全县经济社会高质量发展提供了财政保障，现将2023年工作总结如下：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一、着力抓收支、保平衡，坚决打好稳定财源的“攻坚仗”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截至12月上旬，地方一般公共预算收入完成96,133万元，同比增收20,704万元，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shd w:val="clear" w:fill="FFFFFF"/>
          <w:lang w:val="en-US" w:eastAsia="zh-CN" w:bidi="ar-SA"/>
        </w:rPr>
        <w:t>增长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27.45%。完成年初人代会目标89,510万元的107.39%。一般公共预算支出完成279,581万元，同比增支15,806万元，增5.99%，完成年初人代会支出目标280,000万元的99.85%。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二、着力保基本、兜底线，坚决打好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“六稳”、“六保”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“持久仗”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按照做好“六稳”“六保”工作的要求，牢固树立“过紧日子”思想，足额保障“三保”支出，实施积极的财政政策，聚焦精准保重点。</w:t>
      </w:r>
      <w:r>
        <w:rPr>
          <w:rFonts w:hint="eastAsia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一是</w:t>
      </w:r>
      <w:bookmarkStart w:id="0" w:name="hmcheck_c6b18296d8bf4d2b91cbe91d78f29abd"/>
      <w:r>
        <w:rPr>
          <w:rFonts w:hint="eastAsia" w:ascii="方正楷体_GBK" w:hAnsi="方正楷体_GBK" w:eastAsia="方正楷体_GBK" w:cs="方正楷体_GBK"/>
          <w:b w:val="0"/>
          <w:bCs w:val="0"/>
          <w:kern w:val="2"/>
          <w:sz w:val="32"/>
          <w:szCs w:val="32"/>
          <w:shd w:val="clear" w:fill="FFFFFF"/>
          <w:lang w:val="en-US" w:eastAsia="zh-CN" w:bidi="ar-SA"/>
        </w:rPr>
        <w:t>兜牢</w:t>
      </w:r>
      <w:bookmarkEnd w:id="0"/>
      <w:r>
        <w:rPr>
          <w:rFonts w:hint="eastAsia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“三保”底线。截至12月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5日，三保共支出16.99亿元，其中：保工资支出12.82亿元，保运转支出0.18亿元，保民生支出3.99亿元。全县工资按时足额发放，必要的运转支出、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必需的基本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民生支出基本保障到位。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二是加强社会保障体系建设。</w:t>
      </w:r>
      <w:r>
        <w:rPr>
          <w:rFonts w:hint="eastAsia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截至十月底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，社会保险基金收入完成50568万元，完成年初预算的69%，同比增长5205万元；社会保险基金支出49207万元，完成年初预算的74%，同比增长2041万元。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三是全力支持教育文化事业发展。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始终坚持财政资金优先保障教育投入理念，多渠道筹措资金拨付教育经费，确保财政教育投入达到“两个只增不减”要求。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三、着力</w:t>
      </w:r>
      <w:bookmarkStart w:id="1" w:name="hmcheck_cf035226c76e416c9b9d817d5c3665e3"/>
      <w:r>
        <w:rPr>
          <w:rFonts w:hint="default" w:ascii="方正黑体_GBK" w:hAnsi="方正黑体_GBK" w:eastAsia="方正黑体_GBK" w:cs="方正黑体_GBK"/>
          <w:sz w:val="32"/>
          <w:szCs w:val="32"/>
          <w:shd w:val="clear" w:fill="FFFFFF"/>
          <w:lang w:val="en-US" w:eastAsia="zh-CN"/>
        </w:rPr>
        <w:t>扣</w:t>
      </w:r>
      <w:bookmarkEnd w:id="1"/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主线、抓重点，坚决打好服务大局“整体仗”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一是落实乡村振兴战略。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持续整合涉农资金，围绕巩固拓展脱贫攻坚成果。拨付农机购置补助资金161.22万元，共涉及受益农户220户，补贴机具274台。下达农田建设专项资金3196万元，整合涉农资金用于农田建设3196万元，不断改善农业生产条件，提高耕地质量，保证粮食安全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二是加强保障助企纾困。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绕中小微企业、个体工商户和制造业等重点行业，实施好新的更大力度减税降费政策，落实增值税留抵退税分担机制。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三是全力建设重点项目。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积极争取中央、省、市级资金的投入，认真做好我县重点建设项目资金的申报工作。2023年共申报9个项目，资金7886.7万元，有力地促进我县社会经济的全面健康发展。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四、着力促改革、强管理，坚决打好提质增效“主动仗”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一是加强预算执行动态监控工作。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创新财政监管新模式，有效防范资金支付风险。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二是抓实直达资金动态监控工作。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主动对标上级财政部门的有关工作要求，坚持问题导向，聚焦薄弱环节，提升工作效率。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三是提升政府采购工作实效。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认真落实云南省政府采购目录及分散采购限额标准政策，推进行政事业单位应采尽采。</w:t>
      </w:r>
      <w:r>
        <w:rPr>
          <w:rFonts w:hint="default" w:ascii="方正楷体_GBK" w:hAnsi="方正楷体_GBK" w:eastAsia="方正楷体_GBK" w:cs="方正楷体_GBK"/>
          <w:b w:val="0"/>
          <w:bCs w:val="0"/>
          <w:kern w:val="2"/>
          <w:sz w:val="32"/>
          <w:szCs w:val="32"/>
          <w:lang w:val="en-US" w:eastAsia="zh-CN" w:bidi="ar-SA"/>
        </w:rPr>
        <w:t>四是发挥财政监督作用。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牢固树立“过紧日子”思想，规范资金运行、防范廉政风险，不断完善财政资金权力制约和监督制度体系。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2024年，县财政局将继续坚持稳中求进的工作总基调，认真落实高质量发展要求，紧紧围绕县委、县政府重大决策部署，持续强化增收节支，提升财政保障能力，不断夯实经济社会发展的财力基础。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师宗县财政局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2023年12月8日        </w:t>
      </w:r>
    </w:p>
    <w:sectPr>
      <w:pgSz w:w="11906" w:h="16838"/>
      <w:pgMar w:top="2098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  <w:docVar w:name="KSO_WPS_MARK_KEY" w:val="7dc1971f-add6-4e43-992a-5bc67be18cf7"/>
  </w:docVars>
  <w:rsids>
    <w:rsidRoot w:val="0B741D55"/>
    <w:rsid w:val="02211130"/>
    <w:rsid w:val="08EB4EA1"/>
    <w:rsid w:val="0B741D55"/>
    <w:rsid w:val="0DD34156"/>
    <w:rsid w:val="13FD017F"/>
    <w:rsid w:val="19A72870"/>
    <w:rsid w:val="1B0B07B2"/>
    <w:rsid w:val="1D1539F9"/>
    <w:rsid w:val="32B42D22"/>
    <w:rsid w:val="342A1107"/>
    <w:rsid w:val="49B223B4"/>
    <w:rsid w:val="4FCF3D6A"/>
    <w:rsid w:val="51C5755B"/>
    <w:rsid w:val="5B440404"/>
    <w:rsid w:val="5D3C3D86"/>
    <w:rsid w:val="621912AD"/>
    <w:rsid w:val="67EA67FB"/>
    <w:rsid w:val="6D004075"/>
    <w:rsid w:val="6E34753E"/>
    <w:rsid w:val="72CA1B54"/>
    <w:rsid w:val="75D27C98"/>
    <w:rsid w:val="79986B03"/>
    <w:rsid w:val="7B13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  <w:rPr>
      <w:rFonts w:hint="eastAsia" w:ascii="宋体" w:hAnsi="宋体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140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2023-09-25T07:49:00Z</dcterms:created>
  <dc:creator>于盲。</dc:creator>
  <cp:lastModifiedBy>郑若愚</cp:lastModifiedBy>
  <cp:lastPrinted>2023-10-12T08:26:00Z</cp:lastPrinted>
  <dcterms:modified xsi:type="dcterms:W3CDTF">2024-01-30T02:05:02Z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DAEFC7043FBD4C908D8370E2E8334A36_11</vt:lpwstr>
  </property>
  <property fmtid="{D5CDD505-2E9C-101B-9397-08002B2CF9AE}" pid="4" name="hmcheck_markmode">
    <vt:i4>0</vt:i4>
  </property>
  <property fmtid="{D5CDD505-2E9C-101B-9397-08002B2CF9AE}" pid="5" name="hmcheck_result_c6b18296d8bf4d2b91cbe91d78f29abd_errorword">
    <vt:lpwstr>兜牢</vt:lpwstr>
  </property>
  <property fmtid="{D5CDD505-2E9C-101B-9397-08002B2CF9AE}" pid="6" name="hmcheck_result_c6b18296d8bf4d2b91cbe91d78f29abd_correctwords">
    <vt:lpwstr>["&lt;无建议&gt;"]</vt:lpwstr>
  </property>
  <property fmtid="{D5CDD505-2E9C-101B-9397-08002B2CF9AE}" pid="7" name="hmcheck_result_c6b18296d8bf4d2b91cbe91d78f29abd_level">
    <vt:i4>2</vt:i4>
  </property>
  <property fmtid="{D5CDD505-2E9C-101B-9397-08002B2CF9AE}" pid="8" name="hmcheck_result_c6b18296d8bf4d2b91cbe91d78f29abd_type">
    <vt:i4>0</vt:i4>
  </property>
  <property fmtid="{D5CDD505-2E9C-101B-9397-08002B2CF9AE}" pid="9" name="hmcheck_result_c6b18296d8bf4d2b91cbe91d78f29abd_modifiedtype">
    <vt:i4>1</vt:i4>
  </property>
  <property fmtid="{D5CDD505-2E9C-101B-9397-08002B2CF9AE}" pid="10" name="hmcheck_result_cf035226c76e416c9b9d817d5c3665e3_errorword">
    <vt:lpwstr>扣</vt:lpwstr>
  </property>
  <property fmtid="{D5CDD505-2E9C-101B-9397-08002B2CF9AE}" pid="11" name="hmcheck_result_cf035226c76e416c9b9d817d5c3665e3_correctwords">
    <vt:lpwstr>["&lt;无建议&gt;"]</vt:lpwstr>
  </property>
  <property fmtid="{D5CDD505-2E9C-101B-9397-08002B2CF9AE}" pid="12" name="hmcheck_result_cf035226c76e416c9b9d817d5c3665e3_level">
    <vt:i4>2</vt:i4>
  </property>
  <property fmtid="{D5CDD505-2E9C-101B-9397-08002B2CF9AE}" pid="13" name="hmcheck_result_cf035226c76e416c9b9d817d5c3665e3_type">
    <vt:i4>0</vt:i4>
  </property>
  <property fmtid="{D5CDD505-2E9C-101B-9397-08002B2CF9AE}" pid="14" name="hmcheck_result_cf035226c76e416c9b9d817d5c3665e3_modifiedtype">
    <vt:i4>1</vt:i4>
  </property>
</Properties>
</file>