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楷体_GB2312" w:hAnsi="楷体_GB2312" w:eastAsia="楷体_GB2312" w:cs="楷体_GB2312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社会评价材料</w:t>
      </w:r>
    </w:p>
    <w:p>
      <w:pPr>
        <w:jc w:val="left"/>
        <w:rPr>
          <w:rFonts w:hint="eastAsia" w:ascii="楷体_GB2312" w:hAnsi="楷体_GB2312" w:eastAsia="楷体_GB2312" w:cs="楷体_GB2312"/>
          <w:sz w:val="28"/>
          <w:szCs w:val="28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师宗县投资促进局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2023年度工作情况报告 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一、工作措施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（一）加大招商力度强产业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把推动产业发展作为招商引资的出发点和落脚点，瞄准招商方向，加大产业链招商力度，强化项目全生命周期闭环管理，提供精准化跟踪服务，推动全县招商引资工作取得实效。打造招商引资“排头兵”，坚持以商招商、定点招商、领导带队招商齐推进，成立三个招商组，采取小分队招商的方式，围绕不锈钢、绿色铝、高原农特产品等产业开展招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（二）优化营商环境稳企业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“今天再晚也是早，明天再早也是晚”的效率意识，为企业第一时间“排忧解难”。一是围绕流程再造管理闭环和高效便捷的目标，对一站式联审联批运行模式、流程图作进一步完善，确保按照《师宗县党建引领基层治理“一件事”模块化运行改革实施方案》要求时限完成改革；二是对需报上级主管部门审批的事项，明确有关部门积极指导投资主体组织材料，并安排专人协助投资主体前往上级主管部门进行办理；三是开展面向投资主体的申报业务辅导，为项目行政许可前准备各项申报材料、同步报审提供便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二、工作成效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jc w:val="both"/>
        <w:textAlignment w:val="auto"/>
        <w:rPr>
          <w:rFonts w:hint="eastAsia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-6"/>
          <w:sz w:val="32"/>
          <w:szCs w:val="32"/>
          <w:lang w:val="en-US" w:eastAsia="zh-CN"/>
        </w:rPr>
        <w:t>（一）招商引资工作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截至目前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，共签约项目114个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其中亿元以上项目23个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10亿元以上项目2个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&lt;完成率达200%&gt;），</w:t>
      </w:r>
      <w:r>
        <w:rPr>
          <w:rFonts w:hint="eastAsia" w:ascii="仿宋_GB2312" w:eastAsia="仿宋_GB2312"/>
          <w:spacing w:val="-6"/>
          <w:sz w:val="32"/>
          <w:szCs w:val="32"/>
        </w:rPr>
        <w:t>协议投资金额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363.075</w:t>
      </w:r>
      <w:r>
        <w:rPr>
          <w:rFonts w:hint="eastAsia" w:ascii="仿宋_GB2312" w:eastAsia="仿宋_GB2312"/>
          <w:spacing w:val="-6"/>
          <w:sz w:val="32"/>
          <w:szCs w:val="32"/>
        </w:rPr>
        <w:t>亿元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；</w:t>
      </w:r>
      <w:r>
        <w:rPr>
          <w:rFonts w:hint="eastAsia" w:ascii="仿宋_GB2312" w:eastAsia="仿宋_GB2312"/>
          <w:spacing w:val="-6"/>
          <w:sz w:val="32"/>
          <w:szCs w:val="32"/>
        </w:rPr>
        <w:t>外来投资项目计划总投资109.74亿元，同比增幅84.7%；外来投资项目完成固定资产投资43.73亿元，同比增幅33.4%；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省外产业到位资金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lang w:val="en-US" w:eastAsia="zh-CN"/>
        </w:rPr>
        <w:t>98.46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亿元，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完成率达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117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；</w:t>
      </w:r>
      <w:r>
        <w:rPr>
          <w:rFonts w:hint="eastAsia" w:ascii="仿宋_GB2312" w:eastAsia="仿宋_GB2312"/>
          <w:spacing w:val="-6"/>
          <w:sz w:val="32"/>
          <w:szCs w:val="32"/>
        </w:rPr>
        <w:t>围绕“三个定位”策划包装亿元以上招商引资项目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pacing w:val="-6"/>
          <w:sz w:val="32"/>
          <w:szCs w:val="32"/>
        </w:rPr>
        <w:t>个（其中获得奖补项目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pacing w:val="-6"/>
          <w:sz w:val="32"/>
          <w:szCs w:val="32"/>
        </w:rPr>
        <w:t>个）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。邀请市委、市政府主要领导</w:t>
      </w:r>
      <w:bookmarkStart w:id="0" w:name="hmcheck_13b27c28cee44fc791de1451e06528d5"/>
      <w:r>
        <w:rPr>
          <w:rFonts w:hint="eastAsia" w:ascii="仿宋_GB2312" w:eastAsia="仿宋_GB2312"/>
          <w:spacing w:val="-6"/>
          <w:sz w:val="32"/>
          <w:szCs w:val="32"/>
          <w:shd w:val="clear" w:fill="FFFFFF"/>
          <w:lang w:val="en-US" w:eastAsia="zh-CN"/>
        </w:rPr>
        <w:t>见签</w:t>
      </w:r>
      <w:bookmarkEnd w:id="0"/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招商项目8个。县委、县政府主要领导带队赴重庆、广东、四川等区域开展招商活动13次；专题研究招商引资工作6次。3个招商组共计拜访企业235家，邀请赴</w:t>
      </w:r>
      <w:bookmarkStart w:id="1" w:name="hmcheck_1f38647ea54e4041b1e9399c7e42fa96"/>
      <w:r>
        <w:rPr>
          <w:rFonts w:hint="eastAsia" w:ascii="仿宋_GB2312" w:eastAsia="仿宋_GB2312"/>
          <w:spacing w:val="-6"/>
          <w:sz w:val="32"/>
          <w:szCs w:val="32"/>
          <w:shd w:val="clear" w:fill="FFFFFF"/>
          <w:lang w:val="en-US" w:eastAsia="zh-CN"/>
        </w:rPr>
        <w:t>师</w:t>
      </w:r>
      <w:bookmarkEnd w:id="1"/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考察企业134家。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jc w:val="both"/>
        <w:textAlignment w:val="auto"/>
        <w:rPr>
          <w:rFonts w:hint="eastAsia" w:ascii="楷体_GB2312" w:hAnsi="楷体_GB2312" w:eastAsia="楷体_GB2312" w:cs="楷体_GB2312"/>
          <w:spacing w:val="-6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-6"/>
          <w:sz w:val="32"/>
          <w:szCs w:val="32"/>
          <w:lang w:val="en-US" w:eastAsia="zh-CN"/>
        </w:rPr>
        <w:t>（二）外资和市场主体指标完成情况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截至目前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，实际利用外资300万美元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完成率达150%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新发展外资市场主体4户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完成率达133.3%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三、下步计划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jc w:val="both"/>
        <w:textAlignment w:val="auto"/>
        <w:rPr>
          <w:rFonts w:hint="eastAsia" w:ascii="楷体_GB2312" w:hAnsi="楷体_GB2312" w:eastAsia="楷体_GB2312" w:cs="楷体_GB2312"/>
          <w:spacing w:val="-6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-6"/>
          <w:sz w:val="32"/>
          <w:szCs w:val="32"/>
          <w:lang w:val="en-US" w:eastAsia="zh-CN"/>
        </w:rPr>
        <w:t>（一）聚焦重点区域，精准靶向招商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把长三角、珠三角、环渤海、川渝等区域作为招商重点区域，进一步梳理完善重点招商区域、重点招商企业“两个清单”；按照“三</w:t>
      </w:r>
      <w:bookmarkStart w:id="2" w:name="hmcheck_122a2efa901240a29b24521e1f2bd553"/>
      <w:r>
        <w:rPr>
          <w:rFonts w:hint="eastAsia" w:ascii="仿宋_GB2312" w:eastAsia="仿宋_GB2312"/>
          <w:sz w:val="32"/>
          <w:szCs w:val="32"/>
          <w:shd w:val="clear" w:fill="FFFFFF"/>
        </w:rPr>
        <w:t>图两库</w:t>
      </w:r>
      <w:bookmarkEnd w:id="2"/>
      <w:r>
        <w:rPr>
          <w:rFonts w:hint="eastAsia" w:ascii="仿宋_GB2312" w:eastAsia="仿宋_GB2312"/>
          <w:sz w:val="32"/>
          <w:szCs w:val="32"/>
        </w:rPr>
        <w:t>一图谱”要求，锁定一批</w:t>
      </w:r>
      <w:bookmarkStart w:id="3" w:name="hmcheck_57cb8fa8749e46038015a4b05edb4edf"/>
      <w:r>
        <w:rPr>
          <w:rFonts w:hint="eastAsia" w:ascii="仿宋_GB2312" w:eastAsia="仿宋_GB2312"/>
          <w:sz w:val="32"/>
          <w:szCs w:val="32"/>
          <w:shd w:val="clear" w:fill="FFFFFF"/>
        </w:rPr>
        <w:t>与</w:t>
      </w:r>
      <w:bookmarkEnd w:id="3"/>
      <w:r>
        <w:rPr>
          <w:rFonts w:hint="eastAsia" w:ascii="仿宋_GB2312" w:eastAsia="仿宋_GB2312"/>
          <w:sz w:val="32"/>
          <w:szCs w:val="32"/>
        </w:rPr>
        <w:t>师宗产业发展契合度高的目标企业，有重点有意向的进行跟踪对接，开展精准靶向招商。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6" w:firstLineChars="200"/>
        <w:jc w:val="both"/>
        <w:textAlignment w:val="auto"/>
        <w:rPr>
          <w:rFonts w:hint="eastAsia" w:ascii="楷体_GB2312" w:hAnsi="楷体_GB2312" w:eastAsia="楷体_GB2312" w:cs="楷体_GB2312"/>
          <w:spacing w:val="-6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-6"/>
          <w:sz w:val="32"/>
          <w:szCs w:val="32"/>
          <w:lang w:val="en-US" w:eastAsia="zh-CN"/>
        </w:rPr>
        <w:t>（二）创新招商方式，提升招商实效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1.制定出台中介招商奖励办法，对招商有功人员给予奖励。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2.与有招商实力、招商业绩好的中介机构进行合作，开展委托招商、代理招商。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3.探索签订对赌协议，对项目前景好、示范引领强、</w:t>
      </w:r>
      <w:bookmarkStart w:id="4" w:name="hmcheck_ab94830d1b6a4dcebd2fe38d8ef175ce"/>
      <w:bookmarkStart w:id="5" w:name="_GoBack"/>
      <w:r>
        <w:rPr>
          <w:rFonts w:hint="eastAsia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链主</w:t>
      </w:r>
      <w:bookmarkEnd w:id="4"/>
      <w:bookmarkEnd w:id="5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型项目探索尝试签订对赌协议。</w:t>
      </w:r>
    </w:p>
    <w:sectPr>
      <w:footerReference r:id="rId3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5CA73191"/>
    <w:rsid w:val="03175807"/>
    <w:rsid w:val="1A7A3DEF"/>
    <w:rsid w:val="26671501"/>
    <w:rsid w:val="31345146"/>
    <w:rsid w:val="3531118E"/>
    <w:rsid w:val="389116EF"/>
    <w:rsid w:val="3B701150"/>
    <w:rsid w:val="3F200CC4"/>
    <w:rsid w:val="424B20E2"/>
    <w:rsid w:val="42796204"/>
    <w:rsid w:val="44F123DE"/>
    <w:rsid w:val="49241F86"/>
    <w:rsid w:val="50E37FE1"/>
    <w:rsid w:val="52332CE9"/>
    <w:rsid w:val="555B4BB8"/>
    <w:rsid w:val="58541072"/>
    <w:rsid w:val="5CA73191"/>
    <w:rsid w:val="5DEE5C87"/>
    <w:rsid w:val="63DA0560"/>
    <w:rsid w:val="6859243F"/>
    <w:rsid w:val="6A720E4C"/>
    <w:rsid w:val="7344541E"/>
    <w:rsid w:val="7965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2023-04-14T01:47:00Z</dcterms:created>
  <dc:creator>魚儿飞啊飞</dc:creator>
  <cp:lastModifiedBy>郑若愚</cp:lastModifiedBy>
  <dcterms:modified xsi:type="dcterms:W3CDTF">2023-12-25T01:27:59Z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hmcheck_markmode">
    <vt:i4>0</vt:i4>
  </property>
  <property fmtid="{D5CDD505-2E9C-101B-9397-08002B2CF9AE}" pid="4" name="ICV">
    <vt:lpwstr>5760E396616443529B21EC5B271A15FD_12</vt:lpwstr>
  </property>
  <property fmtid="{D5CDD505-2E9C-101B-9397-08002B2CF9AE}" pid="5" name="hmcheck_result_13b27c28cee44fc791de1451e06528d5_errorword">
    <vt:lpwstr>见签</vt:lpwstr>
  </property>
  <property fmtid="{D5CDD505-2E9C-101B-9397-08002B2CF9AE}" pid="6" name="hmcheck_result_13b27c28cee44fc791de1451e06528d5_correctwords">
    <vt:lpwstr>["监签","网签"]</vt:lpwstr>
  </property>
  <property fmtid="{D5CDD505-2E9C-101B-9397-08002B2CF9AE}" pid="7" name="hmcheck_result_13b27c28cee44fc791de1451e06528d5_level">
    <vt:i4>2</vt:i4>
  </property>
  <property fmtid="{D5CDD505-2E9C-101B-9397-08002B2CF9AE}" pid="8" name="hmcheck_result_13b27c28cee44fc791de1451e06528d5_type">
    <vt:i4>0</vt:i4>
  </property>
  <property fmtid="{D5CDD505-2E9C-101B-9397-08002B2CF9AE}" pid="9" name="hmcheck_result_13b27c28cee44fc791de1451e06528d5_modifiedtype">
    <vt:i4>1</vt:i4>
  </property>
  <property fmtid="{D5CDD505-2E9C-101B-9397-08002B2CF9AE}" pid="10" name="hmcheck_result_1f38647ea54e4041b1e9399c7e42fa96_errorword">
    <vt:lpwstr>师</vt:lpwstr>
  </property>
  <property fmtid="{D5CDD505-2E9C-101B-9397-08002B2CF9AE}" pid="11" name="hmcheck_result_1f38647ea54e4041b1e9399c7e42fa96_correctwords">
    <vt:lpwstr>["&lt;无建议&gt;"]</vt:lpwstr>
  </property>
  <property fmtid="{D5CDD505-2E9C-101B-9397-08002B2CF9AE}" pid="12" name="hmcheck_result_1f38647ea54e4041b1e9399c7e42fa96_level">
    <vt:i4>2</vt:i4>
  </property>
  <property fmtid="{D5CDD505-2E9C-101B-9397-08002B2CF9AE}" pid="13" name="hmcheck_result_1f38647ea54e4041b1e9399c7e42fa96_type">
    <vt:i4>0</vt:i4>
  </property>
  <property fmtid="{D5CDD505-2E9C-101B-9397-08002B2CF9AE}" pid="14" name="hmcheck_result_1f38647ea54e4041b1e9399c7e42fa96_modifiedtype">
    <vt:i4>1</vt:i4>
  </property>
  <property fmtid="{D5CDD505-2E9C-101B-9397-08002B2CF9AE}" pid="15" name="hmcheck_result_122a2efa901240a29b24521e1f2bd553_errorword">
    <vt:lpwstr>图两库</vt:lpwstr>
  </property>
  <property fmtid="{D5CDD505-2E9C-101B-9397-08002B2CF9AE}" pid="16" name="hmcheck_result_122a2efa901240a29b24521e1f2bd553_correctwords">
    <vt:lpwstr>["&lt;无建议&gt;"]</vt:lpwstr>
  </property>
  <property fmtid="{D5CDD505-2E9C-101B-9397-08002B2CF9AE}" pid="17" name="hmcheck_result_122a2efa901240a29b24521e1f2bd553_level">
    <vt:i4>2</vt:i4>
  </property>
  <property fmtid="{D5CDD505-2E9C-101B-9397-08002B2CF9AE}" pid="18" name="hmcheck_result_122a2efa901240a29b24521e1f2bd553_type">
    <vt:i4>0</vt:i4>
  </property>
  <property fmtid="{D5CDD505-2E9C-101B-9397-08002B2CF9AE}" pid="19" name="hmcheck_result_122a2efa901240a29b24521e1f2bd553_modifiedtype">
    <vt:i4>1</vt:i4>
  </property>
  <property fmtid="{D5CDD505-2E9C-101B-9397-08002B2CF9AE}" pid="20" name="hmcheck_result_57cb8fa8749e46038015a4b05edb4edf_errorword">
    <vt:lpwstr>与</vt:lpwstr>
  </property>
  <property fmtid="{D5CDD505-2E9C-101B-9397-08002B2CF9AE}" pid="21" name="hmcheck_result_57cb8fa8749e46038015a4b05edb4edf_correctwords">
    <vt:lpwstr>["&lt;无建议&gt;"]</vt:lpwstr>
  </property>
  <property fmtid="{D5CDD505-2E9C-101B-9397-08002B2CF9AE}" pid="22" name="hmcheck_result_57cb8fa8749e46038015a4b05edb4edf_level">
    <vt:i4>2</vt:i4>
  </property>
  <property fmtid="{D5CDD505-2E9C-101B-9397-08002B2CF9AE}" pid="23" name="hmcheck_result_57cb8fa8749e46038015a4b05edb4edf_type">
    <vt:i4>0</vt:i4>
  </property>
  <property fmtid="{D5CDD505-2E9C-101B-9397-08002B2CF9AE}" pid="24" name="hmcheck_result_57cb8fa8749e46038015a4b05edb4edf_modifiedtype">
    <vt:i4>1</vt:i4>
  </property>
  <property fmtid="{D5CDD505-2E9C-101B-9397-08002B2CF9AE}" pid="25" name="hmcheck_result_ab94830d1b6a4dcebd2fe38d8ef175ce_errorword">
    <vt:lpwstr>链主</vt:lpwstr>
  </property>
  <property fmtid="{D5CDD505-2E9C-101B-9397-08002B2CF9AE}" pid="26" name="hmcheck_result_ab94830d1b6a4dcebd2fe38d8ef175ce_correctwords">
    <vt:lpwstr>["&lt;无建议&gt;"]</vt:lpwstr>
  </property>
  <property fmtid="{D5CDD505-2E9C-101B-9397-08002B2CF9AE}" pid="27" name="hmcheck_result_ab94830d1b6a4dcebd2fe38d8ef175ce_level">
    <vt:i4>2</vt:i4>
  </property>
  <property fmtid="{D5CDD505-2E9C-101B-9397-08002B2CF9AE}" pid="28" name="hmcheck_result_ab94830d1b6a4dcebd2fe38d8ef175ce_type">
    <vt:i4>0</vt:i4>
  </property>
  <property fmtid="{D5CDD505-2E9C-101B-9397-08002B2CF9AE}" pid="29" name="hmcheck_result_ab94830d1b6a4dcebd2fe38d8ef175ce_modifiedtype">
    <vt:i4>1</vt:i4>
  </property>
</Properties>
</file>