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ascii="楷体_GB2312" w:eastAsia="楷体_GB2312"/>
          <w:sz w:val="28"/>
          <w:szCs w:val="28"/>
        </w:rPr>
        <w:t>社会评价材料</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eastAsia="方正小标宋_GBK"/>
          <w:lang w:val="en-US" w:eastAsia="zh-CN"/>
        </w:rPr>
      </w:pPr>
      <w:r>
        <w:rPr>
          <w:rFonts w:hint="eastAsia" w:ascii="方正小标宋_GBK" w:hAnsi="仿宋" w:eastAsia="方正小标宋_GBK"/>
          <w:color w:val="000000" w:themeColor="text1"/>
          <w:kern w:val="0"/>
          <w:sz w:val="44"/>
          <w:szCs w:val="44"/>
          <w:lang w:eastAsia="zh-CN"/>
          <w14:textFill>
            <w14:solidFill>
              <w14:schemeClr w14:val="tx1"/>
            </w14:solidFill>
          </w14:textFill>
        </w:rPr>
        <w:t>师宗</w:t>
      </w:r>
      <w:r>
        <w:rPr>
          <w:rFonts w:hint="eastAsia" w:ascii="方正小标宋_GBK" w:hAnsi="仿宋" w:eastAsia="方正小标宋_GBK"/>
          <w:color w:val="000000" w:themeColor="text1"/>
          <w:kern w:val="0"/>
          <w:sz w:val="44"/>
          <w:szCs w:val="44"/>
          <w14:textFill>
            <w14:solidFill>
              <w14:schemeClr w14:val="tx1"/>
            </w14:solidFill>
          </w14:textFill>
        </w:rPr>
        <w:t>县</w:t>
      </w:r>
      <w:r>
        <w:rPr>
          <w:rFonts w:hint="eastAsia" w:ascii="方正小标宋_GBK" w:hAnsi="仿宋" w:eastAsia="方正小标宋_GBK"/>
          <w:color w:val="000000" w:themeColor="text1"/>
          <w:kern w:val="0"/>
          <w:sz w:val="44"/>
          <w:szCs w:val="44"/>
          <w:lang w:eastAsia="zh-CN"/>
          <w14:textFill>
            <w14:solidFill>
              <w14:schemeClr w14:val="tx1"/>
            </w14:solidFill>
          </w14:textFill>
        </w:rPr>
        <w:t>委政法委</w:t>
      </w:r>
      <w:r>
        <w:rPr>
          <w:rFonts w:hint="eastAsia" w:ascii="方正小标宋_GBK" w:hAnsi="仿宋" w:eastAsia="方正小标宋_GBK"/>
          <w:color w:val="000000" w:themeColor="text1"/>
          <w:kern w:val="0"/>
          <w:sz w:val="44"/>
          <w:szCs w:val="44"/>
          <w:lang w:val="en-US" w:eastAsia="zh-CN"/>
          <w14:textFill>
            <w14:solidFill>
              <w14:schemeClr w14:val="tx1"/>
            </w14:solidFill>
          </w14:textFill>
        </w:rPr>
        <w:t>2023年</w:t>
      </w:r>
      <w:r>
        <w:rPr>
          <w:rFonts w:hint="eastAsia" w:ascii="方正小标宋_GBK" w:hAnsi="仿宋" w:eastAsia="方正小标宋_GBK"/>
          <w:color w:val="000000" w:themeColor="text1"/>
          <w:kern w:val="0"/>
          <w:sz w:val="44"/>
          <w:szCs w:val="44"/>
          <w14:textFill>
            <w14:solidFill>
              <w14:schemeClr w14:val="tx1"/>
            </w14:solidFill>
          </w14:textFill>
        </w:rPr>
        <w:t>工作</w:t>
      </w:r>
      <w:r>
        <w:rPr>
          <w:rFonts w:hint="eastAsia" w:ascii="方正小标宋_GBK" w:hAnsi="仿宋" w:eastAsia="方正小标宋_GBK"/>
          <w:color w:val="000000" w:themeColor="text1"/>
          <w:kern w:val="0"/>
          <w:sz w:val="44"/>
          <w:szCs w:val="44"/>
          <w:lang w:eastAsia="zh-CN"/>
          <w14:textFill>
            <w14:solidFill>
              <w14:schemeClr w14:val="tx1"/>
            </w14:solidFill>
          </w14:textFill>
        </w:rPr>
        <w:t>情况报告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right="0" w:rightChars="0" w:firstLine="640" w:firstLineChars="200"/>
        <w:jc w:val="left"/>
        <w:textAlignment w:val="auto"/>
        <w:outlineLvl w:val="9"/>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pP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今年以来，在县委的坚强领导和市委政法委的关心指导下，县委政法委认真贯彻落实中央、省、市关于做好政法工作的决策部署，突出工作重点，狠抓工作落实，各项工作深入推进。</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pPr>
      <w:r>
        <w:rPr>
          <w:rFonts w:hint="eastAsia" w:ascii="黑体" w:hAnsi="黑体" w:eastAsia="黑体" w:cs="黑体"/>
          <w:b w:val="0"/>
          <w:bCs/>
          <w:snapToGrid w:val="0"/>
          <w:color w:val="000000" w:themeColor="text1"/>
          <w:kern w:val="0"/>
          <w:sz w:val="32"/>
          <w:szCs w:val="32"/>
          <w:lang w:val="en-US" w:eastAsia="zh-CN"/>
          <w14:textFill>
            <w14:solidFill>
              <w14:schemeClr w14:val="tx1"/>
            </w14:solidFill>
          </w14:textFill>
        </w:rPr>
        <w:t>一、把准方向，筑牢政法工作基础。</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一是强化政治引领。</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以贯彻落实《政法工作条例》为重点，全面落实政治督察、政法委员述职、纪律作风督查等工作。</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二是强化谋划部署。</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围绕中央、省、市政法工作部署要求，确定了“1456”的工作思路，并对重点工作任务进行细化分解，加强督促指导和跟踪问效，确保工作稳步推进。</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三是强化统筹协调。</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突出牵头抓总、统筹协调，定期了解、分析、研究政法各单位工作开展情况，按季度组织召开政法委员会全体会议，研究解决工作中遇到的困难和问题，有效发挥政法委员会的集体领导作用。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right="0" w:rightChars="0" w:firstLine="640" w:firstLineChars="200"/>
        <w:jc w:val="left"/>
        <w:textAlignment w:val="auto"/>
        <w:outlineLvl w:val="9"/>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pPr>
      <w:r>
        <w:rPr>
          <w:rFonts w:hint="eastAsia" w:ascii="黑体" w:hAnsi="黑体" w:eastAsia="黑体" w:cs="黑体"/>
          <w:b w:val="0"/>
          <w:bCs/>
          <w:snapToGrid w:val="0"/>
          <w:color w:val="000000" w:themeColor="text1"/>
          <w:kern w:val="0"/>
          <w:sz w:val="32"/>
          <w:szCs w:val="32"/>
          <w:lang w:val="en-US" w:eastAsia="zh-CN"/>
          <w14:textFill>
            <w14:solidFill>
              <w14:schemeClr w14:val="tx1"/>
            </w14:solidFill>
          </w14:textFill>
        </w:rPr>
        <w:t>二、聚焦重点，统筹推进各项工作。</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一是维护社会大局稳定取得新进展。</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坚持把维护政治安全和社会大局稳定这条主线贯穿于政法工作全过程，落细落实防范化解政治安全和社会稳定风险工作措施，未发生影响政治安全和社会稳定的事件。</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二是党建引领基层治理取得新成效。</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突出抓好矛盾纠纷排查化解，深入开展“百日攻坚”行动，总结固化“双线排查”“分级研判”“三级包保”“分片</w:t>
      </w:r>
      <w:bookmarkStart w:id="1" w:name="_GoBack"/>
      <w:bookmarkStart w:id="0" w:name="hmcheck_59bf739983d14167b41d53c98ad932a1"/>
      <w:r>
        <w:rPr>
          <w:rFonts w:hint="eastAsia" w:ascii="仿宋_GB2312" w:hAnsi="仿宋_GB2312" w:eastAsia="仿宋_GB2312" w:cs="仿宋_GB2312"/>
          <w:b w:val="0"/>
          <w:bCs/>
          <w:color w:val="000000" w:themeColor="text1"/>
          <w:kern w:val="0"/>
          <w:sz w:val="32"/>
          <w:szCs w:val="32"/>
          <w:u w:val="none"/>
          <w:shd w:val="clear" w:fill="FFFFFF"/>
          <w:lang w:val="en-US" w:eastAsia="zh-CN" w:bidi="ar-SA"/>
          <w14:textFill>
            <w14:solidFill>
              <w14:schemeClr w14:val="tx1"/>
            </w14:solidFill>
          </w14:textFill>
        </w:rPr>
        <w:t>联挂</w:t>
      </w:r>
      <w:bookmarkEnd w:id="1"/>
      <w:bookmarkEnd w:id="0"/>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等10项制度和措施，高效、规范开展排查化解。基层平安创建活动扎实推进，“平安家庭”“平安单位”等创评工作有序开展。网格化治理效能进一步提升，全县共划分三级网格1244个，选聘网格员1244名，网格员“探头”作用有效发挥。</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三是常态化扫黑除恶有新提升。</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持续推进常态化扫黑除恶斗争“六大机制”建设，深化五大行业领域整治，巩固“三治三建”工作，推动扫黑除恶工作走深走实。</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四是法治师宗建设迈出新步伐。</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进一步健全完善法治建设组织体系、制度体系、保障体系，突出重点抓好普法强基补短板专项行动，有效提高普法宣传教育实效。</w:t>
      </w:r>
      <w:r>
        <w:rPr>
          <w:rFonts w:hint="eastAsia" w:ascii="楷体_GB2312" w:hAnsi="楷体_GB2312" w:eastAsia="楷体_GB2312" w:cs="楷体_GB2312"/>
          <w:b/>
          <w:bCs w:val="0"/>
          <w:color w:val="000000" w:themeColor="text1"/>
          <w:kern w:val="0"/>
          <w:sz w:val="32"/>
          <w:szCs w:val="32"/>
          <w:u w:val="none"/>
          <w:lang w:val="en-US" w:eastAsia="zh-CN" w:bidi="ar-SA"/>
          <w14:textFill>
            <w14:solidFill>
              <w14:schemeClr w14:val="tx1"/>
            </w14:solidFill>
          </w14:textFill>
        </w:rPr>
        <w:t>五是构建“大信访”工作格局取得新突破。</w:t>
      </w:r>
      <w:r>
        <w:rPr>
          <w:rFonts w:hint="eastAsia" w:ascii="仿宋_GB2312" w:hAnsi="仿宋_GB2312" w:eastAsia="仿宋_GB2312" w:cs="仿宋_GB2312"/>
          <w:b w:val="0"/>
          <w:bCs/>
          <w:color w:val="000000" w:themeColor="text1"/>
          <w:kern w:val="0"/>
          <w:sz w:val="32"/>
          <w:szCs w:val="32"/>
          <w:u w:val="none"/>
          <w:lang w:val="en-US" w:eastAsia="zh-CN" w:bidi="ar-SA"/>
          <w14:textFill>
            <w14:solidFill>
              <w14:schemeClr w14:val="tx1"/>
            </w14:solidFill>
          </w14:textFill>
        </w:rPr>
        <w:t>聚焦短板弱项，完善组织领导、责任落实、工作推进、综合治理“五大机制”，进一步压实工作责任，加强信访事项闭环管理，全面构建“大信访”工作格局。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val="0"/>
          <w:snapToGrid w:val="0"/>
          <w:color w:val="000000" w:themeColor="text1"/>
          <w:kern w:val="0"/>
          <w:sz w:val="32"/>
          <w:szCs w:val="32"/>
          <w:lang w:val="en-US" w:eastAsia="zh-CN"/>
          <w14:textFill>
            <w14:solidFill>
              <w14:schemeClr w14:val="tx1"/>
            </w14:solidFill>
          </w14:textFill>
        </w:rPr>
        <w:t>（三）党建引领，锻造过硬政法队伍。</w:t>
      </w:r>
      <w:r>
        <w:rPr>
          <w:rFonts w:hint="eastAsia" w:ascii="仿宋_GB2312" w:hAnsi="仿宋_GB2312" w:eastAsia="仿宋_GB2312" w:cs="仿宋_GB2312"/>
          <w:b/>
          <w:bCs w:val="0"/>
          <w:color w:val="000000" w:themeColor="text1"/>
          <w:kern w:val="0"/>
          <w:sz w:val="32"/>
          <w:szCs w:val="32"/>
          <w:u w:val="none"/>
          <w:lang w:val="en-US" w:eastAsia="zh-CN" w:bidi="ar-SA"/>
          <w14:textFill>
            <w14:solidFill>
              <w14:schemeClr w14:val="tx1"/>
            </w14:solidFill>
          </w14:textFill>
        </w:rPr>
        <w:t>一是全面加强机关党建工作。</w:t>
      </w:r>
      <w:r>
        <w:rPr>
          <w:rFonts w:hint="eastAsia" w:ascii="仿宋_GB2312" w:hAnsi="仿宋_GB2312" w:eastAsia="仿宋_GB2312" w:cs="仿宋_GB2312"/>
          <w:b w:val="0"/>
          <w:snapToGrid w:val="0"/>
          <w:color w:val="000000" w:themeColor="text1"/>
          <w:kern w:val="0"/>
          <w:sz w:val="32"/>
          <w:szCs w:val="32"/>
          <w:lang w:val="en-US" w:eastAsia="zh-CN" w:bidi="ar-SA"/>
          <w14:textFill>
            <w14:solidFill>
              <w14:schemeClr w14:val="tx1"/>
            </w14:solidFill>
          </w14:textFill>
        </w:rPr>
        <w:t>围绕新时代党的建设总体要求，突出政治方向、问题导向、标准取向和效果指向，以创建模范机关、规范化党支部等为载体，全面抓好党的建设工作</w:t>
      </w:r>
      <w:r>
        <w:rPr>
          <w:rFonts w:hint="eastAsia" w:ascii="仿宋_GB2312"/>
          <w:b w:val="0"/>
          <w:bCs w:val="0"/>
          <w:snapToGrid w:val="0"/>
          <w:color w:val="000000" w:themeColor="text1"/>
          <w:kern w:val="0"/>
          <w:sz w:val="32"/>
          <w:szCs w:val="32"/>
          <w:lang w:val="en-US" w:eastAsia="zh-CN"/>
          <w14:textFill>
            <w14:solidFill>
              <w14:schemeClr w14:val="tx1"/>
            </w14:solidFill>
          </w14:textFill>
        </w:rPr>
        <w:t>。</w:t>
      </w:r>
      <w:r>
        <w:rPr>
          <w:rFonts w:hint="eastAsia" w:ascii="仿宋_GB2312" w:hAnsi="仿宋_GB2312" w:eastAsia="仿宋_GB2312" w:cs="仿宋_GB2312"/>
          <w:b/>
          <w:bCs/>
          <w:snapToGrid w:val="0"/>
          <w:color w:val="000000" w:themeColor="text1"/>
          <w:kern w:val="0"/>
          <w:sz w:val="32"/>
          <w:szCs w:val="32"/>
          <w:lang w:val="en-US" w:eastAsia="zh-CN" w:bidi="ar-SA"/>
          <w14:textFill>
            <w14:solidFill>
              <w14:schemeClr w14:val="tx1"/>
            </w14:solidFill>
          </w14:textFill>
        </w:rPr>
        <w:t>二是全面加强党风廉政建设。</w:t>
      </w:r>
      <w:r>
        <w:rPr>
          <w:rFonts w:hint="eastAsia" w:ascii="仿宋_GB2312" w:hAnsi="仿宋_GB2312" w:eastAsia="仿宋_GB2312" w:cs="仿宋_GB2312"/>
          <w:sz w:val="32"/>
          <w:szCs w:val="32"/>
          <w:lang w:val="en-US" w:eastAsia="zh-CN"/>
        </w:rPr>
        <w:t>强化组织领导、深化宣传教育、规范权力运行、抓实纪律作风，全面贯彻落实党风廉政建设责任制，深入推进党风廉政建设和反腐败工作</w:t>
      </w:r>
      <w:r>
        <w:rPr>
          <w:rFonts w:hint="eastAsia" w:ascii="仿宋_GB2312" w:hAnsi="仿宋_GB2312" w:eastAsia="仿宋_GB2312" w:cs="仿宋_GB2312"/>
          <w:b w:val="0"/>
          <w:snapToGrid w:val="0"/>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b/>
          <w:bCs/>
          <w:sz w:val="32"/>
          <w:szCs w:val="32"/>
          <w:lang w:val="en-US" w:eastAsia="zh-CN"/>
        </w:rPr>
        <w:t>三是全面加强政法队伍建设。</w:t>
      </w:r>
      <w:r>
        <w:rPr>
          <w:rFonts w:hint="eastAsia" w:ascii="仿宋_GB2312" w:hAnsi="仿宋_GB2312" w:eastAsia="仿宋_GB2312" w:cs="仿宋_GB2312"/>
          <w:sz w:val="32"/>
          <w:szCs w:val="32"/>
          <w:lang w:val="en-US" w:eastAsia="zh-CN"/>
        </w:rPr>
        <w:t>进一步巩固和深化政法队伍教育整顿成果，持续深化作风革命效能革命，全县政法队伍纪律作风进一步好转、素质能力进一步增强。</w:t>
      </w:r>
      <w:r>
        <w:rPr>
          <w:rFonts w:hint="eastAsia" w:ascii="仿宋_GB2312" w:hAnsi="仿宋_GB2312" w:eastAsia="仿宋_GB2312" w:cs="仿宋_GB2312"/>
          <w:b/>
          <w:bCs/>
          <w:sz w:val="32"/>
          <w:szCs w:val="32"/>
          <w:lang w:val="en-US" w:eastAsia="zh-CN"/>
        </w:rPr>
        <w:t>四是全面加强意识形态工作。</w:t>
      </w:r>
      <w:r>
        <w:rPr>
          <w:rFonts w:hint="eastAsia" w:ascii="仿宋_GB2312" w:hAnsi="仿宋_GB2312" w:eastAsia="仿宋_GB2312" w:cs="仿宋_GB2312"/>
          <w:b w:val="0"/>
          <w:bCs w:val="0"/>
          <w:sz w:val="32"/>
          <w:szCs w:val="32"/>
          <w:lang w:val="en-US" w:eastAsia="zh-CN"/>
        </w:rPr>
        <w:t>牢牢把握正确政治方向，</w:t>
      </w:r>
      <w:r>
        <w:rPr>
          <w:rFonts w:hint="eastAsia" w:ascii="仿宋_GB2312" w:hAnsi="仿宋_GB2312" w:eastAsia="仿宋_GB2312" w:cs="仿宋_GB2312"/>
          <w:sz w:val="32"/>
          <w:szCs w:val="32"/>
          <w:lang w:val="en-US" w:eastAsia="zh-CN"/>
        </w:rPr>
        <w:t>严格落实“三同步”要求，着力营造积极健康向上的舆论环境，为促进全县政法各项事业的发展提供有力的思想保证、精神动力和舆论支持。</w:t>
      </w:r>
    </w:p>
    <w:p>
      <w:pPr>
        <w:keepNext w:val="0"/>
        <w:keepLines w:val="0"/>
        <w:pageBreakBefore w:val="0"/>
        <w:widowControl w:val="0"/>
        <w:kinsoku/>
        <w:wordWrap/>
        <w:overflowPunct/>
        <w:topLinePunct w:val="0"/>
        <w:autoSpaceDE/>
        <w:autoSpaceDN/>
        <w:bidi w:val="0"/>
        <w:adjustRightInd/>
        <w:snapToGrid/>
        <w:spacing w:line="540" w:lineRule="exact"/>
        <w:ind w:firstLine="4680" w:firstLineChars="1300"/>
        <w:textAlignment w:val="auto"/>
        <w:rPr>
          <w:rFonts w:hint="eastAsia" w:ascii="仿宋_GB2312" w:hAnsi="仿宋_GB2312" w:eastAsia="仿宋_GB2312" w:cs="仿宋_GB2312"/>
          <w:spacing w:val="2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4320" w:firstLineChars="1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pacing w:val="20"/>
          <w:sz w:val="32"/>
          <w:szCs w:val="32"/>
          <w:lang w:val="en-US" w:eastAsia="zh-CN"/>
        </w:rPr>
        <w:t>中共师宗县委政法委员会</w:t>
      </w:r>
    </w:p>
    <w:p>
      <w:pPr>
        <w:keepNext w:val="0"/>
        <w:keepLines w:val="0"/>
        <w:pageBreakBefore w:val="0"/>
        <w:widowControl w:val="0"/>
        <w:kinsoku/>
        <w:wordWrap/>
        <w:overflowPunct/>
        <w:topLinePunct w:val="0"/>
        <w:autoSpaceDE/>
        <w:autoSpaceDN/>
        <w:bidi w:val="0"/>
        <w:adjustRightInd/>
        <w:snapToGrid/>
        <w:spacing w:line="540" w:lineRule="exact"/>
        <w:ind w:firstLine="5440" w:firstLineChars="1700"/>
        <w:textAlignment w:val="auto"/>
      </w:pPr>
      <w:r>
        <w:rPr>
          <w:rFonts w:hint="eastAsia" w:ascii="仿宋_GB2312" w:hAnsi="仿宋_GB2312" w:eastAsia="仿宋_GB2312" w:cs="仿宋_GB2312"/>
          <w:sz w:val="32"/>
          <w:szCs w:val="40"/>
          <w:lang w:val="en-US" w:eastAsia="zh-CN"/>
        </w:rPr>
        <w:t>2023年12月11日</w:t>
      </w:r>
    </w:p>
    <w:sectPr>
      <w:headerReference r:id="rId3" w:type="default"/>
      <w:footerReference r:id="rId4" w:type="default"/>
      <w:pgSz w:w="11906" w:h="16838"/>
      <w:pgMar w:top="1984" w:right="1457" w:bottom="1871" w:left="14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2508885</wp:posOffset>
              </wp:positionH>
              <wp:positionV relativeFrom="paragraph">
                <wp:posOffset>-199390</wp:posOffset>
              </wp:positionV>
              <wp:extent cx="377825" cy="3454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77825" cy="345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97.55pt;margin-top:-15.7pt;height:27.2pt;width:29.75pt;mso-position-horizontal-relative:margin;z-index:251659264;mso-width-relative:page;mso-height-relative:page;" filled="f" stroked="f" coordsize="21600,21600" o:gfxdata="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97BGraAAAACgEAAA8AAAAAAAAAAQAgAAAAIgAAAGRycy9kb3du&#10;cmV2LnhtbFBLAQIUABQAAAAIAIdO4kB7y+/pNgIAAGEEAAAOAAAAAAAAAAEAIAAAACkBAABkcnMv&#10;ZTJvRG9jLnhtbFBLBQYAAAAABgAGAFkBAADRBQAAAAA=&#10;">
              <v:fill on="f" focussize="0,0"/>
              <v:stroke on="f" weight="0.5pt"/>
              <v:imagedata o:title=""/>
              <o:lock v:ext="edit" aspectratio="f"/>
              <v:textbox inset="0mm,0mm,0mm,0mm">
                <w:txbxContent>
                  <w:p>
                    <w:pPr>
                      <w:pStyle w:val="5"/>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5B667A6E"/>
    <w:rsid w:val="04F660AA"/>
    <w:rsid w:val="1B886039"/>
    <w:rsid w:val="200F7A29"/>
    <w:rsid w:val="400D7484"/>
    <w:rsid w:val="453A6C79"/>
    <w:rsid w:val="4D9438DA"/>
    <w:rsid w:val="5B667A6E"/>
    <w:rsid w:val="5FE34F5E"/>
    <w:rsid w:val="722A57C9"/>
    <w:rsid w:val="73DD256F"/>
    <w:rsid w:val="775013C1"/>
    <w:rsid w:val="7CDD3D28"/>
    <w:rsid w:val="7F6A5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ind w:left="93"/>
      <w:outlineLvl w:val="1"/>
    </w:pPr>
    <w:rPr>
      <w:rFonts w:ascii="方正小标宋_GBK" w:hAnsi="方正小标宋_GBK" w:eastAsia="方正小标宋_GBK"/>
      <w:sz w:val="44"/>
      <w:szCs w:val="44"/>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qFormat/>
    <w:uiPriority w:val="0"/>
    <w:pPr>
      <w:ind w:firstLine="420" w:firstLineChars="100"/>
    </w:pPr>
  </w:style>
  <w:style w:type="paragraph" w:customStyle="1" w:styleId="10">
    <w:name w:val="Normal Indent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4</Pages>
  <Words>2178</Words>
  <Characters>2224</Characters>
  <Lines>0</Lines>
  <Paragraphs>0</Paragraphs>
  <TotalTime>0</TotalTime>
  <ScaleCrop>false</ScaleCrop>
  <LinksUpToDate>false</LinksUpToDate>
  <CharactersWithSpaces>2224</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2023-12-08T03:34:00Z</dcterms:created>
  <dc:creator>感叹号</dc:creator>
  <cp:lastModifiedBy>郑若愚</cp:lastModifiedBy>
  <cp:lastPrinted>2023-12-11T08:24:00Z</cp:lastPrinted>
  <dcterms:modified xsi:type="dcterms:W3CDTF">2023-12-25T01:31:38Z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763F8536D38B47D3BB31AECA8A3A4D64_13</vt:lpwstr>
  </property>
  <property fmtid="{D5CDD505-2E9C-101B-9397-08002B2CF9AE}" pid="4" name="hmcheck_markmode">
    <vt:i4>0</vt:i4>
  </property>
  <property fmtid="{D5CDD505-2E9C-101B-9397-08002B2CF9AE}" pid="5" name="hmcheck_result_59bf739983d14167b41d53c98ad932a1_errorword">
    <vt:lpwstr>联挂</vt:lpwstr>
  </property>
  <property fmtid="{D5CDD505-2E9C-101B-9397-08002B2CF9AE}" pid="6" name="hmcheck_result_59bf739983d14167b41d53c98ad932a1_correctwords">
    <vt:lpwstr>["&lt;无建议&gt;"]</vt:lpwstr>
  </property>
  <property fmtid="{D5CDD505-2E9C-101B-9397-08002B2CF9AE}" pid="7" name="hmcheck_result_59bf739983d14167b41d53c98ad932a1_level">
    <vt:i4>2</vt:i4>
  </property>
  <property fmtid="{D5CDD505-2E9C-101B-9397-08002B2CF9AE}" pid="8" name="hmcheck_result_59bf739983d14167b41d53c98ad932a1_type">
    <vt:i4>0</vt:i4>
  </property>
  <property fmtid="{D5CDD505-2E9C-101B-9397-08002B2CF9AE}" pid="9" name="hmcheck_result_59bf739983d14167b41d53c98ad932a1_modifiedtype">
    <vt:i4>1</vt:i4>
  </property>
</Properties>
</file>