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082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80"/>
        <w:gridCol w:w="611"/>
        <w:gridCol w:w="616"/>
        <w:gridCol w:w="617"/>
        <w:gridCol w:w="3100"/>
        <w:gridCol w:w="2800"/>
        <w:gridCol w:w="1783"/>
        <w:gridCol w:w="1784"/>
        <w:gridCol w:w="2566"/>
        <w:gridCol w:w="1077"/>
        <w:gridCol w:w="1077"/>
        <w:gridCol w:w="1"/>
        <w:gridCol w:w="1076"/>
        <w:gridCol w:w="1077"/>
        <w:gridCol w:w="2"/>
        <w:gridCol w:w="107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0824" w:type="dxa"/>
            <w:gridSpan w:val="17"/>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40"/>
                <w:szCs w:val="40"/>
                <w:u w:val="none"/>
                <w:lang w:val="en-US" w:eastAsia="zh-CN"/>
              </w:rPr>
            </w:pPr>
            <w:r>
              <w:rPr>
                <w:rFonts w:hint="eastAsia" w:ascii="宋体" w:hAnsi="宋体" w:eastAsia="宋体" w:cs="宋体"/>
                <w:b/>
                <w:i w:val="0"/>
                <w:caps w:val="0"/>
                <w:color w:val="auto"/>
                <w:spacing w:val="30"/>
                <w:kern w:val="0"/>
                <w:sz w:val="40"/>
                <w:szCs w:val="40"/>
                <w:u w:val="none"/>
                <w:lang w:val="en-US" w:eastAsia="zh-CN" w:bidi="ar"/>
              </w:rPr>
              <w:t>师宗县交通运输局政务公开标准目录（试行）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480"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序号</w:t>
            </w:r>
          </w:p>
        </w:tc>
        <w:tc>
          <w:tcPr>
            <w:tcW w:w="1844" w:type="dxa"/>
            <w:gridSpan w:val="3"/>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公开事项</w:t>
            </w:r>
          </w:p>
        </w:tc>
        <w:tc>
          <w:tcPr>
            <w:tcW w:w="3100"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公开内容</w:t>
            </w:r>
            <w:r>
              <w:rPr>
                <w:rFonts w:hint="eastAsia" w:ascii="宋体" w:hAnsi="宋体" w:eastAsia="宋体" w:cs="宋体"/>
                <w:b/>
                <w:i w:val="0"/>
                <w:caps w:val="0"/>
                <w:color w:val="auto"/>
                <w:spacing w:val="30"/>
                <w:kern w:val="0"/>
                <w:sz w:val="22"/>
                <w:szCs w:val="22"/>
                <w:u w:val="none"/>
                <w:lang w:val="en-US" w:eastAsia="zh-CN" w:bidi="ar"/>
              </w:rPr>
              <w:br w:type="textWrapping"/>
            </w:r>
            <w:r>
              <w:rPr>
                <w:rFonts w:hint="eastAsia" w:ascii="宋体" w:hAnsi="宋体" w:eastAsia="宋体" w:cs="宋体"/>
                <w:b/>
                <w:i w:val="0"/>
                <w:caps w:val="0"/>
                <w:color w:val="auto"/>
                <w:spacing w:val="30"/>
                <w:kern w:val="0"/>
                <w:sz w:val="22"/>
                <w:szCs w:val="22"/>
                <w:u w:val="none"/>
                <w:lang w:val="en-US" w:eastAsia="zh-CN" w:bidi="ar"/>
              </w:rPr>
              <w:t>（要素）</w:t>
            </w:r>
          </w:p>
        </w:tc>
        <w:tc>
          <w:tcPr>
            <w:tcW w:w="2800"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公开依据</w:t>
            </w:r>
          </w:p>
        </w:tc>
        <w:tc>
          <w:tcPr>
            <w:tcW w:w="1783"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公开时限</w:t>
            </w:r>
          </w:p>
        </w:tc>
        <w:tc>
          <w:tcPr>
            <w:tcW w:w="1784"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公开主体</w:t>
            </w:r>
          </w:p>
        </w:tc>
        <w:tc>
          <w:tcPr>
            <w:tcW w:w="2566"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公开渠道和载体</w:t>
            </w:r>
          </w:p>
        </w:tc>
        <w:tc>
          <w:tcPr>
            <w:tcW w:w="2155" w:type="dxa"/>
            <w:gridSpan w:val="3"/>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公开对象</w:t>
            </w:r>
          </w:p>
        </w:tc>
        <w:tc>
          <w:tcPr>
            <w:tcW w:w="2155" w:type="dxa"/>
            <w:gridSpan w:val="3"/>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公开方式</w:t>
            </w:r>
          </w:p>
        </w:tc>
        <w:tc>
          <w:tcPr>
            <w:tcW w:w="215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480"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一级</w:t>
            </w:r>
            <w:r>
              <w:rPr>
                <w:rFonts w:hint="eastAsia" w:ascii="Arial Unicode MS" w:hAnsi="Arial Unicode MS" w:eastAsia="Arial Unicode MS" w:cs="Arial Unicode MS"/>
                <w:b/>
                <w:i w:val="0"/>
                <w:caps w:val="0"/>
                <w:color w:val="auto"/>
                <w:spacing w:val="30"/>
                <w:kern w:val="0"/>
                <w:sz w:val="22"/>
                <w:szCs w:val="22"/>
                <w:u w:val="none"/>
                <w:lang w:val="en-US" w:eastAsia="zh-CN" w:bidi="ar"/>
              </w:rPr>
              <w:br w:type="textWrapping"/>
            </w:r>
            <w:r>
              <w:rPr>
                <w:rFonts w:hint="eastAsia" w:ascii="Arial Unicode MS" w:hAnsi="Arial Unicode MS" w:eastAsia="Arial Unicode MS" w:cs="Arial Unicode MS"/>
                <w:b/>
                <w:i w:val="0"/>
                <w:caps w:val="0"/>
                <w:color w:val="auto"/>
                <w:spacing w:val="30"/>
                <w:kern w:val="0"/>
                <w:sz w:val="22"/>
                <w:szCs w:val="22"/>
                <w:u w:val="none"/>
                <w:lang w:val="en-US" w:eastAsia="zh-CN" w:bidi="ar"/>
              </w:rPr>
              <w:t>事项</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二级</w:t>
            </w:r>
            <w:r>
              <w:rPr>
                <w:rFonts w:hint="eastAsia" w:ascii="Arial Unicode MS" w:hAnsi="Arial Unicode MS" w:eastAsia="Arial Unicode MS" w:cs="Arial Unicode MS"/>
                <w:b/>
                <w:i w:val="0"/>
                <w:caps w:val="0"/>
                <w:color w:val="auto"/>
                <w:spacing w:val="30"/>
                <w:kern w:val="0"/>
                <w:sz w:val="22"/>
                <w:szCs w:val="22"/>
                <w:u w:val="none"/>
                <w:lang w:val="en-US" w:eastAsia="zh-CN" w:bidi="ar"/>
              </w:rPr>
              <w:br w:type="textWrapping"/>
            </w:r>
            <w:r>
              <w:rPr>
                <w:rFonts w:hint="eastAsia" w:ascii="Arial Unicode MS" w:hAnsi="Arial Unicode MS" w:eastAsia="Arial Unicode MS" w:cs="Arial Unicode MS"/>
                <w:b/>
                <w:i w:val="0"/>
                <w:caps w:val="0"/>
                <w:color w:val="auto"/>
                <w:spacing w:val="30"/>
                <w:kern w:val="0"/>
                <w:sz w:val="22"/>
                <w:szCs w:val="22"/>
                <w:u w:val="none"/>
                <w:lang w:val="en-US" w:eastAsia="zh-CN" w:bidi="ar"/>
              </w:rPr>
              <w:t>事项</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三级</w:t>
            </w:r>
            <w:r>
              <w:rPr>
                <w:rFonts w:hint="eastAsia" w:ascii="Arial Unicode MS" w:hAnsi="Arial Unicode MS" w:eastAsia="Arial Unicode MS" w:cs="Arial Unicode MS"/>
                <w:b/>
                <w:i w:val="0"/>
                <w:caps w:val="0"/>
                <w:color w:val="auto"/>
                <w:spacing w:val="30"/>
                <w:kern w:val="0"/>
                <w:sz w:val="22"/>
                <w:szCs w:val="22"/>
                <w:u w:val="none"/>
                <w:lang w:val="en-US" w:eastAsia="zh-CN" w:bidi="ar"/>
              </w:rPr>
              <w:br w:type="textWrapping"/>
            </w:r>
            <w:r>
              <w:rPr>
                <w:rFonts w:hint="eastAsia" w:ascii="Arial Unicode MS" w:hAnsi="Arial Unicode MS" w:eastAsia="Arial Unicode MS" w:cs="Arial Unicode MS"/>
                <w:b/>
                <w:i w:val="0"/>
                <w:caps w:val="0"/>
                <w:color w:val="auto"/>
                <w:spacing w:val="30"/>
                <w:kern w:val="0"/>
                <w:sz w:val="22"/>
                <w:szCs w:val="22"/>
                <w:u w:val="none"/>
                <w:lang w:val="en-US" w:eastAsia="zh-CN" w:bidi="ar"/>
              </w:rPr>
              <w:t>事项</w:t>
            </w:r>
          </w:p>
        </w:tc>
        <w:tc>
          <w:tcPr>
            <w:tcW w:w="3100"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2800"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1783"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1784"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2566"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30"/>
                <w:sz w:val="22"/>
                <w:szCs w:val="22"/>
                <w:u w:val="none"/>
              </w:rPr>
            </w:pP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全社会</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特定群体</w:t>
            </w: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主动</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Arial Unicode MS" w:hAnsi="Arial Unicode MS" w:eastAsia="Arial Unicode MS" w:cs="Arial Unicode MS"/>
                <w:b/>
                <w:i w:val="0"/>
                <w:caps w:val="0"/>
                <w:color w:val="auto"/>
                <w:spacing w:val="30"/>
                <w:sz w:val="22"/>
                <w:szCs w:val="22"/>
                <w:u w:val="none"/>
              </w:rPr>
            </w:pPr>
            <w:r>
              <w:rPr>
                <w:rFonts w:hint="eastAsia" w:ascii="Arial Unicode MS" w:hAnsi="Arial Unicode MS" w:eastAsia="Arial Unicode MS" w:cs="Arial Unicode MS"/>
                <w:b/>
                <w:i w:val="0"/>
                <w:caps w:val="0"/>
                <w:color w:val="auto"/>
                <w:spacing w:val="30"/>
                <w:kern w:val="0"/>
                <w:sz w:val="22"/>
                <w:szCs w:val="22"/>
                <w:u w:val="none"/>
                <w:lang w:val="en-US" w:eastAsia="zh-CN" w:bidi="ar"/>
              </w:rPr>
              <w:t>依申请</w:t>
            </w: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县级</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auto"/>
                <w:spacing w:val="30"/>
                <w:sz w:val="22"/>
                <w:szCs w:val="22"/>
                <w:u w:val="none"/>
              </w:rPr>
            </w:pPr>
            <w:r>
              <w:rPr>
                <w:rFonts w:hint="eastAsia" w:ascii="宋体" w:hAnsi="宋体" w:eastAsia="宋体" w:cs="宋体"/>
                <w:b/>
                <w:i w:val="0"/>
                <w:caps w:val="0"/>
                <w:color w:val="auto"/>
                <w:spacing w:val="30"/>
                <w:kern w:val="0"/>
                <w:sz w:val="22"/>
                <w:szCs w:val="22"/>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1</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政策文件及政策解读</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上级政策文件</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1.国家法律法规、政策文件</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2.省市法律法规、政策文件</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2</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部门文件</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1.本部门制定的规范性文件（需标注是否有效）</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2.规范性文件定期清理情况</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3.本部门制定的其他文件</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4" w:hRule="atLeast"/>
        </w:trPr>
        <w:tc>
          <w:tcPr>
            <w:tcW w:w="480" w:type="dxa"/>
            <w:tcBorders>
              <w:top w:val="single" w:color="auto" w:sz="8" w:space="0"/>
              <w:left w:val="single" w:color="auto" w:sz="8" w:space="0"/>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3</w:t>
            </w:r>
          </w:p>
        </w:tc>
        <w:tc>
          <w:tcPr>
            <w:tcW w:w="611" w:type="dxa"/>
            <w:vMerge w:val="continue"/>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p>
        </w:tc>
        <w:tc>
          <w:tcPr>
            <w:tcW w:w="616"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政策解读</w:t>
            </w:r>
          </w:p>
        </w:tc>
        <w:tc>
          <w:tcPr>
            <w:tcW w:w="617"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p>
        </w:tc>
        <w:tc>
          <w:tcPr>
            <w:tcW w:w="3100"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1.转载上级政策解读信息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2.本部门相关政策解读信息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3.政策解读，包括文字、图表、视频等</w:t>
            </w:r>
          </w:p>
        </w:tc>
        <w:tc>
          <w:tcPr>
            <w:tcW w:w="2800"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4"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4</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重大决策预公开</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1.决策事项目录</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2.意见征集</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3.意见反馈</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5</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规划计划</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中长期规划、短期计划</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1.涉及本部门中长期规划</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2.年度工作计划和总结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3.其他计划</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6</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机构信息</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机构职能</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本部门主要职能</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7</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内设机构</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1.内设机构名称</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2.主要职责</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3.负责人姓名</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4.联系电话</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5.办公地址</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6.办公时间</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8</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领导信息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1.姓名</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2.职务</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3.工作分工</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4.个人简历</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9</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人事信息</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人事任免</w:t>
            </w:r>
          </w:p>
        </w:tc>
        <w:tc>
          <w:tcPr>
            <w:tcW w:w="617"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本部门人事任免信息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10</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考录招聘</w:t>
            </w:r>
          </w:p>
        </w:tc>
        <w:tc>
          <w:tcPr>
            <w:tcW w:w="617"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1.机关公务员及下属事业单位等招考信息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2.录用结果</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11</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工作动态</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本部门政府会议、工作推进等相关工作动态信息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12</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财政信息</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部门及单位预算公开</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1.预算编制说明</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2.部门及单位预算表</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13</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部门及单位决算公开</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1.部门及单位决算表</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2.决算情况说明</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14</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行政权力运行</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权责清单</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1.权责清单</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2.权责清单动态调整情况</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3.行政权力运行条件、依据、流程等信息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《中共中央办公厅国务院办公厅印发〈关于推行地方各级政府工作部门权力清单制度的指导意见〉的通知》（中办发〔2015〕21号）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《国务院办公厅关于做好证明事项清理工作的通知》（国办发〔2018〕47号）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15</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执法结果公示</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行政权力运行结果</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《中共中央办公厅国务院办公厅印发〈关于推行地方各级政府工作部门权力清单制度的指导意见〉的通知》</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《国务院办公厅关于做好证明事项清理工作的通知》（国办发〔2018〕48号）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信息形成或变更之日起7个工作日内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16</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公共服务事项</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公共服务事项办事指南</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《国务院办公厅关于简化优化公共服务流程方便基层群众办事创业的通知》（国办发〔2015〕86号）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17</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回应关切</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发布针对涉及群众切身利益、影响社会稳定和突发公共事件的重点事项等信息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《国务院办公厅关于在政务公开工作中进一步做好政务舆情回应的通知》（国办发〔2016〕61号）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18</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single"/>
              </w:rPr>
            </w:pPr>
            <w:r>
              <w:rPr>
                <w:rFonts w:hint="eastAsia" w:ascii="宋体" w:hAnsi="宋体" w:eastAsia="宋体" w:cs="宋体"/>
                <w:i w:val="0"/>
                <w:caps w:val="0"/>
                <w:color w:val="333333"/>
                <w:spacing w:val="30"/>
                <w:kern w:val="0"/>
                <w:sz w:val="20"/>
                <w:szCs w:val="20"/>
                <w:u w:val="none"/>
                <w:lang w:val="en-US" w:eastAsia="zh-CN" w:bidi="ar"/>
              </w:rPr>
              <w:fldChar w:fldCharType="begin"/>
            </w:r>
            <w:r>
              <w:rPr>
                <w:rFonts w:hint="eastAsia" w:ascii="宋体" w:hAnsi="宋体" w:eastAsia="宋体" w:cs="宋体"/>
                <w:i w:val="0"/>
                <w:caps w:val="0"/>
                <w:color w:val="333333"/>
                <w:spacing w:val="30"/>
                <w:kern w:val="0"/>
                <w:sz w:val="20"/>
                <w:szCs w:val="20"/>
                <w:u w:val="none"/>
                <w:lang w:val="en-US" w:eastAsia="zh-CN" w:bidi="ar"/>
              </w:rPr>
              <w:instrText xml:space="preserve"> HYPERLINK "http://zffw.jxzwfww.gov.cn/xzzf/web/infoShow/spotcheck/spotcheckList.html?menuId=menu_a_1" \t "http://www.jxyf.gov.cn/yfxrmzf/xbj/202210/_parent" </w:instrText>
            </w:r>
            <w:r>
              <w:rPr>
                <w:rFonts w:hint="eastAsia" w:ascii="宋体" w:hAnsi="宋体" w:eastAsia="宋体" w:cs="宋体"/>
                <w:i w:val="0"/>
                <w:caps w:val="0"/>
                <w:color w:val="333333"/>
                <w:spacing w:val="30"/>
                <w:kern w:val="0"/>
                <w:sz w:val="20"/>
                <w:szCs w:val="20"/>
                <w:u w:val="none"/>
                <w:lang w:val="en-US" w:eastAsia="zh-CN" w:bidi="ar"/>
              </w:rPr>
              <w:fldChar w:fldCharType="separate"/>
            </w:r>
            <w:r>
              <w:rPr>
                <w:rFonts w:hint="eastAsia" w:ascii="宋体" w:hAnsi="宋体" w:eastAsia="宋体" w:cs="宋体"/>
                <w:i w:val="0"/>
                <w:caps w:val="0"/>
                <w:color w:val="333333"/>
                <w:spacing w:val="30"/>
                <w:kern w:val="0"/>
                <w:sz w:val="20"/>
                <w:szCs w:val="20"/>
                <w:u w:val="none"/>
                <w:lang w:val="en-US" w:eastAsia="zh-CN" w:bidi="ar"/>
              </w:rPr>
              <w:t>双随机、一公开</w:t>
            </w:r>
            <w:r>
              <w:rPr>
                <w:rFonts w:hint="eastAsia" w:ascii="宋体" w:hAnsi="宋体" w:eastAsia="宋体" w:cs="宋体"/>
                <w:i w:val="0"/>
                <w:caps w:val="0"/>
                <w:color w:val="333333"/>
                <w:spacing w:val="30"/>
                <w:kern w:val="0"/>
                <w:sz w:val="20"/>
                <w:szCs w:val="20"/>
                <w:u w:val="none"/>
                <w:lang w:val="en-US" w:eastAsia="zh-CN" w:bidi="ar"/>
              </w:rPr>
              <w:fldChar w:fldCharType="end"/>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1.随机抽查事项清单</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2.检查对象名录库和执法检查人员名录库（统称“两库”）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3.年度随机抽查计划</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4.随机抽查结果信息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《国务院关于在市场监管领域全面推行部门联合“双随机、一公开”监管的意见》（国发〔2019〕5号）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19</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建议提案办理</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办理人大建议、政协提案的答复信息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20</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政府信息公开指南</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1.政府信息的分类、编排体系、政府信息获取方式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2.政府信息公开机构信息（包括名称、办公地址、办公时间、联系电话、传真号码、互联网联系方式等）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21</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政府信息公开制度</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1.《中华人民共和国政府信息公开条例》</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2.区本级政府信息公开制度性文件</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3.部门的政府信息公开制度性文件</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22</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政府信息公开年报</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历年政府信息公开工作年度报告</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年报的公开时间在每年1月31日之前公开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23</w:t>
            </w:r>
          </w:p>
        </w:tc>
        <w:tc>
          <w:tcPr>
            <w:tcW w:w="61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依申请公开</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依申请公开表格和途径</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8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24</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30"/>
                <w:sz w:val="20"/>
                <w:szCs w:val="20"/>
                <w:u w:val="none"/>
              </w:rPr>
            </w:pPr>
            <w:r>
              <w:rPr>
                <w:rFonts w:hint="eastAsia" w:ascii="宋体" w:hAnsi="宋体" w:eastAsia="宋体" w:cs="宋体"/>
                <w:i w:val="0"/>
                <w:caps w:val="0"/>
                <w:color w:val="000000"/>
                <w:spacing w:val="30"/>
                <w:kern w:val="0"/>
                <w:sz w:val="20"/>
                <w:szCs w:val="20"/>
                <w:u w:val="none"/>
                <w:lang w:val="en-US" w:eastAsia="zh-CN" w:bidi="ar"/>
              </w:rPr>
              <w:t>重大建设项目</w:t>
            </w:r>
          </w:p>
        </w:tc>
        <w:tc>
          <w:tcPr>
            <w:tcW w:w="616"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批准服务信息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办事指南</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1.申报材料清单</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2.批准流程</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3.办理时限</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4.受理机构联系方式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5.申报要求等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《国务院办公厅印发〈关于全面推进政务公开工作的意见〉实施细则的通知》（国办发〔2016〕80号）（中办发〔2016〕8号）</w:t>
            </w:r>
            <w:bookmarkStart w:id="0" w:name="_GoBack"/>
            <w:bookmarkEnd w:id="0"/>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实时公开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4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25</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办理过程信息</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1.事项名称</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2.事项办理部门</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3.办理进展等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及时公开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■政务服务中心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项目单位</w:t>
            </w: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4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26</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咨询监督</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1.咨询电话</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2.监督投诉电话等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实时公开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3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27</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招标事项审核批准结果</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1.审批部门</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2.批复时间</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3.招标方式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4.项目名称</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5.项目统一代码等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28</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招标投标信息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招标投标</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1.招标公告</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2.中标候选人公示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3.中标结果公示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4.合同订立及备案情况</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5.招标投标违法处罚信息</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《招标公告和公示信息发布管理办法》（国家发改委第10号令）</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29</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重大设计变更信息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重大设计变更审批</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1.项目设计变更原因</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2.主要变更内容</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3.批准单位</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4.变更结果等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■投资项目在线审批监管平台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30</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施工有关信息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施工管理服务</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1.施工图审查机构</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2.审查人员</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3.审查结果</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4.审查时限</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5.项目法人单位及其主要负责人信息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6.设计、施工、监理单位及其主要负责人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7.项目负责人信息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8.资质情况等</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□乡/社区公示栏监管平台</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4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31</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质量安全监督信息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质量安全监督</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1.质量安全监督机构及其联系方式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2.质量安全行政处罚情况</w:t>
            </w:r>
          </w:p>
        </w:tc>
        <w:tc>
          <w:tcPr>
            <w:tcW w:w="28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32</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竣工有关信息</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竣工验收审批（备案）</w:t>
            </w: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1.竣工验收时间</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2.竣工验收结果</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3.竣工验收备案时间</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4.备案编号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5.备案部门</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6.交付使用时间</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7.竣工决算审计单位</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8.审计结论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9.财政决算金额等</w:t>
            </w:r>
          </w:p>
        </w:tc>
        <w:tc>
          <w:tcPr>
            <w:tcW w:w="2800" w:type="dxa"/>
            <w:tcBorders>
              <w:top w:val="single" w:color="auto" w:sz="8" w:space="0"/>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《国务院办公厅印发〈关于全面推进政务公开工作的意见〉实施细则的通知》（国办发〔2016〕80号）</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《关于推进重大建设项目批准和实施领域政府信息公开的意见》（国办发〔2017〕94 号）</w:t>
            </w:r>
            <w:r>
              <w:rPr>
                <w:rFonts w:hint="eastAsia" w:ascii="宋体" w:hAnsi="宋体" w:eastAsia="宋体" w:cs="宋体"/>
                <w:i w:val="0"/>
                <w:caps w:val="0"/>
                <w:color w:val="auto"/>
                <w:spacing w:val="30"/>
                <w:kern w:val="0"/>
                <w:sz w:val="20"/>
                <w:szCs w:val="20"/>
                <w:u w:val="none"/>
                <w:lang w:val="en-US" w:eastAsia="zh-CN" w:bidi="ar"/>
              </w:rPr>
              <w:br w:type="textWrapping"/>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信息形成20个工作日内公开；其中行政许可、行政处罚事项应自作出行政决定之日起7个工作日内公示</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33</w:t>
            </w:r>
          </w:p>
        </w:tc>
        <w:tc>
          <w:tcPr>
            <w:tcW w:w="611"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交通运输</w:t>
            </w: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公路水运工程基础设施</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1.农村公路建设计划和补助政策信息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2.农村公路项目和水运建设项目设计文件审批、竣工验收等行政许可事项的办事指南和办理结果</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3.农村公路质量安全监管和养护管理信息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4.公路交通阻断信息</w:t>
            </w:r>
          </w:p>
        </w:tc>
        <w:tc>
          <w:tcPr>
            <w:tcW w:w="2800" w:type="dxa"/>
            <w:tcBorders>
              <w:top w:val="single" w:color="auto" w:sz="4"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或及时公开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■其他■其他</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8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34</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道路运输</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1.道路旅客运输、道路旅客运输站、道路货物运输经营许可和出租汽车车辆运营证核发、驾驶员客运资格证核发、经营资格证核发等行政许可事项的办事指南和办理结果</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2.道路客运班线起讫地客运站点及途经线路备案等备案事项的办事指南</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3.城市公共交通服务质量评价信息、出租汽车服务质量信誉考核信息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4.道路运输监督检查结果信息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5.城市公共交通和道路客运相关服务信息</w:t>
            </w:r>
          </w:p>
        </w:tc>
        <w:tc>
          <w:tcPr>
            <w:tcW w:w="2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或及时公开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■其他</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4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35</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水路运输</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1.港口经营许可、船员适任证书核发等行政许可事项的办事指南和办理结果</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2.水路运输监督检查结果信息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3.水路客运班线服务信息等</w:t>
            </w:r>
          </w:p>
        </w:tc>
        <w:tc>
          <w:tcPr>
            <w:tcW w:w="2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或及时公开</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■其他</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rPr>
                <w:rFonts w:hint="eastAsia" w:ascii="宋体" w:hAnsi="宋体" w:eastAsia="宋体" w:cs="宋体"/>
                <w:i w:val="0"/>
                <w:caps w:val="0"/>
                <w:color w:val="auto"/>
                <w:spacing w:val="3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60" w:hRule="atLeast"/>
        </w:trPr>
        <w:tc>
          <w:tcPr>
            <w:tcW w:w="480" w:type="dxa"/>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36</w:t>
            </w:r>
          </w:p>
        </w:tc>
        <w:tc>
          <w:tcPr>
            <w:tcW w:w="611"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61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综合交通运输及多式联运</w:t>
            </w:r>
          </w:p>
        </w:tc>
        <w:tc>
          <w:tcPr>
            <w:tcW w:w="61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310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根据职责公开综合交通运输及多式联运管理服务有关信息</w:t>
            </w:r>
          </w:p>
        </w:tc>
        <w:tc>
          <w:tcPr>
            <w:tcW w:w="2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《中华人民共和国政府信息公开条例》（国令第711号）、《交通运输部办公厅关于印发〈交通运输领域基层政务公开标准指引〉的通知》</w:t>
            </w:r>
          </w:p>
        </w:tc>
        <w:tc>
          <w:tcPr>
            <w:tcW w:w="178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信息形成或变更之日起20个工作日内</w:t>
            </w:r>
          </w:p>
        </w:tc>
        <w:tc>
          <w:tcPr>
            <w:tcW w:w="178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县交通运输局</w:t>
            </w:r>
          </w:p>
        </w:tc>
        <w:tc>
          <w:tcPr>
            <w:tcW w:w="2566"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 xml:space="preserve">■政府网站 </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□两微一端</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□广播电视</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□纸质媒体</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□公开查阅点</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□为民服务中心</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□便民服务站</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□入户/现场</w:t>
            </w:r>
            <w:r>
              <w:rPr>
                <w:rFonts w:hint="eastAsia" w:ascii="宋体" w:hAnsi="宋体" w:eastAsia="宋体" w:cs="宋体"/>
                <w:i w:val="0"/>
                <w:caps w:val="0"/>
                <w:color w:val="auto"/>
                <w:spacing w:val="30"/>
                <w:kern w:val="0"/>
                <w:sz w:val="20"/>
                <w:szCs w:val="20"/>
                <w:u w:val="none"/>
                <w:lang w:val="en-US" w:eastAsia="zh-CN" w:bidi="ar"/>
              </w:rPr>
              <w:br w:type="textWrapping"/>
            </w:r>
            <w:r>
              <w:rPr>
                <w:rFonts w:hint="eastAsia" w:ascii="宋体" w:hAnsi="宋体" w:eastAsia="宋体" w:cs="宋体"/>
                <w:i w:val="0"/>
                <w:caps w:val="0"/>
                <w:color w:val="auto"/>
                <w:spacing w:val="30"/>
                <w:kern w:val="0"/>
                <w:sz w:val="20"/>
                <w:szCs w:val="20"/>
                <w:u w:val="none"/>
                <w:lang w:val="en-US" w:eastAsia="zh-CN" w:bidi="ar"/>
              </w:rPr>
              <w:t>□乡/社区公示栏</w:t>
            </w:r>
          </w:p>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auto"/>
                <w:spacing w:val="30"/>
                <w:kern w:val="0"/>
                <w:sz w:val="20"/>
                <w:szCs w:val="20"/>
                <w:u w:val="none"/>
                <w:lang w:val="en-US" w:eastAsia="zh-CN" w:bidi="ar"/>
              </w:rPr>
            </w:pPr>
            <w:r>
              <w:rPr>
                <w:rFonts w:hint="eastAsia" w:ascii="宋体" w:hAnsi="宋体" w:eastAsia="宋体" w:cs="宋体"/>
                <w:i w:val="0"/>
                <w:caps w:val="0"/>
                <w:color w:val="auto"/>
                <w:spacing w:val="30"/>
                <w:kern w:val="0"/>
                <w:sz w:val="20"/>
                <w:szCs w:val="20"/>
                <w:u w:val="none"/>
                <w:lang w:val="en-US" w:eastAsia="zh-CN" w:bidi="ar"/>
              </w:rPr>
              <w:t>■其他</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auto"/>
                <w:spacing w:val="30"/>
                <w:sz w:val="20"/>
                <w:szCs w:val="20"/>
                <w:u w:val="none"/>
              </w:rPr>
            </w:pPr>
          </w:p>
        </w:tc>
        <w:tc>
          <w:tcPr>
            <w:tcW w:w="1077" w:type="dxa"/>
            <w:gridSpan w:val="2"/>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auto"/>
                <w:spacing w:val="30"/>
                <w:sz w:val="20"/>
                <w:szCs w:val="20"/>
                <w:u w:val="none"/>
              </w:rPr>
            </w:pPr>
            <w:r>
              <w:rPr>
                <w:rFonts w:hint="eastAsia" w:ascii="宋体" w:hAnsi="宋体" w:eastAsia="宋体" w:cs="宋体"/>
                <w:i w:val="0"/>
                <w:caps w:val="0"/>
                <w:color w:val="auto"/>
                <w:spacing w:val="30"/>
                <w:kern w:val="0"/>
                <w:sz w:val="20"/>
                <w:szCs w:val="20"/>
                <w:u w:val="none"/>
                <w:lang w:val="en-US" w:eastAsia="zh-CN" w:bidi="ar"/>
              </w:rPr>
              <w:t>√</w:t>
            </w:r>
          </w:p>
        </w:tc>
        <w:tc>
          <w:tcPr>
            <w:tcW w:w="1082" w:type="dxa"/>
            <w:tcBorders>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30"/>
                <w:sz w:val="22"/>
                <w:szCs w:val="22"/>
              </w:rPr>
            </w:pPr>
          </w:p>
        </w:tc>
      </w:tr>
    </w:tbl>
    <w:p>
      <w:pPr>
        <w:keepNext w:val="0"/>
        <w:keepLines w:val="0"/>
        <w:widowControl/>
        <w:suppressLineNumbers w:val="0"/>
        <w:jc w:val="left"/>
      </w:pPr>
    </w:p>
    <w:p/>
    <w:sectPr>
      <w:pgSz w:w="23811" w:h="16838" w:orient="landscape"/>
      <w:pgMar w:top="567" w:right="1440" w:bottom="567" w:left="144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9bed197e-c8df-4d79-9511-42c9cd67d34d"/>
  </w:docVars>
  <w:rsids>
    <w:rsidRoot w:val="217D4E4E"/>
    <w:rsid w:val="04954A3E"/>
    <w:rsid w:val="061B00EB"/>
    <w:rsid w:val="0C0F4630"/>
    <w:rsid w:val="11394C7E"/>
    <w:rsid w:val="17A54D6C"/>
    <w:rsid w:val="1D763E13"/>
    <w:rsid w:val="217D4E4E"/>
    <w:rsid w:val="24B13880"/>
    <w:rsid w:val="28A64AB4"/>
    <w:rsid w:val="2C212797"/>
    <w:rsid w:val="2D911BFA"/>
    <w:rsid w:val="36E46763"/>
    <w:rsid w:val="3E0D0507"/>
    <w:rsid w:val="3F517A3A"/>
    <w:rsid w:val="48427FEE"/>
    <w:rsid w:val="48542492"/>
    <w:rsid w:val="4A641048"/>
    <w:rsid w:val="52521B7D"/>
    <w:rsid w:val="52F26C71"/>
    <w:rsid w:val="5654505B"/>
    <w:rsid w:val="5E9145C9"/>
    <w:rsid w:val="60DF5A3A"/>
    <w:rsid w:val="61EA4362"/>
    <w:rsid w:val="621474A0"/>
    <w:rsid w:val="64AB6D3D"/>
    <w:rsid w:val="69A03138"/>
    <w:rsid w:val="6A655E05"/>
    <w:rsid w:val="71546E35"/>
    <w:rsid w:val="7CC404F6"/>
    <w:rsid w:val="7D81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2022-11-02T10:43:00Z</dcterms:created>
  <dc:creator>尹博斌</dc:creator>
  <cp:lastModifiedBy>郑若愚</cp:lastModifiedBy>
  <dcterms:modified xsi:type="dcterms:W3CDTF">2024-03-18T09:41:19Z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5F4CE92C61CD448995C48FD329EF5951_12</vt:lpwstr>
  </property>
</Properties>
</file>