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Calibri" w:hAnsi="Calibri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Calibri" w:hAnsi="Calibri" w:eastAsia="方正小标宋_GBK" w:cs="Times New Roman"/>
          <w:sz w:val="44"/>
          <w:szCs w:val="44"/>
          <w:lang w:val="en-US" w:eastAsia="zh-CN"/>
        </w:rPr>
        <w:t>师宗县转移支付情况说明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Calibri" w:hAnsi="Calibri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黑体_GBK" w:eastAsia="方正黑体_GBK"/>
          <w:b/>
          <w:sz w:val="32"/>
          <w:szCs w:val="32"/>
          <w:lang w:eastAsia="zh-CN"/>
        </w:rPr>
      </w:pPr>
      <w:r>
        <w:rPr>
          <w:rFonts w:hint="eastAsia" w:ascii="方正黑体_GBK" w:eastAsia="方正黑体_GBK"/>
          <w:b/>
          <w:sz w:val="32"/>
          <w:szCs w:val="32"/>
        </w:rPr>
        <w:t>一、20</w:t>
      </w:r>
      <w:r>
        <w:rPr>
          <w:rFonts w:hint="eastAsia" w:ascii="方正黑体_GBK" w:eastAsia="方正黑体_GBK"/>
          <w:b/>
          <w:sz w:val="32"/>
          <w:szCs w:val="32"/>
          <w:lang w:val="en-US" w:eastAsia="zh-CN"/>
        </w:rPr>
        <w:t>23</w:t>
      </w:r>
      <w:r>
        <w:rPr>
          <w:rFonts w:hint="eastAsia" w:ascii="方正黑体_GBK" w:eastAsia="方正黑体_GBK"/>
          <w:b/>
          <w:sz w:val="32"/>
          <w:szCs w:val="32"/>
        </w:rPr>
        <w:t>年</w:t>
      </w:r>
      <w:r>
        <w:rPr>
          <w:rFonts w:hint="eastAsia" w:ascii="方正黑体_GBK" w:eastAsia="方正黑体_GBK"/>
          <w:b/>
          <w:sz w:val="32"/>
          <w:szCs w:val="32"/>
          <w:lang w:eastAsia="zh-CN"/>
        </w:rPr>
        <w:t>师宗县上级补助结算情况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Calibri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Calibri" w:eastAsia="方正仿宋_GBK" w:cs="Times New Roman"/>
          <w:sz w:val="32"/>
          <w:szCs w:val="32"/>
        </w:rPr>
        <w:t>年上级补助收入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217,126</w:t>
      </w:r>
      <w:r>
        <w:rPr>
          <w:rFonts w:hint="eastAsia" w:ascii="方正仿宋_GBK" w:hAnsi="Calibri" w:eastAsia="方正仿宋_GBK" w:cs="Times New Roman"/>
          <w:sz w:val="32"/>
          <w:szCs w:val="32"/>
        </w:rPr>
        <w:t>万元，其中：返还性收入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1,013</w:t>
      </w:r>
      <w:r>
        <w:rPr>
          <w:rFonts w:hint="eastAsia" w:ascii="方正仿宋_GBK" w:hAnsi="Calibri" w:eastAsia="方正仿宋_GBK" w:cs="Times New Roman"/>
          <w:sz w:val="32"/>
          <w:szCs w:val="32"/>
        </w:rPr>
        <w:t>万元、一般性转移支付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1,903,699</w:t>
      </w:r>
      <w:r>
        <w:rPr>
          <w:rFonts w:hint="eastAsia" w:ascii="方正仿宋_GBK" w:hAnsi="Calibri" w:eastAsia="方正仿宋_GBK" w:cs="Times New Roman"/>
          <w:sz w:val="32"/>
          <w:szCs w:val="32"/>
        </w:rPr>
        <w:t>万元、专项转移支付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25,744</w:t>
      </w:r>
      <w:r>
        <w:rPr>
          <w:rFonts w:hint="eastAsia" w:ascii="方正仿宋_GBK" w:hAnsi="Calibri" w:eastAsia="方正仿宋_GBK" w:cs="Times New Roman"/>
          <w:sz w:val="32"/>
          <w:szCs w:val="32"/>
        </w:rPr>
        <w:t>万元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。其中：一般公共服务支出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1,830万元；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国防支出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70万元；公共安全支出740万元；教育支出61万元；科学技术支出80万；文化旅游体育与传媒149万元；社会保障和就业支出715万元；卫生健康531万元；</w:t>
      </w:r>
      <w:r>
        <w:rPr>
          <w:rFonts w:hint="default" w:ascii="方正仿宋_GBK" w:hAnsi="Calibri" w:eastAsia="方正仿宋_GBK" w:cs="Times New Roman"/>
          <w:sz w:val="32"/>
          <w:szCs w:val="32"/>
          <w:lang w:val="en-US" w:eastAsia="zh-CN"/>
        </w:rPr>
        <w:t>节能环保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支出4,422万元；城乡社区支出280万元；</w:t>
      </w:r>
      <w:r>
        <w:rPr>
          <w:rFonts w:hint="default" w:ascii="方正仿宋_GBK" w:hAnsi="Calibri" w:eastAsia="方正仿宋_GBK" w:cs="Times New Roman"/>
          <w:sz w:val="32"/>
          <w:szCs w:val="32"/>
          <w:lang w:val="en-US" w:eastAsia="zh-CN"/>
        </w:rPr>
        <w:t>农林水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支出13,941万元；交通运输1,158万元；商业服务业等26万元；自然资源海洋气象335万元；住房保障支出1,328万元；</w:t>
      </w:r>
      <w:r>
        <w:rPr>
          <w:rFonts w:hint="default" w:ascii="方正仿宋_GBK" w:hAnsi="Calibri" w:eastAsia="方正仿宋_GBK" w:cs="Times New Roman"/>
          <w:sz w:val="32"/>
          <w:szCs w:val="32"/>
          <w:lang w:val="en-US" w:eastAsia="zh-CN"/>
        </w:rPr>
        <w:t>灾害防治及应急管理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支出78万元。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黑体_GBK" w:eastAsia="方正黑体_GBK"/>
          <w:b/>
          <w:sz w:val="32"/>
          <w:szCs w:val="32"/>
          <w:lang w:eastAsia="zh-CN"/>
        </w:rPr>
      </w:pPr>
      <w:r>
        <w:rPr>
          <w:rFonts w:hint="eastAsia" w:ascii="方正黑体_GBK" w:eastAsia="方正黑体_GBK"/>
          <w:b/>
          <w:sz w:val="32"/>
          <w:szCs w:val="32"/>
          <w:lang w:eastAsia="zh-CN"/>
        </w:rPr>
        <w:t>二</w:t>
      </w:r>
      <w:r>
        <w:rPr>
          <w:rFonts w:hint="eastAsia" w:ascii="方正黑体_GBK" w:eastAsia="方正黑体_GBK"/>
          <w:b/>
          <w:sz w:val="32"/>
          <w:szCs w:val="32"/>
        </w:rPr>
        <w:t>、20</w:t>
      </w:r>
      <w:r>
        <w:rPr>
          <w:rFonts w:hint="eastAsia" w:ascii="方正黑体_GBK" w:eastAsia="方正黑体_GBK"/>
          <w:b/>
          <w:sz w:val="32"/>
          <w:szCs w:val="32"/>
          <w:lang w:val="en-US" w:eastAsia="zh-CN"/>
        </w:rPr>
        <w:t>24</w:t>
      </w:r>
      <w:r>
        <w:rPr>
          <w:rFonts w:hint="eastAsia" w:ascii="方正黑体_GBK" w:eastAsia="方正黑体_GBK"/>
          <w:b/>
          <w:sz w:val="32"/>
          <w:szCs w:val="32"/>
        </w:rPr>
        <w:t>年</w:t>
      </w:r>
      <w:r>
        <w:rPr>
          <w:rFonts w:hint="eastAsia" w:ascii="方正黑体_GBK" w:eastAsia="方正黑体_GBK"/>
          <w:b/>
          <w:sz w:val="32"/>
          <w:szCs w:val="32"/>
          <w:lang w:eastAsia="zh-CN"/>
        </w:rPr>
        <w:t>师宗县上级补助预算情况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hAnsi="Calibri" w:eastAsia="方正仿宋_GBK" w:cs="Times New Roman"/>
          <w:sz w:val="32"/>
          <w:szCs w:val="32"/>
          <w:highlight w:val="none"/>
          <w:lang w:val="en-US" w:eastAsia="zh-CN"/>
        </w:rPr>
        <w:t>2024年预算上级补助共200,528万元，</w:t>
      </w:r>
      <w:r>
        <w:rPr>
          <w:rFonts w:hint="eastAsia" w:ascii="方正仿宋_GBK" w:hAnsi="Calibri" w:eastAsia="方正仿宋_GBK" w:cs="Times New Roman"/>
          <w:sz w:val="32"/>
          <w:szCs w:val="32"/>
          <w:highlight w:val="none"/>
        </w:rPr>
        <w:t>其中：返还性收入</w:t>
      </w:r>
      <w:r>
        <w:rPr>
          <w:rFonts w:hint="eastAsia" w:ascii="方正仿宋_GBK" w:hAnsi="Calibri" w:eastAsia="方正仿宋_GBK" w:cs="Times New Roman"/>
          <w:sz w:val="32"/>
          <w:szCs w:val="32"/>
          <w:highlight w:val="none"/>
          <w:lang w:val="en-US" w:eastAsia="zh-CN"/>
        </w:rPr>
        <w:t>528万元</w:t>
      </w:r>
      <w:r>
        <w:rPr>
          <w:rFonts w:hint="eastAsia" w:ascii="方正仿宋_GBK" w:hAnsi="Calibri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Calibri" w:eastAsia="方正仿宋_GBK" w:cs="Times New Roman"/>
          <w:sz w:val="32"/>
          <w:szCs w:val="32"/>
          <w:highlight w:val="none"/>
        </w:rPr>
        <w:t>一般性转移支付</w:t>
      </w:r>
      <w:r>
        <w:rPr>
          <w:rFonts w:hint="eastAsia" w:ascii="方正仿宋_GBK" w:hAnsi="Calibri" w:eastAsia="方正仿宋_GBK" w:cs="Times New Roman"/>
          <w:sz w:val="32"/>
          <w:szCs w:val="32"/>
          <w:highlight w:val="none"/>
          <w:lang w:val="en-US" w:eastAsia="zh-CN"/>
        </w:rPr>
        <w:t>180,000</w:t>
      </w:r>
      <w:r>
        <w:rPr>
          <w:rFonts w:hint="eastAsia" w:ascii="方正仿宋_GBK" w:hAnsi="Calibri" w:eastAsia="方正仿宋_GBK" w:cs="Times New Roman"/>
          <w:sz w:val="32"/>
          <w:szCs w:val="32"/>
          <w:highlight w:val="none"/>
        </w:rPr>
        <w:t>万元、专项转移支付</w:t>
      </w:r>
      <w:r>
        <w:rPr>
          <w:rFonts w:hint="eastAsia" w:ascii="方正仿宋_GBK" w:hAnsi="Calibri" w:eastAsia="方正仿宋_GBK" w:cs="Times New Roman"/>
          <w:sz w:val="32"/>
          <w:szCs w:val="32"/>
          <w:highlight w:val="none"/>
          <w:lang w:val="en-US" w:eastAsia="zh-CN"/>
        </w:rPr>
        <w:t>20,000</w:t>
      </w:r>
      <w:r>
        <w:rPr>
          <w:rFonts w:hint="eastAsia" w:ascii="方正仿宋_GBK" w:hAnsi="Calibri" w:eastAsia="方正仿宋_GBK" w:cs="Times New Roman"/>
          <w:sz w:val="32"/>
          <w:szCs w:val="32"/>
          <w:highlight w:val="none"/>
        </w:rPr>
        <w:t>万元</w:t>
      </w:r>
      <w:r>
        <w:rPr>
          <w:rFonts w:hint="eastAsia" w:ascii="方正仿宋_GBK" w:hAnsi="Calibri" w:eastAsia="方正仿宋_GBK" w:cs="Times New Roman"/>
          <w:sz w:val="32"/>
          <w:szCs w:val="32"/>
          <w:highlight w:val="none"/>
          <w:lang w:eastAsia="zh-CN"/>
        </w:rPr>
        <w:t>。其中：一般公共服务支出</w:t>
      </w:r>
      <w:r>
        <w:rPr>
          <w:rFonts w:hint="eastAsia" w:ascii="方正仿宋_GBK" w:hAnsi="Calibri" w:eastAsia="方正仿宋_GBK" w:cs="Times New Roman"/>
          <w:sz w:val="32"/>
          <w:szCs w:val="32"/>
          <w:highlight w:val="none"/>
          <w:lang w:val="en-US" w:eastAsia="zh-CN"/>
        </w:rPr>
        <w:t>1,0</w:t>
      </w:r>
      <w:bookmarkStart w:id="0" w:name="_GoBack"/>
      <w:bookmarkEnd w:id="0"/>
      <w:r>
        <w:rPr>
          <w:rFonts w:hint="eastAsia" w:ascii="方正仿宋_GBK" w:hAnsi="Calibri" w:eastAsia="方正仿宋_GBK" w:cs="Times New Roman"/>
          <w:sz w:val="32"/>
          <w:szCs w:val="32"/>
          <w:highlight w:val="none"/>
          <w:lang w:val="en-US" w:eastAsia="zh-CN"/>
        </w:rPr>
        <w:t>00万元；公共安全支出700万元；教育支出60万元；科学技术支出80万；文化旅游体育与传媒100万元；社会保障和就业支出600万元；卫生健康600万元；</w:t>
      </w:r>
      <w:r>
        <w:rPr>
          <w:rFonts w:hint="default" w:ascii="方正仿宋_GBK" w:hAnsi="Calibri" w:eastAsia="方正仿宋_GBK" w:cs="Times New Roman"/>
          <w:sz w:val="32"/>
          <w:szCs w:val="32"/>
          <w:highlight w:val="none"/>
          <w:lang w:val="en-US" w:eastAsia="zh-CN"/>
        </w:rPr>
        <w:t>节能环保</w:t>
      </w:r>
      <w:r>
        <w:rPr>
          <w:rFonts w:hint="eastAsia" w:ascii="方正仿宋_GBK" w:hAnsi="Calibri" w:eastAsia="方正仿宋_GBK" w:cs="Times New Roman"/>
          <w:sz w:val="32"/>
          <w:szCs w:val="32"/>
          <w:highlight w:val="none"/>
          <w:lang w:val="en-US" w:eastAsia="zh-CN"/>
        </w:rPr>
        <w:t>支出2,554.57万元；城乡社区支出100万元；</w:t>
      </w:r>
      <w:r>
        <w:rPr>
          <w:rFonts w:hint="default" w:ascii="方正仿宋_GBK" w:hAnsi="Calibri" w:eastAsia="方正仿宋_GBK" w:cs="Times New Roman"/>
          <w:sz w:val="32"/>
          <w:szCs w:val="32"/>
          <w:highlight w:val="none"/>
          <w:lang w:val="en-US" w:eastAsia="zh-CN"/>
        </w:rPr>
        <w:t>农林水</w:t>
      </w:r>
      <w:r>
        <w:rPr>
          <w:rFonts w:hint="eastAsia" w:ascii="方正仿宋_GBK" w:hAnsi="Calibri" w:eastAsia="方正仿宋_GBK" w:cs="Times New Roman"/>
          <w:sz w:val="32"/>
          <w:szCs w:val="32"/>
          <w:highlight w:val="none"/>
          <w:lang w:val="en-US" w:eastAsia="zh-CN"/>
        </w:rPr>
        <w:t>支出11,567.43万元；交通运输1,000万元；商业服务业等100万元；自然资源海洋气象等100万元；住房保障支出1,328万元；灾害防治及应急管理支出110万元。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0" w:firstLineChars="1850"/>
        <w:textAlignment w:val="auto"/>
        <w:rPr>
          <w:rFonts w:hint="eastAsia"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师宗县财政局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  <w:lang w:val="en-US" w:eastAsia="zh-CN"/>
        </w:rPr>
        <w:t>2024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年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日</w:t>
      </w:r>
    </w:p>
    <w:p>
      <w:pPr>
        <w:widowControl/>
        <w:spacing w:line="600" w:lineRule="exact"/>
        <w:rPr>
          <w:rFonts w:hint="default" w:ascii="方正仿宋_GBK" w:hAnsi="Calibri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MjUzZDJlOTI4MmMxMTcxMDVmNzYzYzcxYmVmZGIifQ=="/>
  </w:docVars>
  <w:rsids>
    <w:rsidRoot w:val="00000000"/>
    <w:rsid w:val="00986B4D"/>
    <w:rsid w:val="07477756"/>
    <w:rsid w:val="109448A7"/>
    <w:rsid w:val="161B4D14"/>
    <w:rsid w:val="1708590C"/>
    <w:rsid w:val="20744939"/>
    <w:rsid w:val="28B526B6"/>
    <w:rsid w:val="2E571C44"/>
    <w:rsid w:val="40B30D37"/>
    <w:rsid w:val="45583147"/>
    <w:rsid w:val="4CC60DA1"/>
    <w:rsid w:val="53D36D3E"/>
    <w:rsid w:val="55927416"/>
    <w:rsid w:val="577B1898"/>
    <w:rsid w:val="59ED3713"/>
    <w:rsid w:val="5BD80CBB"/>
    <w:rsid w:val="5F1D7E18"/>
    <w:rsid w:val="7013358B"/>
    <w:rsid w:val="70206824"/>
    <w:rsid w:val="725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dcterms:modified xsi:type="dcterms:W3CDTF">2024-01-23T01:15:55Z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9E9CADA463674AF1A882560706DB633B</vt:lpwstr>
  </property>
</Properties>
</file>