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p>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省住房城乡建设厅</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城市政府环境卫生部门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《国务院对确需保留的行政审批项目设定行政许可的决定》</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.城市建筑垃圾处置核准（县级权限）</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rPr>
          <w:rFonts w:hint="eastAsia" w:ascii="Times New Roman" w:hAnsi="Times New Roman" w:eastAsia="仿宋GB2312"/>
          <w:sz w:val="28"/>
          <w:szCs w:val="28"/>
        </w:rPr>
      </w:pP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方正仿宋_GBK" w:hAnsi="方正仿宋_GBK" w:eastAsia="方正仿宋_GBK" w:cs="方正仿宋_GBK"/>
          <w:sz w:val="28"/>
          <w:szCs w:val="28"/>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城市建筑垃圾处置核准（县级权限）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1.城市建筑垃圾产生核准首次申请(00011712200301)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2.城市建筑垃圾产生核准有效期届满申请延续(00011712200302)</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3.城市建筑垃圾产生核准申请变更产生种类及数量(00011712200303)</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4.城市建筑垃圾产生核准申请变更产生周期(00011712200304)</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5.城市建筑垃圾产生核准申请变更运输单位及运输车辆(00011712200305)</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6.城市建筑垃圾产生核准申请变更处理设施(00011712200306)</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7.城市建筑垃圾运输核准首次申请(00011712200307)(审核通过)</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8.城市建筑垃圾运输核准有效期届满申请延续(00011712200308)</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9.城市建筑垃圾运输核准申请变更企业名称、法定代表人、注册地址、经营范围(00011712200309)</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10.城市建筑垃圾运输核准申请变更运输工具数量及标识号(00011712200310)</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11.城市建筑垃圾处置核准首次申请(00011712200311)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12.城市建筑垃圾处置核准有效期届满申请延续(00011712200312)</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13.城市建筑垃圾处置核准申请变更经营主体、法定代表人、注册地址(00011712200313)</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14.城市建筑垃圾处置核准申请变更处理内容(00011712200314)</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（3）《住房和城乡建设部关于取消部分部门规章和规范性文件设定的证明事项的决定》（建法规〔2019〕6号）附件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具有建筑垃圾产生种类、数量及周期，运输单位签订的合同，运输的时间、路线和处理地点名称，与处置单位签订了合同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具有合法的运输车辆（船舶），健全的运输车辆（船舶）运营、安全、质量、保养、行政管理制度并得到有效执行，运输车辆（船舶）具备全密闭运输机械装置或密闭苫盖装置、安装行驶及装卸记录仪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具有建筑垃圾处置设施的土地使用证明，有处置设施的场地平面图、进场路线图，有健全的环境卫生和安全管理制度并得到有效执行，具有建筑垃圾分类处理的方案和对废混凝土、金属、木材等回收利用的方案。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（6）运输车辆具备全密闭运输机械装置或密闭苫盖装置、安装行驶及装卸记录仪和相应的建筑垃圾分类运输设备。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建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w:t>
      </w:r>
      <w:r>
        <w:rPr>
          <w:rFonts w:hint="eastAsia" w:ascii="方正仿宋_GBK" w:hAnsi="方正仿宋_GBK" w:eastAsia="方正仿宋_GBK" w:cs="方正仿宋_GBK"/>
          <w:sz w:val="28"/>
          <w:szCs w:val="28"/>
          <w:lang w:eastAsia="zh-CN"/>
        </w:rPr>
        <w:t>工作</w:t>
      </w:r>
      <w:r>
        <w:rPr>
          <w:rFonts w:hint="eastAsia" w:ascii="方正仿宋_GBK" w:hAnsi="方正仿宋_GBK" w:eastAsia="方正仿宋_GBK" w:cs="方正仿宋_GBK"/>
          <w:sz w:val="28"/>
          <w:szCs w:val="28"/>
        </w:rPr>
        <w:t>日压减至5个</w:t>
      </w:r>
      <w:r>
        <w:rPr>
          <w:rFonts w:hint="eastAsia" w:ascii="方正仿宋_GBK" w:hAnsi="方正仿宋_GBK" w:eastAsia="方正仿宋_GBK" w:cs="方正仿宋_GBK"/>
          <w:sz w:val="28"/>
          <w:szCs w:val="28"/>
          <w:lang w:eastAsia="zh-CN"/>
        </w:rPr>
        <w:t>工作</w:t>
      </w:r>
      <w:bookmarkStart w:id="0" w:name="_GoBack"/>
      <w:bookmarkEnd w:id="0"/>
      <w:r>
        <w:rPr>
          <w:rFonts w:hint="eastAsia" w:ascii="方正仿宋_GBK" w:hAnsi="方正仿宋_GBK" w:eastAsia="方正仿宋_GBK" w:cs="方正仿宋_GBK"/>
          <w:sz w:val="28"/>
          <w:szCs w:val="28"/>
        </w:rPr>
        <w:t>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1.完善常态化监管机制，通过书面检查、实地检查、定期抽验、随机抽查等强化日常监管网、人工智能等手段精准预警风险隐患。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建筑垃圾处置设施的土地使用证明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有处置设施的场地平面图、进场路线图，有健全的环境卫生和安全管理制度并得到有效执行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（6）运输车辆具备全密闭运输机械装置或密闭苫盖装置、安装行驶及装卸记录仪和相应的建筑垃圾分类运输设备。”</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第三十条行政机关应当将法律、法规、规章规定的有关行政许可的事项、依据、条件、数量、程序、期限以及需要提交的全部材料的目录和申请书示范文本等在办公场所公示。</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（四）法律、法规规定的其他行政许可证件。</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建设部令第139号)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城市建筑垃圾处理核准批复</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jZjYxMmRmODZjNzdkZjJlNGRlZjU3NzEwNjRkNzMifQ=="/>
  </w:docVars>
  <w:rsids>
    <w:rsidRoot w:val="04CD4E26"/>
    <w:rsid w:val="04CD4E26"/>
    <w:rsid w:val="2E0E25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6</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2023-12-14T01:48:00Z</dcterms:created>
  <dc:creator>浩然正气</dc:creator>
  <cp:lastModifiedBy>浩然正气</cp:lastModifiedBy>
  <dcterms:modified xsi:type="dcterms:W3CDTF">2023-12-15T02:21:45Z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5EC2880017FF4EAAAAA34859205D4C83_11</vt:lpwstr>
  </property>
</Properties>
</file>